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360" w:before="0" w:line="276" w:lineRule="auto"/>
        <w:jc w:val="right"/>
      </w:pPr>
      <w:r>
        <w:rPr>
          <w:rFonts w:ascii="Bahnschrift Light" w:hAnsi="Bahnschrift Light" w:cs="Bahnschrift Light" w:eastAsia="Bahnschrift Light"/>
          <w:b w:val="0"/>
          <w:i w:val="0"/>
          <w:sz w:val="22"/>
          <w:u w:val="none"/>
        </w:rPr>
        <w:t>Ciudad de México, a 31 de julio de 2026</w:t>
      </w:r>
    </w:p>
    <w:p>
      <w:pPr>
        <w:spacing w:after="40" w:before="0" w:line="276" w:lineRule="auto"/>
        <w:jc w:val="center"/>
      </w:pPr>
      <w:r>
        <w:rPr>
          <w:rFonts w:ascii="Bahnschrift Light" w:hAnsi="Bahnschrift Light" w:cs="Bahnschrift Light" w:eastAsia="Bahnschrift Light"/>
          <w:b/>
          <w:i w:val="0"/>
          <w:sz w:val="24"/>
          <w:u w:val="single"/>
        </w:rPr>
        <w:t>NOTA DE VIABILIDAD PRELIMINAR</w:t>
      </w:r>
    </w:p>
    <w:p>
      <w:pPr>
        <w:spacing w:after="320" w:before="0" w:line="276" w:lineRule="auto"/>
        <w:jc w:val="center"/>
      </w:pPr>
      <w:r>
        <w:rPr>
          <w:rFonts w:ascii="Bahnschrift Light" w:hAnsi="Bahnschrift Light" w:cs="Bahnschrift Light" w:eastAsia="Bahnschrift Light"/>
          <w:b/>
          <w:i w:val="0"/>
          <w:sz w:val="24"/>
          <w:u w:val="single"/>
        </w:rPr>
        <w:t>COMITÉS DE GOBIERNO CORPORATIVO Y FUNCIONES REGULADAS EN INSTITUCIONES DE BANCA MÚLTIPLE</w:t>
      </w:r>
    </w:p>
    <w:p>
      <w:pPr>
        <w:keepNext/>
        <w:spacing w:after="160" w:before="320" w:line="276" w:lineRule="auto"/>
        <w:jc w:val="both"/>
      </w:pPr>
      <w:r>
        <w:rPr>
          <w:rFonts w:ascii="Bahnschrift Light" w:hAnsi="Bahnschrift Light" w:cs="Bahnschrift Light" w:eastAsia="Bahnschrift Light"/>
          <w:b/>
          <w:i w:val="0"/>
          <w:sz w:val="23"/>
          <w:u w:val="none"/>
        </w:rPr>
        <w:t>Nota metodológica y supuestos</w:t>
      </w:r>
    </w:p>
    <w:p>
      <w:pPr>
        <w:spacing w:after="120" w:before="0" w:line="276" w:lineRule="auto"/>
        <w:jc w:val="both"/>
      </w:pPr>
      <w:r>
        <w:rPr>
          <w:rFonts w:ascii="Bahnschrift Light" w:hAnsi="Bahnschrift Light" w:cs="Bahnschrift Light" w:eastAsia="Bahnschrift Light"/>
          <w:b w:val="0"/>
          <w:i w:val="0"/>
          <w:sz w:val="22"/>
          <w:u w:val="none"/>
        </w:rPr>
        <w:t>Esta nota responde tres preguntas de filtrado formuladas por el prospecto. Se elaboró sobre el texto consolidado de la Ley de Instituciones de Crédito (LIC) y de las Disposiciones de carácter general aplicables a las instituciones de crédito (Circular Única de Bancos o CUB) a la fecha de corte —31 de julio de 2026—, sin verificación de reformas posteriores.</w:t>
      </w:r>
    </w:p>
    <w:p>
      <w:pPr>
        <w:spacing w:after="120" w:before="0" w:line="276" w:lineRule="auto"/>
        <w:jc w:val="both"/>
      </w:pPr>
      <w:r>
        <w:rPr>
          <w:rFonts w:ascii="Bahnschrift Light" w:hAnsi="Bahnschrift Light" w:cs="Bahnschrift Light" w:eastAsia="Bahnschrift Light"/>
          <w:b w:val="0"/>
          <w:i w:val="0"/>
          <w:sz w:val="22"/>
          <w:u w:val="none"/>
        </w:rPr>
        <w:t>Se asumen tres supuestos, cualquiera de los cuales, si resulta incorrecto, altera materialmente las respuestas.</w:t>
      </w:r>
    </w:p>
    <w:p>
      <w:pPr>
        <w:spacing w:after="120" w:before="0" w:line="276" w:lineRule="auto"/>
        <w:jc w:val="both"/>
      </w:pPr>
      <w:r>
        <w:rPr>
          <w:rFonts w:ascii="Bahnschrift Light" w:hAnsi="Bahnschrift Light" w:cs="Bahnschrift Light" w:eastAsia="Bahnschrift Light"/>
          <w:b/>
          <w:i w:val="0"/>
          <w:sz w:val="22"/>
          <w:u w:val="none"/>
        </w:rPr>
        <w:t>Primero</w:t>
      </w:r>
      <w:r>
        <w:rPr>
          <w:rFonts w:ascii="Bahnschrift Light" w:hAnsi="Bahnschrift Light" w:cs="Bahnschrift Light" w:eastAsia="Bahnschrift Light"/>
          <w:b w:val="0"/>
          <w:i w:val="0"/>
          <w:sz w:val="22"/>
          <w:u w:val="none"/>
        </w:rPr>
        <w:t>, que el sujeto regulado es —o pretende ser— una institución de banca múltiple, no una institución de banca de desarrollo. El régimen de la banca de desarrollo difiere en la integración del Comité de Auditoría y del comité de riesgos, y añade un comité de recursos humanos y desarrollo institucional cuya propuesta condiciona la aprobación de la estructura orgánica, tabuladores de sueldos y política salarial por el consejo directivo, conforme al artículo 42, fracción XVIII, de la LIC.</w:t>
      </w:r>
    </w:p>
    <w:p>
      <w:pPr>
        <w:spacing w:after="120" w:before="0" w:line="276" w:lineRule="auto"/>
        <w:jc w:val="both"/>
      </w:pPr>
      <w:r>
        <w:rPr>
          <w:rFonts w:ascii="Bahnschrift Light" w:hAnsi="Bahnschrift Light" w:cs="Bahnschrift Light" w:eastAsia="Bahnschrift Light"/>
          <w:b/>
          <w:i w:val="0"/>
          <w:sz w:val="22"/>
          <w:u w:val="none"/>
        </w:rPr>
        <w:t>Segundo</w:t>
      </w:r>
      <w:r>
        <w:rPr>
          <w:rFonts w:ascii="Bahnschrift Light" w:hAnsi="Bahnschrift Light" w:cs="Bahnschrift Light" w:eastAsia="Bahnschrift Light"/>
          <w:b w:val="0"/>
          <w:i w:val="0"/>
          <w:sz w:val="22"/>
          <w:u w:val="none"/>
        </w:rPr>
        <w:t>, que la institución no será filial de una entidad financiera del exterior, o que si lo será, sus activos excederán el 1.5 % de los activos totales del sistema bancario mexicano. El régimen de filiales contiene atenuaciones que se señalan en su lugar.</w:t>
      </w:r>
    </w:p>
    <w:p>
      <w:pPr>
        <w:spacing w:after="120" w:before="0" w:line="276" w:lineRule="auto"/>
        <w:jc w:val="both"/>
      </w:pPr>
      <w:r>
        <w:rPr>
          <w:rFonts w:ascii="Bahnschrift Light" w:hAnsi="Bahnschrift Light" w:cs="Bahnschrift Light" w:eastAsia="Bahnschrift Light"/>
          <w:b/>
          <w:i w:val="0"/>
          <w:sz w:val="22"/>
          <w:u w:val="none"/>
        </w:rPr>
        <w:t>Tercero</w:t>
      </w:r>
      <w:r>
        <w:rPr>
          <w:rFonts w:ascii="Bahnschrift Light" w:hAnsi="Bahnschrift Light" w:cs="Bahnschrift Light" w:eastAsia="Bahnschrift Light"/>
          <w:b w:val="0"/>
          <w:i w:val="0"/>
          <w:sz w:val="22"/>
          <w:u w:val="none"/>
        </w:rPr>
        <w:t>, que la institución no formará parte de un grupo financiero. Si lo hará, la Ley para Regular las Agrupaciones Financieras (LRAF) añade obligaciones de gobierno en el nivel de la sociedad controladora —sus artículos 50 y 99 presuponen un comité que desempeñe funciones de auditoría en ese nivel— cuyos requisitos precisos de integración no se analizaron en esta nota.</w:t>
      </w:r>
    </w:p>
    <w:p>
      <w:pPr>
        <w:keepNext/>
        <w:spacing w:after="160" w:before="320" w:line="276" w:lineRule="auto"/>
        <w:jc w:val="both"/>
      </w:pPr>
      <w:r>
        <w:rPr>
          <w:rFonts w:ascii="Bahnschrift Light" w:hAnsi="Bahnschrift Light" w:cs="Bahnschrift Light" w:eastAsia="Bahnschrift Light"/>
          <w:b/>
          <w:i w:val="0"/>
          <w:sz w:val="23"/>
          <w:u w:val="none"/>
        </w:rPr>
        <w:t>I. Por qué separar el Comité de Riesgos del Comité de Remuneración</w:t>
      </w:r>
    </w:p>
    <w:p>
      <w:pPr>
        <w:pStyle w:val="ListParagraph"/>
        <w:keepNext/>
        <w:spacing w:after="120" w:before="200" w:line="276" w:lineRule="auto"/>
        <w:ind w:left="425" w:firstLine="0"/>
        <w:jc w:val="both"/>
      </w:pPr>
      <w:r>
        <w:rPr>
          <w:rFonts w:ascii="Bahnschrift Light" w:hAnsi="Bahnschrift Light" w:cs="Bahnschrift Light" w:eastAsia="Bahnschrift Light"/>
          <w:b/>
          <w:i w:val="0"/>
          <w:sz w:val="22"/>
          <w:u w:val="none"/>
        </w:rPr>
        <w:t>1. Respuesta directa</w:t>
      </w:r>
    </w:p>
    <w:p>
      <w:pPr>
        <w:spacing w:after="120" w:before="0" w:line="276" w:lineRule="auto"/>
        <w:jc w:val="both"/>
      </w:pPr>
      <w:r>
        <w:rPr>
          <w:rFonts w:ascii="Bahnschrift Light" w:hAnsi="Bahnschrift Light" w:cs="Bahnschrift Light" w:eastAsia="Bahnschrift Light"/>
          <w:b w:val="0"/>
          <w:i w:val="0"/>
          <w:sz w:val="22"/>
          <w:u w:val="none"/>
        </w:rPr>
        <w:t xml:space="preserve">Para una institución de banca múltiple de tamaño medio o superior, </w:t>
      </w:r>
      <w:r>
        <w:rPr>
          <w:rFonts w:ascii="Bahnschrift Light" w:hAnsi="Bahnschrift Light" w:cs="Bahnschrift Light" w:eastAsia="Bahnschrift Light"/>
          <w:b/>
          <w:i w:val="0"/>
          <w:sz w:val="22"/>
          <w:u w:val="none"/>
        </w:rPr>
        <w:t>es aconsejable mantenerlos separados</w:t>
      </w:r>
      <w:r>
        <w:rPr>
          <w:rFonts w:ascii="Bahnschrift Light" w:hAnsi="Bahnschrift Light" w:cs="Bahnschrift Light" w:eastAsia="Bahnschrift Light"/>
          <w:b w:val="0"/>
          <w:i w:val="0"/>
          <w:sz w:val="22"/>
          <w:u w:val="none"/>
        </w:rPr>
        <w:t>. Son órganos con objeto distinto, composición distinta, periodicidad distinta y régimen de revelación pública distinto. Sobre esa separación la CUB construye un esquema de revisión cruzada en tres capas que la unificación colapsa, y la unificación arrastra al comité de riesgos requisitos de composición y de exposición pública que de origen no tiene.</w:t>
      </w:r>
    </w:p>
    <w:p>
      <w:pPr>
        <w:spacing w:after="120" w:before="0" w:line="276" w:lineRule="auto"/>
        <w:jc w:val="both"/>
      </w:pPr>
      <w:r>
        <w:rPr>
          <w:rFonts w:ascii="Bahnschrift Light" w:hAnsi="Bahnschrift Light" w:cs="Bahnschrift Light" w:eastAsia="Bahnschrift Light"/>
          <w:b w:val="0"/>
          <w:i w:val="0"/>
          <w:sz w:val="22"/>
          <w:u w:val="none"/>
        </w:rPr>
        <w:t>La unificación está permitida —el artículo 168 Bis 8 de la CUB la autoriza expresamente— pero es la excepción razonable para instituciones de escala reducida, no el arreglo por defecto. Se trata en el apartado 8 de este título.</w:t>
      </w:r>
    </w:p>
    <w:p>
      <w:pPr>
        <w:pStyle w:val="ListParagraph"/>
        <w:keepNext/>
        <w:spacing w:after="120" w:before="200" w:line="276" w:lineRule="auto"/>
        <w:ind w:left="425" w:firstLine="0"/>
        <w:jc w:val="both"/>
      </w:pPr>
      <w:r>
        <w:rPr>
          <w:rFonts w:ascii="Bahnschrift Light" w:hAnsi="Bahnschrift Light" w:cs="Bahnschrift Light" w:eastAsia="Bahnschrift Light"/>
          <w:b/>
          <w:i w:val="0"/>
          <w:sz w:val="22"/>
          <w:u w:val="none"/>
        </w:rPr>
        <w:t>2. Hacen cosas distintas</w:t>
      </w:r>
    </w:p>
    <w:p>
      <w:pPr>
        <w:spacing w:after="120" w:before="0" w:line="276" w:lineRule="auto"/>
        <w:jc w:val="both"/>
      </w:pPr>
      <w:r>
        <w:rPr>
          <w:rFonts w:ascii="Bahnschrift Light" w:hAnsi="Bahnschrift Light" w:cs="Bahnschrift Light" w:eastAsia="Bahnschrift Light"/>
          <w:b w:val="0"/>
          <w:i w:val="0"/>
          <w:sz w:val="22"/>
          <w:u w:val="none"/>
        </w:rPr>
        <w:t>El comité de riesgos existe para administrar los riesgos a que se encuentra expuesta la institución y vigilar que la realización de las operaciones se ajuste al Perfil de Riesgo Deseado, al Marco para la Administración Integral de Riesgos y a los Límites de Exposición al Riesgo aprobados por el consejo (CUB, artículo 70, primer párrafo). Sus funciones —proponer límites, aprobar metodologías y modelos de medición, designar al responsable de la Unidad para la Administración Integral de Riesgos (UAIR), informar al consejo sobre el Perfil de Riesgo— están en el artículo 71. Es un órgano de fijación y vigilancia de límites.</w:t>
      </w:r>
    </w:p>
    <w:p>
      <w:pPr>
        <w:spacing w:after="120" w:before="0" w:line="276" w:lineRule="auto"/>
        <w:jc w:val="both"/>
      </w:pPr>
      <w:r>
        <w:rPr>
          <w:rFonts w:ascii="Bahnschrift Light" w:hAnsi="Bahnschrift Light" w:cs="Bahnschrift Light" w:eastAsia="Bahnschrift Light"/>
          <w:b w:val="0"/>
          <w:i w:val="0"/>
          <w:sz w:val="22"/>
          <w:u w:val="none"/>
        </w:rPr>
        <w:t>El Comité de Remuneración existe para ser un órgano capaz de ejercer un juicio independiente, cuyas decisiones se fundamenten en la evaluación de los riesgos asumidos por la institución (CUB, artículo 168 Bis 5, primer párrafo). Sus funciones —proponer al consejo las políticas y procedimientos de remuneración, la relación del personal sujeto al Sistema de Remuneración y los casos de excepción; implementar y mantener el sistema; informar al personal los métodos de determinación y los ajustes por riesgo que le aplican; contratar consultores externos; informar semestralmente al consejo— están en el artículo 168 Bis 6. Es un órgano de diseño de incentivos, disciplinado por el riesgo.</w:t>
      </w:r>
    </w:p>
    <w:p>
      <w:pPr>
        <w:spacing w:after="120" w:before="0" w:line="276" w:lineRule="auto"/>
        <w:jc w:val="both"/>
      </w:pPr>
      <w:r>
        <w:rPr>
          <w:rFonts w:ascii="Bahnschrift Light" w:hAnsi="Bahnschrift Light" w:cs="Bahnschrift Light" w:eastAsia="Bahnschrift Light"/>
          <w:b w:val="0"/>
          <w:i w:val="0"/>
          <w:sz w:val="22"/>
          <w:u w:val="none"/>
        </w:rPr>
        <w:t>Uno pone el techo; el otro reparte dentro del techo. Son funciones que en la lógica de la propia CUB deben vigilarse mutuamente, no fundirse.</w:t>
      </w:r>
    </w:p>
    <w:p>
      <w:pPr>
        <w:pStyle w:val="ListParagraph"/>
        <w:keepNext/>
        <w:spacing w:after="120" w:before="200" w:line="276" w:lineRule="auto"/>
        <w:ind w:left="425" w:firstLine="0"/>
        <w:jc w:val="both"/>
      </w:pPr>
      <w:r>
        <w:rPr>
          <w:rFonts w:ascii="Bahnschrift Light" w:hAnsi="Bahnschrift Light" w:cs="Bahnschrift Light" w:eastAsia="Bahnschrift Light"/>
          <w:b/>
          <w:i w:val="0"/>
          <w:sz w:val="22"/>
          <w:u w:val="none"/>
        </w:rPr>
        <w:t>3. Les aplican reglas distintas</w:t>
      </w:r>
    </w:p>
    <w:tbl>
      <w:tblPr>
        <w:tblStyle w:val="TableGrid"/>
        <w:tblW w:type="dxa" w:w="10081"/>
        <w:jc w:val="center"/>
        <w:tblLayout w:type="fixed"/>
        <w:tblLook w:firstColumn="1" w:firstRow="1" w:lastColumn="0" w:lastRow="0" w:noHBand="0" w:noVBand="1" w:val="04A0"/>
        <w:tblLayout w:type="fixed"/>
      </w:tblPr>
      <w:tblGrid>
        <w:gridCol w:w="2240"/>
        <w:gridCol w:w="3500"/>
        <w:gridCol w:w="4340"/>
      </w:tblGrid>
      <w:tr>
        <w:trPr>
          <w:cantSplit/>
          <w:tblHeader/>
        </w:trPr>
        <w:tc>
          <w:tcPr>
            <w:tcW w:type="dxa" w:w="2240"/>
          </w:tcPr>
          <w:p>
            <w:pPr>
              <w:spacing w:after="40" w:before="40" w:line="240" w:lineRule="auto"/>
              <w:jc w:val="left"/>
            </w:pPr>
            <w:r>
              <w:rPr>
                <w:rFonts w:ascii="Bahnschrift Light" w:hAnsi="Bahnschrift Light" w:cs="Bahnschrift Light" w:eastAsia="Bahnschrift Light"/>
                <w:b/>
                <w:i w:val="0"/>
                <w:sz w:val="18"/>
                <w:u w:val="none"/>
              </w:rPr>
            </w:r>
          </w:p>
        </w:tc>
        <w:tc>
          <w:tcPr>
            <w:tcW w:type="dxa" w:w="3500"/>
          </w:tcPr>
          <w:p>
            <w:pPr>
              <w:spacing w:after="40" w:before="40" w:line="240" w:lineRule="auto"/>
              <w:jc w:val="left"/>
            </w:pPr>
            <w:r>
              <w:rPr>
                <w:rFonts w:ascii="Bahnschrift Light" w:hAnsi="Bahnschrift Light" w:cs="Bahnschrift Light" w:eastAsia="Bahnschrift Light"/>
                <w:b/>
                <w:i w:val="0"/>
                <w:sz w:val="18"/>
                <w:u w:val="none"/>
              </w:rPr>
              <w:t>Comité de riesgos (CUB art. 70, fracc. I)</w:t>
            </w:r>
          </w:p>
        </w:tc>
        <w:tc>
          <w:tcPr>
            <w:tcW w:type="dxa" w:w="4340"/>
          </w:tcPr>
          <w:p>
            <w:pPr>
              <w:spacing w:after="40" w:before="40" w:line="240" w:lineRule="auto"/>
              <w:jc w:val="left"/>
            </w:pPr>
            <w:r>
              <w:rPr>
                <w:rFonts w:ascii="Bahnschrift Light" w:hAnsi="Bahnschrift Light" w:cs="Bahnschrift Light" w:eastAsia="Bahnschrift Light"/>
                <w:b/>
                <w:i w:val="0"/>
                <w:sz w:val="18"/>
                <w:u w:val="none"/>
              </w:rPr>
              <w:t>Comité de Remuneración (CUB art. 168 Bis 5)</w:t>
            </w:r>
          </w:p>
        </w:tc>
      </w:tr>
      <w:tr>
        <w:trPr>
          <w:cantSplit/>
        </w:trPr>
        <w:tc>
          <w:tcPr>
            <w:tcW w:type="dxa" w:w="2240"/>
          </w:tcPr>
          <w:p>
            <w:pPr>
              <w:spacing w:after="40" w:before="40" w:line="240" w:lineRule="auto"/>
              <w:jc w:val="left"/>
            </w:pPr>
            <w:r>
              <w:rPr>
                <w:rFonts w:ascii="Bahnschrift Light" w:hAnsi="Bahnschrift Light" w:cs="Bahnschrift Light" w:eastAsia="Bahnschrift Light"/>
                <w:b w:val="0"/>
                <w:i w:val="0"/>
                <w:sz w:val="18"/>
                <w:u w:val="none"/>
              </w:rPr>
              <w:t>Consejeros</w:t>
            </w:r>
          </w:p>
        </w:tc>
        <w:tc>
          <w:tcPr>
            <w:tcW w:type="dxa" w:w="3500"/>
          </w:tcPr>
          <w:p>
            <w:pPr>
              <w:spacing w:after="40" w:before="40" w:line="240" w:lineRule="auto"/>
              <w:jc w:val="left"/>
            </w:pPr>
            <w:r>
              <w:rPr>
                <w:rFonts w:ascii="Bahnschrift Light" w:hAnsi="Bahnschrift Light" w:cs="Bahnschrift Light" w:eastAsia="Bahnschrift Light"/>
                <w:b w:val="0"/>
                <w:i w:val="0"/>
                <w:sz w:val="18"/>
                <w:u w:val="none"/>
              </w:rPr>
              <w:t>Cuando menos dos propietarios, uno de los cuales preside</w:t>
            </w:r>
          </w:p>
        </w:tc>
        <w:tc>
          <w:tcPr>
            <w:tcW w:type="dxa" w:w="4340"/>
          </w:tcPr>
          <w:p>
            <w:pPr>
              <w:spacing w:after="40" w:before="40" w:line="240" w:lineRule="auto"/>
              <w:jc w:val="left"/>
            </w:pPr>
            <w:r>
              <w:rPr>
                <w:rFonts w:ascii="Bahnschrift Light" w:hAnsi="Bahnschrift Light" w:cs="Bahnschrift Light" w:eastAsia="Bahnschrift Light"/>
                <w:b w:val="0"/>
                <w:i w:val="0"/>
                <w:sz w:val="18"/>
                <w:u w:val="none"/>
              </w:rPr>
              <w:t>Cuando menos dos propietarios; al menos uno independiente, quien preside; al menos uno con amplia experiencia en administración de riesgos o control interno</w:t>
            </w:r>
          </w:p>
        </w:tc>
      </w:tr>
      <w:tr>
        <w:trPr>
          <w:cantSplit/>
        </w:trPr>
        <w:tc>
          <w:tcPr>
            <w:tcW w:type="dxa" w:w="2240"/>
          </w:tcPr>
          <w:p>
            <w:pPr>
              <w:spacing w:after="40" w:before="40" w:line="240" w:lineRule="auto"/>
              <w:jc w:val="left"/>
            </w:pPr>
            <w:r>
              <w:rPr>
                <w:rFonts w:ascii="Bahnschrift Light" w:hAnsi="Bahnschrift Light" w:cs="Bahnschrift Light" w:eastAsia="Bahnschrift Light"/>
                <w:b w:val="0"/>
                <w:i w:val="0"/>
                <w:sz w:val="18"/>
                <w:u w:val="none"/>
              </w:rPr>
              <w:t>Director general</w:t>
            </w:r>
          </w:p>
        </w:tc>
        <w:tc>
          <w:tcPr>
            <w:tcW w:type="dxa" w:w="3500"/>
          </w:tcPr>
          <w:p>
            <w:pPr>
              <w:spacing w:after="40" w:before="40" w:line="240" w:lineRule="auto"/>
              <w:jc w:val="left"/>
            </w:pPr>
            <w:r>
              <w:rPr>
                <w:rFonts w:ascii="Bahnschrift Light" w:hAnsi="Bahnschrift Light" w:cs="Bahnschrift Light" w:eastAsia="Bahnschrift Light"/>
                <w:b w:val="0"/>
                <w:i w:val="0"/>
                <w:sz w:val="18"/>
                <w:u w:val="none"/>
              </w:rPr>
              <w:t>Miembro</w:t>
            </w:r>
          </w:p>
        </w:tc>
        <w:tc>
          <w:tcPr>
            <w:tcW w:type="dxa" w:w="4340"/>
          </w:tcPr>
          <w:p>
            <w:pPr>
              <w:spacing w:after="40" w:before="40" w:line="240" w:lineRule="auto"/>
              <w:jc w:val="left"/>
            </w:pPr>
            <w:r>
              <w:rPr>
                <w:rFonts w:ascii="Bahnschrift Light" w:hAnsi="Bahnschrift Light" w:cs="Bahnschrift Light" w:eastAsia="Bahnschrift Light"/>
                <w:b w:val="0"/>
                <w:i w:val="0"/>
                <w:sz w:val="18"/>
                <w:u w:val="none"/>
              </w:rPr>
              <w:t>No es miembro</w:t>
            </w:r>
          </w:p>
        </w:tc>
      </w:tr>
      <w:tr>
        <w:trPr>
          <w:cantSplit/>
        </w:trPr>
        <w:tc>
          <w:tcPr>
            <w:tcW w:type="dxa" w:w="2240"/>
          </w:tcPr>
          <w:p>
            <w:pPr>
              <w:spacing w:after="40" w:before="40" w:line="240" w:lineRule="auto"/>
              <w:jc w:val="left"/>
            </w:pPr>
            <w:r>
              <w:rPr>
                <w:rFonts w:ascii="Bahnschrift Light" w:hAnsi="Bahnschrift Light" w:cs="Bahnschrift Light" w:eastAsia="Bahnschrift Light"/>
                <w:b w:val="0"/>
                <w:i w:val="0"/>
                <w:sz w:val="18"/>
                <w:u w:val="none"/>
              </w:rPr>
              <w:t>Titular de la UAIR</w:t>
            </w:r>
          </w:p>
        </w:tc>
        <w:tc>
          <w:tcPr>
            <w:tcW w:type="dxa" w:w="3500"/>
          </w:tcPr>
          <w:p>
            <w:pPr>
              <w:spacing w:after="40" w:before="40" w:line="240" w:lineRule="auto"/>
              <w:jc w:val="left"/>
            </w:pPr>
            <w:r>
              <w:rPr>
                <w:rFonts w:ascii="Bahnschrift Light" w:hAnsi="Bahnschrift Light" w:cs="Bahnschrift Light" w:eastAsia="Bahnschrift Light"/>
                <w:b w:val="0"/>
                <w:i w:val="0"/>
                <w:sz w:val="18"/>
                <w:u w:val="none"/>
              </w:rPr>
              <w:t>Miembro</w:t>
            </w:r>
          </w:p>
        </w:tc>
        <w:tc>
          <w:tcPr>
            <w:tcW w:type="dxa" w:w="4340"/>
          </w:tcPr>
          <w:p>
            <w:pPr>
              <w:spacing w:after="40" w:before="40" w:line="240" w:lineRule="auto"/>
              <w:jc w:val="left"/>
            </w:pPr>
            <w:r>
              <w:rPr>
                <w:rFonts w:ascii="Bahnschrift Light" w:hAnsi="Bahnschrift Light" w:cs="Bahnschrift Light" w:eastAsia="Bahnschrift Light"/>
                <w:b w:val="0"/>
                <w:i w:val="0"/>
                <w:sz w:val="18"/>
                <w:u w:val="none"/>
              </w:rPr>
              <w:t>Miembro</w:t>
            </w:r>
          </w:p>
        </w:tc>
      </w:tr>
      <w:tr>
        <w:trPr>
          <w:cantSplit/>
        </w:trPr>
        <w:tc>
          <w:tcPr>
            <w:tcW w:type="dxa" w:w="2240"/>
          </w:tcPr>
          <w:p>
            <w:pPr>
              <w:spacing w:after="40" w:before="40" w:line="240" w:lineRule="auto"/>
              <w:jc w:val="left"/>
            </w:pPr>
            <w:r>
              <w:rPr>
                <w:rFonts w:ascii="Bahnschrift Light" w:hAnsi="Bahnschrift Light" w:cs="Bahnschrift Light" w:eastAsia="Bahnschrift Light"/>
                <w:b w:val="0"/>
                <w:i w:val="0"/>
                <w:sz w:val="18"/>
                <w:u w:val="none"/>
              </w:rPr>
              <w:t>Recursos humanos</w:t>
            </w:r>
          </w:p>
        </w:tc>
        <w:tc>
          <w:tcPr>
            <w:tcW w:type="dxa" w:w="3500"/>
          </w:tcPr>
          <w:p>
            <w:pPr>
              <w:spacing w:after="40" w:before="40" w:line="240" w:lineRule="auto"/>
              <w:jc w:val="left"/>
            </w:pPr>
            <w:r>
              <w:rPr>
                <w:rFonts w:ascii="Bahnschrift Light" w:hAnsi="Bahnschrift Light" w:cs="Bahnschrift Light" w:eastAsia="Bahnschrift Light"/>
                <w:b w:val="0"/>
                <w:i w:val="0"/>
                <w:sz w:val="18"/>
                <w:u w:val="none"/>
              </w:rPr>
              <w:t>No previsto</w:t>
            </w:r>
          </w:p>
        </w:tc>
        <w:tc>
          <w:tcPr>
            <w:tcW w:type="dxa" w:w="4340"/>
          </w:tcPr>
          <w:p>
            <w:pPr>
              <w:spacing w:after="40" w:before="40" w:line="240" w:lineRule="auto"/>
              <w:jc w:val="left"/>
            </w:pPr>
            <w:r>
              <w:rPr>
                <w:rFonts w:ascii="Bahnschrift Light" w:hAnsi="Bahnschrift Light" w:cs="Bahnschrift Light" w:eastAsia="Bahnschrift Light"/>
                <w:b w:val="0"/>
                <w:i w:val="0"/>
                <w:sz w:val="18"/>
                <w:u w:val="none"/>
              </w:rPr>
              <w:t>Un representante</w:t>
            </w:r>
          </w:p>
        </w:tc>
      </w:tr>
      <w:tr>
        <w:trPr>
          <w:cantSplit/>
        </w:trPr>
        <w:tc>
          <w:tcPr>
            <w:tcW w:type="dxa" w:w="2240"/>
          </w:tcPr>
          <w:p>
            <w:pPr>
              <w:spacing w:after="40" w:before="40" w:line="240" w:lineRule="auto"/>
              <w:jc w:val="left"/>
            </w:pPr>
            <w:r>
              <w:rPr>
                <w:rFonts w:ascii="Bahnschrift Light" w:hAnsi="Bahnschrift Light" w:cs="Bahnschrift Light" w:eastAsia="Bahnschrift Light"/>
                <w:b w:val="0"/>
                <w:i w:val="0"/>
                <w:sz w:val="18"/>
                <w:u w:val="none"/>
              </w:rPr>
              <w:t>Planeación financiera o presupuesto</w:t>
            </w:r>
          </w:p>
        </w:tc>
        <w:tc>
          <w:tcPr>
            <w:tcW w:type="dxa" w:w="3500"/>
          </w:tcPr>
          <w:p>
            <w:pPr>
              <w:spacing w:after="40" w:before="40" w:line="240" w:lineRule="auto"/>
              <w:jc w:val="left"/>
            </w:pPr>
            <w:r>
              <w:rPr>
                <w:rFonts w:ascii="Bahnschrift Light" w:hAnsi="Bahnschrift Light" w:cs="Bahnschrift Light" w:eastAsia="Bahnschrift Light"/>
                <w:b w:val="0"/>
                <w:i w:val="0"/>
                <w:sz w:val="18"/>
                <w:u w:val="none"/>
              </w:rPr>
              <w:t>No previsto</w:t>
            </w:r>
          </w:p>
        </w:tc>
        <w:tc>
          <w:tcPr>
            <w:tcW w:type="dxa" w:w="4340"/>
          </w:tcPr>
          <w:p>
            <w:pPr>
              <w:spacing w:after="40" w:before="40" w:line="240" w:lineRule="auto"/>
              <w:jc w:val="left"/>
            </w:pPr>
            <w:r>
              <w:rPr>
                <w:rFonts w:ascii="Bahnschrift Light" w:hAnsi="Bahnschrift Light" w:cs="Bahnschrift Light" w:eastAsia="Bahnschrift Light"/>
                <w:b w:val="0"/>
                <w:i w:val="0"/>
                <w:sz w:val="18"/>
                <w:u w:val="none"/>
              </w:rPr>
              <w:t>Un representante</w:t>
            </w:r>
          </w:p>
        </w:tc>
      </w:tr>
      <w:tr>
        <w:trPr>
          <w:cantSplit/>
        </w:trPr>
        <w:tc>
          <w:tcPr>
            <w:tcW w:type="dxa" w:w="2240"/>
          </w:tcPr>
          <w:p>
            <w:pPr>
              <w:spacing w:after="40" w:before="40" w:line="240" w:lineRule="auto"/>
              <w:jc w:val="left"/>
            </w:pPr>
            <w:r>
              <w:rPr>
                <w:rFonts w:ascii="Bahnschrift Light" w:hAnsi="Bahnschrift Light" w:cs="Bahnschrift Light" w:eastAsia="Bahnschrift Light"/>
                <w:b w:val="0"/>
                <w:i w:val="0"/>
                <w:sz w:val="18"/>
                <w:u w:val="none"/>
              </w:rPr>
              <w:t>Auditor interno</w:t>
            </w:r>
          </w:p>
        </w:tc>
        <w:tc>
          <w:tcPr>
            <w:tcW w:type="dxa" w:w="3500"/>
          </w:tcPr>
          <w:p>
            <w:pPr>
              <w:spacing w:after="40" w:before="40" w:line="240" w:lineRule="auto"/>
              <w:jc w:val="left"/>
            </w:pPr>
            <w:r>
              <w:rPr>
                <w:rFonts w:ascii="Bahnschrift Light" w:hAnsi="Bahnschrift Light" w:cs="Bahnschrift Light" w:eastAsia="Bahnschrift Light"/>
                <w:b w:val="0"/>
                <w:i w:val="0"/>
                <w:sz w:val="18"/>
                <w:u w:val="none"/>
              </w:rPr>
              <w:t>Voz, sin voto</w:t>
            </w:r>
          </w:p>
        </w:tc>
        <w:tc>
          <w:tcPr>
            <w:tcW w:type="dxa" w:w="4340"/>
          </w:tcPr>
          <w:p>
            <w:pPr>
              <w:spacing w:after="40" w:before="40" w:line="240" w:lineRule="auto"/>
              <w:jc w:val="left"/>
            </w:pPr>
            <w:r>
              <w:rPr>
                <w:rFonts w:ascii="Bahnschrift Light" w:hAnsi="Bahnschrift Light" w:cs="Bahnschrift Light" w:eastAsia="Bahnschrift Light"/>
                <w:b w:val="0"/>
                <w:i w:val="0"/>
                <w:sz w:val="18"/>
                <w:u w:val="none"/>
              </w:rPr>
              <w:t>Voz, sin voto</w:t>
            </w:r>
          </w:p>
        </w:tc>
      </w:tr>
      <w:tr>
        <w:trPr>
          <w:cantSplit/>
        </w:trPr>
        <w:tc>
          <w:tcPr>
            <w:tcW w:type="dxa" w:w="2240"/>
          </w:tcPr>
          <w:p>
            <w:pPr>
              <w:spacing w:after="40" w:before="40" w:line="240" w:lineRule="auto"/>
              <w:jc w:val="left"/>
            </w:pPr>
            <w:r>
              <w:rPr>
                <w:rFonts w:ascii="Bahnschrift Light" w:hAnsi="Bahnschrift Light" w:cs="Bahnschrift Light" w:eastAsia="Bahnschrift Light"/>
                <w:b w:val="0"/>
                <w:i w:val="0"/>
                <w:sz w:val="18"/>
                <w:u w:val="none"/>
              </w:rPr>
              <w:t>Periodicidad mínima</w:t>
            </w:r>
          </w:p>
        </w:tc>
        <w:tc>
          <w:tcPr>
            <w:tcW w:type="dxa" w:w="3500"/>
          </w:tcPr>
          <w:p>
            <w:pPr>
              <w:spacing w:after="40" w:before="40" w:line="240" w:lineRule="auto"/>
              <w:jc w:val="left"/>
            </w:pPr>
            <w:r>
              <w:rPr>
                <w:rFonts w:ascii="Bahnschrift Light" w:hAnsi="Bahnschrift Light" w:cs="Bahnschrift Light" w:eastAsia="Bahnschrift Light"/>
                <w:b w:val="0"/>
                <w:i w:val="0"/>
                <w:sz w:val="18"/>
                <w:u w:val="none"/>
              </w:rPr>
              <w:t>Mensual (art. 70, último párrafo)</w:t>
            </w:r>
          </w:p>
        </w:tc>
        <w:tc>
          <w:tcPr>
            <w:tcW w:type="dxa" w:w="4340"/>
          </w:tcPr>
          <w:p>
            <w:pPr>
              <w:spacing w:after="40" w:before="40" w:line="240" w:lineRule="auto"/>
              <w:jc w:val="left"/>
            </w:pPr>
            <w:r>
              <w:rPr>
                <w:rFonts w:ascii="Bahnschrift Light" w:hAnsi="Bahnschrift Light" w:cs="Bahnschrift Light" w:eastAsia="Bahnschrift Light"/>
                <w:b w:val="0"/>
                <w:i w:val="0"/>
                <w:sz w:val="18"/>
                <w:u w:val="none"/>
              </w:rPr>
              <w:t>Trimestral (art. 168 Bis 5, último párrafo)</w:t>
            </w:r>
          </w:p>
        </w:tc>
      </w:tr>
      <w:tr>
        <w:trPr>
          <w:cantSplit/>
        </w:trPr>
        <w:tc>
          <w:tcPr>
            <w:tcW w:type="dxa" w:w="2240"/>
          </w:tcPr>
          <w:p>
            <w:pPr>
              <w:spacing w:after="40" w:before="40" w:line="240" w:lineRule="auto"/>
              <w:jc w:val="left"/>
            </w:pPr>
            <w:r>
              <w:rPr>
                <w:rFonts w:ascii="Bahnschrift Light" w:hAnsi="Bahnschrift Light" w:cs="Bahnschrift Light" w:eastAsia="Bahnschrift Light"/>
                <w:b w:val="0"/>
                <w:i w:val="0"/>
                <w:sz w:val="18"/>
                <w:u w:val="none"/>
              </w:rPr>
              <w:t>Quórum calificado</w:t>
            </w:r>
          </w:p>
        </w:tc>
        <w:tc>
          <w:tcPr>
            <w:tcW w:type="dxa" w:w="3500"/>
          </w:tcPr>
          <w:p>
            <w:pPr>
              <w:spacing w:after="40" w:before="40" w:line="240" w:lineRule="auto"/>
              <w:jc w:val="left"/>
            </w:pPr>
            <w:r>
              <w:rPr>
                <w:rFonts w:ascii="Bahnschrift Light" w:hAnsi="Bahnschrift Light" w:cs="Bahnschrift Light" w:eastAsia="Bahnschrift Light"/>
                <w:b w:val="0"/>
                <w:i w:val="0"/>
                <w:sz w:val="18"/>
                <w:u w:val="none"/>
              </w:rPr>
              <w:t>No previsto expresamente</w:t>
            </w:r>
          </w:p>
        </w:tc>
        <w:tc>
          <w:tcPr>
            <w:tcW w:type="dxa" w:w="4340"/>
          </w:tcPr>
          <w:p>
            <w:pPr>
              <w:spacing w:after="40" w:before="40" w:line="240" w:lineRule="auto"/>
              <w:jc w:val="left"/>
            </w:pPr>
            <w:r>
              <w:rPr>
                <w:rFonts w:ascii="Bahnschrift Light" w:hAnsi="Bahnschrift Light" w:cs="Bahnschrift Light" w:eastAsia="Bahnschrift Light"/>
                <w:b w:val="0"/>
                <w:i w:val="0"/>
                <w:sz w:val="18"/>
                <w:u w:val="none"/>
              </w:rPr>
              <w:t>Mayoría de integrantes y, en todo caso, asistencia del consejero independiente</w:t>
            </w:r>
          </w:p>
        </w:tc>
      </w:tr>
      <w:tr>
        <w:trPr>
          <w:cantSplit/>
        </w:trPr>
        <w:tc>
          <w:tcPr>
            <w:tcW w:type="dxa" w:w="2240"/>
          </w:tcPr>
          <w:p>
            <w:pPr>
              <w:spacing w:after="40" w:before="40" w:line="240" w:lineRule="auto"/>
              <w:jc w:val="left"/>
            </w:pPr>
            <w:r>
              <w:rPr>
                <w:rFonts w:ascii="Bahnschrift Light" w:hAnsi="Bahnschrift Light" w:cs="Bahnschrift Light" w:eastAsia="Bahnschrift Light"/>
                <w:b w:val="0"/>
                <w:i w:val="0"/>
                <w:sz w:val="18"/>
                <w:u w:val="none"/>
              </w:rPr>
              <w:t>Revelación pública de su composición y funciones</w:t>
            </w:r>
          </w:p>
        </w:tc>
        <w:tc>
          <w:tcPr>
            <w:tcW w:type="dxa" w:w="3500"/>
          </w:tcPr>
          <w:p>
            <w:pPr>
              <w:spacing w:after="40" w:before="40" w:line="240" w:lineRule="auto"/>
              <w:jc w:val="left"/>
            </w:pPr>
            <w:r>
              <w:rPr>
                <w:rFonts w:ascii="Bahnschrift Light" w:hAnsi="Bahnschrift Light" w:cs="Bahnschrift Light" w:eastAsia="Bahnschrift Light"/>
                <w:b w:val="0"/>
                <w:i w:val="0"/>
                <w:sz w:val="18"/>
                <w:u w:val="none"/>
              </w:rPr>
              <w:t>No exigida por el artículo 168 Bis 3</w:t>
            </w:r>
          </w:p>
        </w:tc>
        <w:tc>
          <w:tcPr>
            <w:tcW w:type="dxa" w:w="4340"/>
          </w:tcPr>
          <w:p>
            <w:pPr>
              <w:spacing w:after="40" w:before="40" w:line="240" w:lineRule="auto"/>
              <w:jc w:val="left"/>
            </w:pPr>
            <w:r>
              <w:rPr>
                <w:rFonts w:ascii="Bahnschrift Light" w:hAnsi="Bahnschrift Light" w:cs="Bahnschrift Light" w:eastAsia="Bahnschrift Light"/>
                <w:b w:val="0"/>
                <w:i w:val="0"/>
                <w:sz w:val="18"/>
                <w:u w:val="none"/>
              </w:rPr>
              <w:t>Exigida (art. 168 Bis 3, fracc. I, inciso b), numeral 1)</w:t>
            </w:r>
          </w:p>
        </w:tc>
      </w:tr>
    </w:tbl>
    <w:p>
      <w:pPr>
        <w:spacing w:after="80" w:before="0" w:line="276" w:lineRule="auto"/>
        <w:jc w:val="both"/>
      </w:pPr>
    </w:p>
    <w:p>
      <w:pPr>
        <w:pStyle w:val="ListParagraph"/>
        <w:keepNext/>
        <w:spacing w:after="120" w:before="200" w:line="276" w:lineRule="auto"/>
        <w:ind w:left="425" w:firstLine="0"/>
        <w:jc w:val="both"/>
      </w:pPr>
      <w:r>
        <w:rPr>
          <w:rFonts w:ascii="Bahnschrift Light" w:hAnsi="Bahnschrift Light" w:cs="Bahnschrift Light" w:eastAsia="Bahnschrift Light"/>
          <w:b/>
          <w:i w:val="0"/>
          <w:sz w:val="22"/>
          <w:u w:val="none"/>
        </w:rPr>
        <w:t>4. El director general se sienta en uno y no en el otro</w:t>
      </w:r>
    </w:p>
    <w:p>
      <w:pPr>
        <w:spacing w:after="120" w:before="0" w:line="276" w:lineRule="auto"/>
        <w:jc w:val="both"/>
      </w:pPr>
      <w:r>
        <w:rPr>
          <w:rFonts w:ascii="Bahnschrift Light" w:hAnsi="Bahnschrift Light" w:cs="Bahnschrift Light" w:eastAsia="Bahnschrift Light"/>
          <w:b w:val="0"/>
          <w:i w:val="0"/>
          <w:sz w:val="22"/>
          <w:u w:val="none"/>
        </w:rPr>
        <w:t xml:space="preserve">El director general es miembro con voto del comité de riesgos conforme al artículo 70, fracción I, inciso b), de la CUB. </w:t>
      </w:r>
      <w:r>
        <w:rPr>
          <w:rFonts w:ascii="Bahnschrift Light" w:hAnsi="Bahnschrift Light" w:cs="Bahnschrift Light" w:eastAsia="Bahnschrift Light"/>
          <w:b/>
          <w:i w:val="0"/>
          <w:sz w:val="22"/>
          <w:u w:val="none"/>
        </w:rPr>
        <w:t>No</w:t>
      </w:r>
      <w:r>
        <w:rPr>
          <w:rFonts w:ascii="Bahnschrift Light" w:hAnsi="Bahnschrift Light" w:cs="Bahnschrift Light" w:eastAsia="Bahnschrift Light"/>
          <w:b w:val="0"/>
          <w:i w:val="0"/>
          <w:sz w:val="22"/>
          <w:u w:val="none"/>
        </w:rPr>
        <w:t xml:space="preserve"> es miembro del Comité de Remuneración según el artículo 168 Bis 5.</w:t>
      </w:r>
    </w:p>
    <w:p>
      <w:pPr>
        <w:spacing w:after="120" w:before="0" w:line="276" w:lineRule="auto"/>
        <w:jc w:val="both"/>
      </w:pPr>
      <w:r>
        <w:rPr>
          <w:rFonts w:ascii="Bahnschrift Light" w:hAnsi="Bahnschrift Light" w:cs="Bahnschrift Light" w:eastAsia="Bahnschrift Light"/>
          <w:b w:val="0"/>
          <w:i w:val="0"/>
          <w:sz w:val="22"/>
          <w:u w:val="none"/>
        </w:rPr>
        <w:t>La separación no es casual. El Comité de Remuneración propone al consejo la relación del personal sujeto al Sistema de Remuneración y los casos o circunstancias especiales en los cuales podría exceptuarse a alguna persona de la aplicación de las políticas autorizadas (artículo 168 Bis 6, fracción I, incisos b) y c)). Mantener al director general fuera de ese órgano evita que participe en decisiones que alcanzan su propia retribución y la de sus reportes directos.</w:t>
      </w:r>
    </w:p>
    <w:p>
      <w:pPr>
        <w:spacing w:after="120" w:before="0" w:line="276" w:lineRule="auto"/>
        <w:jc w:val="both"/>
      </w:pPr>
      <w:r>
        <w:rPr>
          <w:rFonts w:ascii="Bahnschrift Light" w:hAnsi="Bahnschrift Light" w:cs="Bahnschrift Light" w:eastAsia="Bahnschrift Light"/>
          <w:b w:val="0"/>
          <w:i w:val="0"/>
          <w:sz w:val="22"/>
          <w:u w:val="none"/>
        </w:rPr>
        <w:t xml:space="preserve">Conviene notar que la CUB es sensible a esta clase de conflicto en un supuesto análogo: el artículo 77 dispone que el informe bianual de evaluación técnica de la Administración Integral de Riesgos, suscrito por el director general como responsable, será aprobado por el comité de riesgos </w:t>
      </w:r>
      <w:r>
        <w:rPr>
          <w:rFonts w:ascii="Bahnschrift Light" w:hAnsi="Bahnschrift Light" w:cs="Bahnschrift Light" w:eastAsia="Bahnschrift Light"/>
          <w:b/>
          <w:i w:val="0"/>
          <w:sz w:val="22"/>
          <w:u w:val="none"/>
        </w:rPr>
        <w:t>sin el voto del director general</w:t>
      </w:r>
      <w:r>
        <w:rPr>
          <w:rFonts w:ascii="Bahnschrift Light" w:hAnsi="Bahnschrift Light" w:cs="Bahnschrift Light" w:eastAsia="Bahnschrift Light"/>
          <w:b w:val="0"/>
          <w:i w:val="0"/>
          <w:sz w:val="22"/>
          <w:u w:val="none"/>
        </w:rPr>
        <w:t>. El artículo 168 Bis 8 no contiene una salvedad equivalente para el caso de unificación, lo que obliga a resolver la abstención en el diseño interno.</w:t>
      </w:r>
    </w:p>
    <w:p>
      <w:pPr>
        <w:pStyle w:val="ListParagraph"/>
        <w:keepNext/>
        <w:spacing w:after="120" w:before="200" w:line="276" w:lineRule="auto"/>
        <w:ind w:left="425" w:firstLine="0"/>
        <w:jc w:val="both"/>
      </w:pPr>
      <w:r>
        <w:rPr>
          <w:rFonts w:ascii="Bahnschrift Light" w:hAnsi="Bahnschrift Light" w:cs="Bahnschrift Light" w:eastAsia="Bahnschrift Light"/>
          <w:b/>
          <w:i w:val="0"/>
          <w:sz w:val="22"/>
          <w:u w:val="none"/>
        </w:rPr>
        <w:t>5. Los miembros del Comité de Remuneración se hacen públicos</w:t>
      </w:r>
    </w:p>
    <w:p>
      <w:pPr>
        <w:spacing w:after="120" w:before="0" w:line="276" w:lineRule="auto"/>
        <w:jc w:val="both"/>
      </w:pPr>
      <w:r>
        <w:rPr>
          <w:rFonts w:ascii="Bahnschrift Light" w:hAnsi="Bahnschrift Light" w:cs="Bahnschrift Light" w:eastAsia="Bahnschrift Light"/>
          <w:b w:val="0"/>
          <w:i w:val="0"/>
          <w:sz w:val="22"/>
          <w:u w:val="none"/>
        </w:rPr>
        <w:t>El artículo 168 Bis 3, fracción I, inciso b), de la CUB obliga a difundir en el sitio de internet de la institución y en el reporte a que se refiere el artículo 180, fracción I, de la propia CUB, actualizada anualmente: la composición y las funciones del Comité de Remuneración (numeral 1); los consultores externos que hayan asesorado, el órgano que los comisionó y las áreas del proceso en que participaron (numeral 2); el alcance de la política de remuneraciones por regiones o líneas de negocio, incluida su extensión a filiales y subsidiarias (numeral 3); y una descripción de los tipos de empleados considerados tomadores de riesgo y sus directivos, con el número de empleados en cada grupo (numeral 4). La fracción II, inciso a), añade el número de reuniones del comité durante el ejercicio.</w:t>
      </w:r>
    </w:p>
    <w:p>
      <w:pPr>
        <w:spacing w:after="120" w:before="0" w:line="276" w:lineRule="auto"/>
        <w:jc w:val="both"/>
      </w:pPr>
      <w:r>
        <w:rPr>
          <w:rFonts w:ascii="Bahnschrift Light" w:hAnsi="Bahnschrift Light" w:cs="Bahnschrift Light" w:eastAsia="Bahnschrift Light"/>
          <w:b w:val="0"/>
          <w:i w:val="0"/>
          <w:sz w:val="22"/>
          <w:u w:val="none"/>
        </w:rPr>
        <w:t>La CUB impone esa revelación por referencia al Comité de Remuneración. Unificar traslada el perímetro de revelación al comité de riesgos: su composición, su cadencia de sesiones y el arreglo mismo pasan a ser información pública anual y comparable frente al resto del mercado.</w:t>
      </w:r>
    </w:p>
    <w:p>
      <w:pPr>
        <w:pStyle w:val="ListParagraph"/>
        <w:keepNext/>
        <w:spacing w:after="120" w:before="200" w:line="276" w:lineRule="auto"/>
        <w:ind w:left="425" w:firstLine="0"/>
        <w:jc w:val="both"/>
      </w:pPr>
      <w:r>
        <w:rPr>
          <w:rFonts w:ascii="Bahnschrift Light" w:hAnsi="Bahnschrift Light" w:cs="Bahnschrift Light" w:eastAsia="Bahnschrift Light"/>
          <w:b/>
          <w:i w:val="0"/>
          <w:sz w:val="22"/>
          <w:u w:val="none"/>
        </w:rPr>
        <w:t>6. La independencia retributiva de las funciones de control</w:t>
      </w:r>
    </w:p>
    <w:p>
      <w:pPr>
        <w:spacing w:after="120" w:before="0" w:line="276" w:lineRule="auto"/>
        <w:jc w:val="both"/>
      </w:pPr>
      <w:r>
        <w:rPr>
          <w:rFonts w:ascii="Bahnschrift Light" w:hAnsi="Bahnschrift Light" w:cs="Bahnschrift Light" w:eastAsia="Bahnschrift Light"/>
          <w:b w:val="0"/>
          <w:i w:val="0"/>
          <w:sz w:val="22"/>
          <w:u w:val="none"/>
        </w:rPr>
        <w:t xml:space="preserve">El artículo 168 Bis 1, fracción II, inciso b), de la CUB exige que las remuneraciones del personal encargado de la Administración Integral de Riesgos y de las áreas de control interno se establezcan de forma que el cociente de Remuneraciones Extraordinarias entre Remuneraciones Ordinarias sea </w:t>
      </w:r>
      <w:r>
        <w:rPr>
          <w:rFonts w:ascii="Bahnschrift Light" w:hAnsi="Bahnschrift Light" w:cs="Bahnschrift Light" w:eastAsia="Bahnschrift Light"/>
          <w:b/>
          <w:i w:val="0"/>
          <w:sz w:val="22"/>
          <w:u w:val="none"/>
        </w:rPr>
        <w:t>menor</w:t>
      </w:r>
      <w:r>
        <w:rPr>
          <w:rFonts w:ascii="Bahnschrift Light" w:hAnsi="Bahnschrift Light" w:cs="Bahnschrift Light" w:eastAsia="Bahnschrift Light"/>
          <w:b w:val="0"/>
          <w:i w:val="0"/>
          <w:sz w:val="22"/>
          <w:u w:val="none"/>
        </w:rPr>
        <w:t xml:space="preserve"> que el respectivo cociente de los empleados asignados a las áreas de negocio, y que el pago de las extraordinarias se base en el logro de los objetivos de las propias áreas de riesgo y control.</w:t>
      </w:r>
    </w:p>
    <w:p>
      <w:pPr>
        <w:spacing w:after="120" w:before="0" w:line="276" w:lineRule="auto"/>
        <w:jc w:val="both"/>
      </w:pPr>
      <w:r>
        <w:rPr>
          <w:rFonts w:ascii="Bahnschrift Light" w:hAnsi="Bahnschrift Light" w:cs="Bahnschrift Light" w:eastAsia="Bahnschrift Light"/>
          <w:b w:val="0"/>
          <w:i w:val="0"/>
          <w:sz w:val="22"/>
          <w:u w:val="none"/>
        </w:rPr>
        <w:t>El artículo 168 Bis 3, fracción I, inciso c), numeral 3, obliga además a revelar públicamente la explicación de cómo la institución garantiza que las remuneraciones del personal de administración de riesgos, control y auditoría se determinan con independencia de las áreas que supervisan.</w:t>
      </w:r>
    </w:p>
    <w:p>
      <w:pPr>
        <w:spacing w:after="120" w:before="0" w:line="276" w:lineRule="auto"/>
        <w:jc w:val="both"/>
      </w:pPr>
      <w:r>
        <w:rPr>
          <w:rFonts w:ascii="Bahnschrift Light" w:hAnsi="Bahnschrift Light" w:cs="Bahnschrift Light" w:eastAsia="Bahnschrift Light"/>
          <w:b w:val="0"/>
          <w:i w:val="0"/>
          <w:sz w:val="22"/>
          <w:u w:val="none"/>
        </w:rPr>
        <w:t>Si el comité de riesgos fija las remuneraciones, el titular de la UAIR integra el órgano que determina la retribución de su propia área, y la institución debe poder sostener públicamente esa explicación de independencia. Con los comités separados, el titular de la UAIR participa en el Comité de Remuneración aportando el análisis de riesgos que el artículo 168 Bis 9 le exige, no fijando el techo de su propia área.</w:t>
      </w:r>
    </w:p>
    <w:p>
      <w:pPr>
        <w:pStyle w:val="ListParagraph"/>
        <w:keepNext/>
        <w:spacing w:after="120" w:before="200" w:line="276" w:lineRule="auto"/>
        <w:ind w:left="425" w:firstLine="0"/>
        <w:jc w:val="both"/>
      </w:pPr>
      <w:r>
        <w:rPr>
          <w:rFonts w:ascii="Bahnschrift Light" w:hAnsi="Bahnschrift Light" w:cs="Bahnschrift Light" w:eastAsia="Bahnschrift Light"/>
          <w:b/>
          <w:i w:val="0"/>
          <w:sz w:val="22"/>
          <w:u w:val="none"/>
        </w:rPr>
        <w:t>7. La revisión cruzada en tres capas</w:t>
      </w:r>
    </w:p>
    <w:p>
      <w:pPr>
        <w:spacing w:after="120" w:before="0" w:line="276" w:lineRule="auto"/>
        <w:jc w:val="both"/>
      </w:pPr>
      <w:r>
        <w:rPr>
          <w:rFonts w:ascii="Bahnschrift Light" w:hAnsi="Bahnschrift Light" w:cs="Bahnschrift Light" w:eastAsia="Bahnschrift Light"/>
          <w:b w:val="0"/>
          <w:i w:val="0"/>
          <w:sz w:val="22"/>
          <w:u w:val="none"/>
        </w:rPr>
        <w:t>Este es el argumento estructural. Con los comités separados, la CUB distribuye la función retributiva en tres capas que se revisan sucesivamente.</w:t>
      </w:r>
    </w:p>
    <w:p>
      <w:pPr>
        <w:spacing w:after="120" w:before="0" w:line="276" w:lineRule="auto"/>
        <w:ind w:left="283"/>
        <w:jc w:val="both"/>
      </w:pPr>
      <w:r>
        <w:rPr>
          <w:rFonts w:ascii="Bahnschrift Light" w:hAnsi="Bahnschrift Light" w:cs="Bahnschrift Light" w:eastAsia="Bahnschrift Light"/>
          <w:b/>
          <w:i w:val="0"/>
          <w:sz w:val="22"/>
          <w:u w:val="none"/>
        </w:rPr>
        <w:t xml:space="preserve">Primera capa — diseño. </w:t>
      </w:r>
      <w:r>
        <w:rPr>
          <w:rFonts w:ascii="Bahnschrift Light" w:hAnsi="Bahnschrift Light" w:cs="Bahnschrift Light" w:eastAsia="Bahnschrift Light"/>
          <w:b w:val="0"/>
          <w:i w:val="0"/>
          <w:sz w:val="22"/>
          <w:u w:val="none"/>
        </w:rPr>
        <w:t>El Comité de Remuneración propone las políticas y el perímetro de personal sujeto al sistema, e implementa y mantiene el Sistema de Remuneración (artículo 168 Bis 6, fracciones I y II), alimentado por los análisis de escenarios y proyecciones que la UAIR debe someterle sobre los efectos de la materialización de riesgos y de la aplicación de los esquemas retributivos (artículo 168 Bis 9).</w:t>
      </w:r>
    </w:p>
    <w:p>
      <w:pPr>
        <w:spacing w:after="120" w:before="0" w:line="276" w:lineRule="auto"/>
        <w:ind w:left="283"/>
        <w:jc w:val="both"/>
      </w:pPr>
      <w:r>
        <w:rPr>
          <w:rFonts w:ascii="Bahnschrift Light" w:hAnsi="Bahnschrift Light" w:cs="Bahnschrift Light" w:eastAsia="Bahnschrift Light"/>
          <w:b/>
          <w:i w:val="0"/>
          <w:sz w:val="22"/>
          <w:u w:val="none"/>
        </w:rPr>
        <w:t xml:space="preserve">Segunda capa — equilibrio riesgo-remuneración. </w:t>
      </w:r>
      <w:r>
        <w:rPr>
          <w:rFonts w:ascii="Bahnschrift Light" w:hAnsi="Bahnschrift Light" w:cs="Bahnschrift Light" w:eastAsia="Bahnschrift Light"/>
          <w:b w:val="0"/>
          <w:i w:val="0"/>
          <w:sz w:val="22"/>
          <w:u w:val="none"/>
        </w:rPr>
        <w:t>El comité de riesgos elabora y presenta al consejo un reporte anual sobre el desempeño del Sistema de Remuneración, considerando la relación de equilibrio entre los riesgos asumidos por la institución y las remuneraciones aplicables durante el ejercicio (artículo 168 Bis 7).</w:t>
      </w:r>
    </w:p>
    <w:p>
      <w:pPr>
        <w:spacing w:after="120" w:before="0" w:line="276" w:lineRule="auto"/>
        <w:ind w:left="283"/>
        <w:jc w:val="both"/>
      </w:pPr>
      <w:r>
        <w:rPr>
          <w:rFonts w:ascii="Bahnschrift Light" w:hAnsi="Bahnschrift Light" w:cs="Bahnschrift Light" w:eastAsia="Bahnschrift Light"/>
          <w:b/>
          <w:i w:val="0"/>
          <w:sz w:val="22"/>
          <w:u w:val="none"/>
        </w:rPr>
        <w:t xml:space="preserve">Tercera capa — consistencia en la aplicación. </w:t>
      </w:r>
      <w:r>
        <w:rPr>
          <w:rFonts w:ascii="Bahnschrift Light" w:hAnsi="Bahnschrift Light" w:cs="Bahnschrift Light" w:eastAsia="Bahnschrift Light"/>
          <w:b w:val="0"/>
          <w:i w:val="0"/>
          <w:sz w:val="22"/>
          <w:u w:val="none"/>
        </w:rPr>
        <w:t>El Comité de Auditoría informa al consejo, cuando menos una vez al año, sobre la consistencia en la aplicación del Sistema de Remuneración, con evaluación del apego a las políticas y las excepciones y su fundamento, los ajustes derivados de pérdidas no previstas, y los aspectos significativos que pudieran afectar la liquidez, solvencia y estabilidad de la institución (artículo 168 Bis 10, fracciones I a III).</w:t>
      </w:r>
    </w:p>
    <w:p>
      <w:pPr>
        <w:spacing w:after="120" w:before="0" w:line="276" w:lineRule="auto"/>
        <w:jc w:val="both"/>
      </w:pPr>
      <w:r>
        <w:rPr>
          <w:rFonts w:ascii="Bahnschrift Light" w:hAnsi="Bahnschrift Light" w:cs="Bahnschrift Light" w:eastAsia="Bahnschrift Light"/>
          <w:b w:val="0"/>
          <w:i w:val="0"/>
          <w:sz w:val="22"/>
          <w:u w:val="none"/>
        </w:rPr>
        <w:t>Cada capa revisa a la anterior sin revisarse a sí misma. Es esta arquitectura —no una prohibición— la que justifica la separación.</w:t>
      </w:r>
    </w:p>
    <w:p>
      <w:pPr>
        <w:pStyle w:val="ListParagraph"/>
        <w:keepNext/>
        <w:spacing w:after="120" w:before="200" w:line="276" w:lineRule="auto"/>
        <w:ind w:left="425" w:firstLine="0"/>
        <w:jc w:val="both"/>
      </w:pPr>
      <w:r>
        <w:rPr>
          <w:rFonts w:ascii="Bahnschrift Light" w:hAnsi="Bahnschrift Light" w:cs="Bahnschrift Light" w:eastAsia="Bahnschrift Light"/>
          <w:b/>
          <w:i w:val="0"/>
          <w:sz w:val="22"/>
          <w:u w:val="none"/>
        </w:rPr>
        <w:t>8. Cuándo la unificación tiene más sentido</w:t>
      </w:r>
    </w:p>
    <w:p>
      <w:pPr>
        <w:spacing w:after="120" w:before="0" w:line="276" w:lineRule="auto"/>
        <w:jc w:val="both"/>
      </w:pPr>
      <w:r>
        <w:rPr>
          <w:rFonts w:ascii="Bahnschrift Light" w:hAnsi="Bahnschrift Light" w:cs="Bahnschrift Light" w:eastAsia="Bahnschrift Light"/>
          <w:b w:val="0"/>
          <w:i w:val="0"/>
          <w:sz w:val="22"/>
          <w:u w:val="none"/>
        </w:rPr>
        <w:t>La unificación tiene un supuesto natural de aplicación: instituciones de escala reducida, particularmente filiales con banca de consejeros independientes limitada, donde sostener un comité adicional con sesiones trimestrales, actas circunstanciadas suscritas por todos los asistentes y asistencia obligatoria del consejero independiente resulta desproporcionado frente al volumen y complejidad de los temas retributivos.</w:t>
      </w:r>
    </w:p>
    <w:p>
      <w:pPr>
        <w:spacing w:after="120" w:before="0" w:line="276" w:lineRule="auto"/>
        <w:jc w:val="both"/>
      </w:pPr>
      <w:r>
        <w:rPr>
          <w:rFonts w:ascii="Bahnschrift Light" w:hAnsi="Bahnschrift Light" w:cs="Bahnschrift Light" w:eastAsia="Bahnschrift Light"/>
          <w:b/>
          <w:i w:val="0"/>
          <w:sz w:val="22"/>
          <w:u w:val="none"/>
        </w:rPr>
        <w:t xml:space="preserve">Requisitos para unificar. </w:t>
      </w:r>
      <w:r>
        <w:rPr>
          <w:rFonts w:ascii="Bahnschrift Light" w:hAnsi="Bahnschrift Light" w:cs="Bahnschrift Light" w:eastAsia="Bahnschrift Light"/>
          <w:b w:val="0"/>
          <w:i w:val="0"/>
          <w:sz w:val="22"/>
          <w:u w:val="none"/>
        </w:rPr>
        <w:t xml:space="preserve">El artículo 168 Bis 8 de la CUB condiciona la unificación a que al menos uno de los consejeros que integren el comité de riesgos sea independiente y otro cuente con amplia experiencia en administración de riesgos o control interno. El artículo 70 no impone ninguna de esas dos condiciones al comité de riesgos por sí mismo. Adicionalmente, el segundo párrafo del artículo 168 Bis 8 exige que, cuando el comité de riesgos discuta temas de remuneración, se invite a un representante de recursos humanos y a uno del área de planeación financiera o presupuesto, quienes participarán con voz y voto </w:t>
      </w:r>
      <w:r>
        <w:rPr>
          <w:rFonts w:ascii="Bahnschrift Light" w:hAnsi="Bahnschrift Light" w:cs="Bahnschrift Light" w:eastAsia="Bahnschrift Light"/>
          <w:b w:val="0"/>
          <w:i/>
          <w:sz w:val="22"/>
          <w:u w:val="none"/>
        </w:rPr>
        <w:t>únicamente</w:t>
      </w:r>
      <w:r>
        <w:rPr>
          <w:rFonts w:ascii="Bahnschrift Light" w:hAnsi="Bahnschrift Light" w:cs="Bahnschrift Light" w:eastAsia="Bahnschrift Light"/>
          <w:b w:val="0"/>
          <w:i w:val="0"/>
          <w:sz w:val="22"/>
          <w:u w:val="none"/>
        </w:rPr>
        <w:t xml:space="preserve"> en esos temas: el resultado es un órgano de composición variable según el punto del orden del día, con la carga documental que ello implica en actas.</w:t>
      </w:r>
    </w:p>
    <w:p>
      <w:pPr>
        <w:spacing w:after="120" w:before="0" w:line="276" w:lineRule="auto"/>
        <w:jc w:val="both"/>
      </w:pPr>
      <w:r>
        <w:rPr>
          <w:rFonts w:ascii="Bahnschrift Light" w:hAnsi="Bahnschrift Light" w:cs="Bahnschrift Light" w:eastAsia="Bahnschrift Light"/>
          <w:b/>
          <w:i w:val="0"/>
          <w:sz w:val="22"/>
          <w:u w:val="none"/>
        </w:rPr>
        <w:t xml:space="preserve">Consecuencia principal: el informe anual se empuja al Comité de Auditoría. </w:t>
      </w:r>
      <w:r>
        <w:rPr>
          <w:rFonts w:ascii="Bahnschrift Light" w:hAnsi="Bahnschrift Light" w:cs="Bahnschrift Light" w:eastAsia="Bahnschrift Light"/>
          <w:b w:val="0"/>
          <w:i w:val="0"/>
          <w:sz w:val="22"/>
          <w:u w:val="none"/>
        </w:rPr>
        <w:t xml:space="preserve">Si el comité de riesgos absorbe las funciones del Comité de Remuneración, el reporte anual del artículo 168 Bis 7 se convertiría en una autoevaluación —el mismo órgano que diseña el Sistema de Remuneración dictaminaría si guarda equilibrio con el riesgo asumido—. La CUB resuelve el conflicto trasladando la carga: el artículo 168 Bis 10, último párrafo, dispone que cuando la institución asigne al comité de riesgos las funciones del Comité de Remuneración en términos del artículo 168 Bis 8, </w:t>
      </w:r>
      <w:r>
        <w:rPr>
          <w:rFonts w:ascii="Bahnschrift Light" w:hAnsi="Bahnschrift Light" w:cs="Bahnschrift Light" w:eastAsia="Bahnschrift Light"/>
          <w:b/>
          <w:i w:val="0"/>
          <w:sz w:val="22"/>
          <w:u w:val="none"/>
        </w:rPr>
        <w:t>el Comité de Auditoría</w:t>
      </w:r>
      <w:r>
        <w:rPr>
          <w:rFonts w:ascii="Bahnschrift Light" w:hAnsi="Bahnschrift Light" w:cs="Bahnschrift Light" w:eastAsia="Bahnschrift Light"/>
          <w:b w:val="0"/>
          <w:i w:val="0"/>
          <w:sz w:val="22"/>
          <w:u w:val="none"/>
        </w:rPr>
        <w:t xml:space="preserve"> deberá elaborar y presentar al consejo el reporte anual del artículo 168 Bis 7.</w:t>
      </w:r>
    </w:p>
    <w:p>
      <w:pPr>
        <w:spacing w:after="120" w:before="0" w:line="276" w:lineRule="auto"/>
        <w:jc w:val="both"/>
      </w:pPr>
      <w:r>
        <w:rPr>
          <w:rFonts w:ascii="Bahnschrift Light" w:hAnsi="Bahnschrift Light" w:cs="Bahnschrift Light" w:eastAsia="Bahnschrift Light"/>
          <w:b w:val="0"/>
          <w:i w:val="0"/>
          <w:sz w:val="22"/>
          <w:u w:val="none"/>
        </w:rPr>
        <w:t>Unificar, por tanto, no ahorra el informe: lo reubica. El Comité de Auditoría termina produciendo dos informes anuales en materia de remuneraciones —el suyo del artículo 168 Bis 10 y el desplazado del artículo 168 Bis 7— además del informe anual sobre el Sistema de Control Interno del artículo 156, fracción VI.</w:t>
      </w:r>
    </w:p>
    <w:p>
      <w:pPr>
        <w:spacing w:after="120" w:before="0" w:line="276" w:lineRule="auto"/>
        <w:jc w:val="both"/>
      </w:pPr>
      <w:r>
        <w:rPr>
          <w:rFonts w:ascii="Bahnschrift Light" w:hAnsi="Bahnschrift Light" w:cs="Bahnschrift Light" w:eastAsia="Bahnschrift Light"/>
          <w:b/>
          <w:i w:val="0"/>
          <w:sz w:val="22"/>
          <w:u w:val="none"/>
        </w:rPr>
        <w:t>La pregunta operativa</w:t>
      </w:r>
      <w:r>
        <w:rPr>
          <w:rFonts w:ascii="Bahnschrift Light" w:hAnsi="Bahnschrift Light" w:cs="Bahnschrift Light" w:eastAsia="Bahnschrift Light"/>
          <w:b w:val="0"/>
          <w:i w:val="0"/>
          <w:sz w:val="22"/>
          <w:u w:val="none"/>
        </w:rPr>
        <w:t>, entonces, no es si la unificación es lícita —lo es— sino si el Comité de Auditoría tiene capacidad efectiva para absorber esa carga sin degradar el resto de sus funciones bajo los artículos 154 a 156 de la CUB. En una institución de tamaño razonable la respuesta suele ser que no, y de ahí la recomendación de separar.</w:t>
      </w:r>
    </w:p>
    <w:p>
      <w:pPr>
        <w:keepNext/>
        <w:spacing w:after="160" w:before="320" w:line="276" w:lineRule="auto"/>
        <w:jc w:val="both"/>
      </w:pPr>
      <w:r>
        <w:rPr>
          <w:rFonts w:ascii="Bahnschrift Light" w:hAnsi="Bahnschrift Light" w:cs="Bahnschrift Light" w:eastAsia="Bahnschrift Light"/>
          <w:b/>
          <w:i w:val="0"/>
          <w:sz w:val="23"/>
          <w:u w:val="none"/>
        </w:rPr>
        <w:t>II. Comités de gobierno corporativo requeridos</w:t>
      </w:r>
    </w:p>
    <w:p>
      <w:pPr>
        <w:spacing w:after="120" w:before="0" w:line="276" w:lineRule="auto"/>
        <w:jc w:val="both"/>
      </w:pPr>
      <w:r>
        <w:rPr>
          <w:rFonts w:ascii="Bahnschrift Light" w:hAnsi="Bahnschrift Light" w:cs="Bahnschrift Light" w:eastAsia="Bahnschrift Light"/>
          <w:b w:val="0"/>
          <w:i w:val="0"/>
          <w:sz w:val="22"/>
          <w:u w:val="none"/>
        </w:rPr>
        <w:t xml:space="preserve">La LIC exige un solo comité en el nivel legal: el </w:t>
      </w:r>
      <w:r>
        <w:rPr>
          <w:rFonts w:ascii="Bahnschrift Light" w:hAnsi="Bahnschrift Light" w:cs="Bahnschrift Light" w:eastAsia="Bahnschrift Light"/>
          <w:b/>
          <w:i w:val="0"/>
          <w:sz w:val="22"/>
          <w:u w:val="none"/>
        </w:rPr>
        <w:t>comité de auditoría</w:t>
      </w:r>
      <w:r>
        <w:rPr>
          <w:rFonts w:ascii="Bahnschrift Light" w:hAnsi="Bahnschrift Light" w:cs="Bahnschrift Light" w:eastAsia="Bahnschrift Light"/>
          <w:b w:val="0"/>
          <w:i w:val="0"/>
          <w:sz w:val="22"/>
          <w:u w:val="none"/>
        </w:rPr>
        <w:t xml:space="preserve"> (artículo 21, segundo párrafo). Los demás comités obligatorios provienen de disposiciones de carácter general: el </w:t>
      </w:r>
      <w:r>
        <w:rPr>
          <w:rFonts w:ascii="Bahnschrift Light" w:hAnsi="Bahnschrift Light" w:cs="Bahnschrift Light" w:eastAsia="Bahnschrift Light"/>
          <w:b/>
          <w:i w:val="0"/>
          <w:sz w:val="22"/>
          <w:u w:val="none"/>
        </w:rPr>
        <w:t>comité de riesgos</w:t>
      </w:r>
      <w:r>
        <w:rPr>
          <w:rFonts w:ascii="Bahnschrift Light" w:hAnsi="Bahnschrift Light" w:cs="Bahnschrift Light" w:eastAsia="Bahnschrift Light"/>
          <w:b w:val="0"/>
          <w:i w:val="0"/>
          <w:sz w:val="22"/>
          <w:u w:val="none"/>
        </w:rPr>
        <w:t xml:space="preserve"> y el </w:t>
      </w:r>
      <w:r>
        <w:rPr>
          <w:rFonts w:ascii="Bahnschrift Light" w:hAnsi="Bahnschrift Light" w:cs="Bahnschrift Light" w:eastAsia="Bahnschrift Light"/>
          <w:b/>
          <w:i w:val="0"/>
          <w:sz w:val="22"/>
          <w:u w:val="none"/>
        </w:rPr>
        <w:t>Comité de Remuneración</w:t>
      </w:r>
      <w:r>
        <w:rPr>
          <w:rFonts w:ascii="Bahnschrift Light" w:hAnsi="Bahnschrift Light" w:cs="Bahnschrift Light" w:eastAsia="Bahnschrift Light"/>
          <w:b w:val="0"/>
          <w:i w:val="0"/>
          <w:sz w:val="22"/>
          <w:u w:val="none"/>
        </w:rPr>
        <w:t xml:space="preserve"> de la CUB, y el </w:t>
      </w:r>
      <w:r>
        <w:rPr>
          <w:rFonts w:ascii="Bahnschrift Light" w:hAnsi="Bahnschrift Light" w:cs="Bahnschrift Light" w:eastAsia="Bahnschrift Light"/>
          <w:b/>
          <w:i w:val="0"/>
          <w:sz w:val="22"/>
          <w:u w:val="none"/>
        </w:rPr>
        <w:t>Comité de Comunicación y Control</w:t>
      </w:r>
      <w:r>
        <w:rPr>
          <w:rFonts w:ascii="Bahnschrift Light" w:hAnsi="Bahnschrift Light" w:cs="Bahnschrift Light" w:eastAsia="Bahnschrift Light"/>
          <w:b w:val="0"/>
          <w:i w:val="0"/>
          <w:sz w:val="22"/>
          <w:u w:val="none"/>
        </w:rPr>
        <w:t xml:space="preserve"> de las Disposiciones emitidas conforme al artículo 115 de la LIC.</w:t>
      </w:r>
    </w:p>
    <w:tbl>
      <w:tblPr>
        <w:tblStyle w:val="TableGrid"/>
        <w:tblW w:type="dxa" w:w="10081"/>
        <w:jc w:val="center"/>
        <w:tblLayout w:type="fixed"/>
        <w:tblLook w:firstColumn="1" w:firstRow="1" w:lastColumn="0" w:lastRow="0" w:noHBand="0" w:noVBand="1" w:val="04A0"/>
        <w:tblLayout w:type="fixed"/>
      </w:tblPr>
      <w:tblGrid>
        <w:gridCol w:w="1816"/>
        <w:gridCol w:w="1582"/>
        <w:gridCol w:w="1758"/>
        <w:gridCol w:w="4923"/>
      </w:tblGrid>
      <w:tr>
        <w:trPr>
          <w:cantSplit/>
          <w:tblHeader/>
        </w:trPr>
        <w:tc>
          <w:tcPr>
            <w:tcW w:type="dxa" w:w="1817"/>
          </w:tcPr>
          <w:p>
            <w:pPr>
              <w:spacing w:after="40" w:before="40" w:line="240" w:lineRule="auto"/>
              <w:jc w:val="left"/>
            </w:pPr>
            <w:r>
              <w:rPr>
                <w:rFonts w:ascii="Bahnschrift Light" w:hAnsi="Bahnschrift Light" w:cs="Bahnschrift Light" w:eastAsia="Bahnschrift Light"/>
                <w:b/>
                <w:i w:val="0"/>
                <w:sz w:val="16"/>
                <w:u w:val="none"/>
              </w:rPr>
              <w:t>Comité</w:t>
            </w:r>
          </w:p>
        </w:tc>
        <w:tc>
          <w:tcPr>
            <w:tcW w:type="dxa" w:w="1582"/>
          </w:tcPr>
          <w:p>
            <w:pPr>
              <w:spacing w:after="40" w:before="40" w:line="240" w:lineRule="auto"/>
              <w:jc w:val="left"/>
            </w:pPr>
            <w:r>
              <w:rPr>
                <w:rFonts w:ascii="Bahnschrift Light" w:hAnsi="Bahnschrift Light" w:cs="Bahnschrift Light" w:eastAsia="Bahnschrift Light"/>
                <w:b/>
                <w:i w:val="0"/>
                <w:sz w:val="16"/>
                <w:u w:val="none"/>
              </w:rPr>
              <w:t>Fundamento</w:t>
            </w:r>
          </w:p>
        </w:tc>
        <w:tc>
          <w:tcPr>
            <w:tcW w:type="dxa" w:w="1758"/>
          </w:tcPr>
          <w:p>
            <w:pPr>
              <w:spacing w:after="40" w:before="40" w:line="240" w:lineRule="auto"/>
              <w:jc w:val="left"/>
            </w:pPr>
            <w:r>
              <w:rPr>
                <w:rFonts w:ascii="Bahnschrift Light" w:hAnsi="Bahnschrift Light" w:cs="Bahnschrift Light" w:eastAsia="Bahnschrift Light"/>
                <w:b/>
                <w:i w:val="0"/>
                <w:sz w:val="16"/>
                <w:u w:val="none"/>
              </w:rPr>
              <w:t>Número de miembros</w:t>
            </w:r>
          </w:p>
        </w:tc>
        <w:tc>
          <w:tcPr>
            <w:tcW w:type="dxa" w:w="4923"/>
          </w:tcPr>
          <w:p>
            <w:pPr>
              <w:spacing w:after="40" w:before="40" w:line="240" w:lineRule="auto"/>
              <w:jc w:val="left"/>
            </w:pPr>
            <w:r>
              <w:rPr>
                <w:rFonts w:ascii="Bahnschrift Light" w:hAnsi="Bahnschrift Light" w:cs="Bahnschrift Light" w:eastAsia="Bahnschrift Light"/>
                <w:b/>
                <w:i w:val="0"/>
                <w:sz w:val="16"/>
                <w:u w:val="none"/>
              </w:rPr>
              <w:t>Requisitos de los miembros</w:t>
            </w:r>
          </w:p>
        </w:tc>
      </w:tr>
      <w:tr>
        <w:trPr>
          <w:cantSplit/>
        </w:trPr>
        <w:tc>
          <w:tcPr>
            <w:tcW w:type="dxa" w:w="1817"/>
          </w:tcPr>
          <w:p>
            <w:pPr>
              <w:spacing w:after="40" w:before="40" w:line="240" w:lineRule="auto"/>
              <w:jc w:val="left"/>
            </w:pPr>
            <w:r>
              <w:rPr>
                <w:rFonts w:ascii="Bahnschrift Light" w:hAnsi="Bahnschrift Light" w:cs="Bahnschrift Light" w:eastAsia="Bahnschrift Light"/>
                <w:b/>
                <w:i w:val="0"/>
                <w:sz w:val="16"/>
                <w:u w:val="none"/>
              </w:rPr>
              <w:t>Consejo de administración</w:t>
            </w:r>
          </w:p>
        </w:tc>
        <w:tc>
          <w:tcPr>
            <w:tcW w:type="dxa" w:w="1582"/>
          </w:tcPr>
          <w:p>
            <w:pPr>
              <w:spacing w:after="40" w:before="40" w:line="240" w:lineRule="auto"/>
              <w:jc w:val="left"/>
            </w:pPr>
            <w:r>
              <w:rPr>
                <w:rFonts w:ascii="Bahnschrift Light" w:hAnsi="Bahnschrift Light" w:cs="Bahnschrift Light" w:eastAsia="Bahnschrift Light"/>
                <w:b w:val="0"/>
                <w:i w:val="0"/>
                <w:sz w:val="16"/>
                <w:u w:val="none"/>
              </w:rPr>
              <w:t>LIC arts. 21, 22 y 23</w:t>
            </w:r>
          </w:p>
        </w:tc>
        <w:tc>
          <w:tcPr>
            <w:tcW w:type="dxa" w:w="1758"/>
          </w:tcPr>
          <w:p>
            <w:pPr>
              <w:spacing w:after="40" w:before="40" w:line="240" w:lineRule="auto"/>
              <w:jc w:val="left"/>
            </w:pPr>
            <w:r>
              <w:rPr>
                <w:rFonts w:ascii="Bahnschrift Light" w:hAnsi="Bahnschrift Light" w:cs="Bahnschrift Light" w:eastAsia="Bahnschrift Light"/>
                <w:b w:val="0"/>
                <w:i w:val="0"/>
                <w:sz w:val="16"/>
                <w:u w:val="none"/>
              </w:rPr>
              <w:t>Mínimo cinco y máximo quince consejeros propietarios</w:t>
            </w:r>
          </w:p>
        </w:tc>
        <w:tc>
          <w:tcPr>
            <w:tcW w:type="dxa" w:w="4923"/>
          </w:tcPr>
          <w:p>
            <w:pPr>
              <w:spacing w:after="40" w:before="40" w:line="240" w:lineRule="auto"/>
              <w:jc w:val="left"/>
            </w:pPr>
            <w:r>
              <w:rPr>
                <w:rFonts w:ascii="Bahnschrift Light" w:hAnsi="Bahnschrift Light" w:cs="Bahnschrift Light" w:eastAsia="Bahnschrift Light"/>
                <w:b w:val="0"/>
                <w:i w:val="0"/>
                <w:sz w:val="16"/>
                <w:u w:val="none"/>
              </w:rPr>
              <w:t>Cuando menos 25 % independientes; los suplentes de los independientes deben tener igual carácter. Calidad técnica, honorabilidad, historial crediticio satisfactorio y experiencia financiera, legal o administrativa. Exclusiones: art. 22, fraccs. I a XI, y art. 23, fraccs. I a VIII. Mayoría de mexicanos o residentes en territorio nacional. Sesión trimestral; quórum del 51 % con al menos un independiente</w:t>
            </w:r>
          </w:p>
        </w:tc>
      </w:tr>
      <w:tr>
        <w:trPr>
          <w:cantSplit/>
        </w:trPr>
        <w:tc>
          <w:tcPr>
            <w:tcW w:type="dxa" w:w="1817"/>
          </w:tcPr>
          <w:p>
            <w:pPr>
              <w:spacing w:after="40" w:before="40" w:line="240" w:lineRule="auto"/>
              <w:jc w:val="left"/>
            </w:pPr>
            <w:r>
              <w:rPr>
                <w:rFonts w:ascii="Bahnschrift Light" w:hAnsi="Bahnschrift Light" w:cs="Bahnschrift Light" w:eastAsia="Bahnschrift Light"/>
                <w:b/>
                <w:i w:val="0"/>
                <w:sz w:val="16"/>
                <w:u w:val="none"/>
              </w:rPr>
              <w:t>Comité de Auditoría</w:t>
            </w:r>
          </w:p>
        </w:tc>
        <w:tc>
          <w:tcPr>
            <w:tcW w:type="dxa" w:w="1582"/>
          </w:tcPr>
          <w:p>
            <w:pPr>
              <w:spacing w:after="40" w:before="40" w:line="240" w:lineRule="auto"/>
              <w:jc w:val="left"/>
            </w:pPr>
            <w:r>
              <w:rPr>
                <w:rFonts w:ascii="Bahnschrift Light" w:hAnsi="Bahnschrift Light" w:cs="Bahnschrift Light" w:eastAsia="Bahnschrift Light"/>
                <w:b w:val="0"/>
                <w:i w:val="0"/>
                <w:sz w:val="16"/>
                <w:u w:val="none"/>
              </w:rPr>
              <w:t>LIC art. 21, 2.º párr.; CUB arts. 145 a 151</w:t>
            </w:r>
          </w:p>
        </w:tc>
        <w:tc>
          <w:tcPr>
            <w:tcW w:type="dxa" w:w="1758"/>
          </w:tcPr>
          <w:p>
            <w:pPr>
              <w:spacing w:after="40" w:before="40" w:line="240" w:lineRule="auto"/>
              <w:jc w:val="left"/>
            </w:pPr>
            <w:r>
              <w:rPr>
                <w:rFonts w:ascii="Bahnschrift Light" w:hAnsi="Bahnschrift Light" w:cs="Bahnschrift Light" w:eastAsia="Bahnschrift Light"/>
                <w:b w:val="0"/>
                <w:i w:val="0"/>
                <w:sz w:val="16"/>
                <w:u w:val="none"/>
              </w:rPr>
              <w:t>Al menos tres miembros</w:t>
            </w:r>
          </w:p>
        </w:tc>
        <w:tc>
          <w:tcPr>
            <w:tcW w:type="dxa" w:w="4923"/>
          </w:tcPr>
          <w:p>
            <w:pPr>
              <w:spacing w:after="40" w:before="40" w:line="240" w:lineRule="auto"/>
              <w:jc w:val="left"/>
            </w:pPr>
            <w:r>
              <w:rPr>
                <w:rFonts w:ascii="Bahnschrift Light" w:hAnsi="Bahnschrift Light" w:cs="Bahnschrift Light" w:eastAsia="Bahnschrift Light"/>
                <w:b w:val="0"/>
                <w:i w:val="0"/>
                <w:sz w:val="16"/>
                <w:u w:val="none"/>
              </w:rPr>
              <w:t>Todos consejeros, en su mayoría independientes y presidido por un independiente. Al menos uno con experiencia en contaduría, auditoría y control interno. Prohibidos directivos y empleados (art. 147). Sesión trimestral. Filiales con activos menores o iguales al 1.5 % del sistema bancario: admite integrantes que no sean consejeros (art. 149)</w:t>
            </w:r>
          </w:p>
        </w:tc>
      </w:tr>
      <w:tr>
        <w:trPr>
          <w:cantSplit/>
        </w:trPr>
        <w:tc>
          <w:tcPr>
            <w:tcW w:type="dxa" w:w="1817"/>
          </w:tcPr>
          <w:p>
            <w:pPr>
              <w:spacing w:after="40" w:before="40" w:line="240" w:lineRule="auto"/>
              <w:jc w:val="left"/>
            </w:pPr>
            <w:r>
              <w:rPr>
                <w:rFonts w:ascii="Bahnschrift Light" w:hAnsi="Bahnschrift Light" w:cs="Bahnschrift Light" w:eastAsia="Bahnschrift Light"/>
                <w:b/>
                <w:i w:val="0"/>
                <w:sz w:val="16"/>
                <w:u w:val="none"/>
              </w:rPr>
              <w:t>Comité de riesgos</w:t>
            </w:r>
          </w:p>
        </w:tc>
        <w:tc>
          <w:tcPr>
            <w:tcW w:type="dxa" w:w="1582"/>
          </w:tcPr>
          <w:p>
            <w:pPr>
              <w:spacing w:after="40" w:before="40" w:line="240" w:lineRule="auto"/>
              <w:jc w:val="left"/>
            </w:pPr>
            <w:r>
              <w:rPr>
                <w:rFonts w:ascii="Bahnschrift Light" w:hAnsi="Bahnschrift Light" w:cs="Bahnschrift Light" w:eastAsia="Bahnschrift Light"/>
                <w:b w:val="0"/>
                <w:i w:val="0"/>
                <w:sz w:val="16"/>
                <w:u w:val="none"/>
              </w:rPr>
              <w:t>CUB arts. 70 a 72</w:t>
            </w:r>
          </w:p>
        </w:tc>
        <w:tc>
          <w:tcPr>
            <w:tcW w:type="dxa" w:w="1758"/>
          </w:tcPr>
          <w:p>
            <w:pPr>
              <w:spacing w:after="40" w:before="40" w:line="240" w:lineRule="auto"/>
              <w:jc w:val="left"/>
            </w:pPr>
            <w:r>
              <w:rPr>
                <w:rFonts w:ascii="Bahnschrift Light" w:hAnsi="Bahnschrift Light" w:cs="Bahnschrift Light" w:eastAsia="Bahnschrift Light"/>
                <w:b w:val="0"/>
                <w:i w:val="0"/>
                <w:sz w:val="16"/>
                <w:u w:val="none"/>
              </w:rPr>
              <w:t>Sin número fijo; la integración enumerada implica un mínimo de cuatro con voto</w:t>
            </w:r>
          </w:p>
        </w:tc>
        <w:tc>
          <w:tcPr>
            <w:tcW w:type="dxa" w:w="4923"/>
          </w:tcPr>
          <w:p>
            <w:pPr>
              <w:spacing w:after="40" w:before="40" w:line="240" w:lineRule="auto"/>
              <w:jc w:val="left"/>
            </w:pPr>
            <w:r>
              <w:rPr>
                <w:rFonts w:ascii="Bahnschrift Light" w:hAnsi="Bahnschrift Light" w:cs="Bahnschrift Light" w:eastAsia="Bahnschrift Light"/>
                <w:b w:val="0"/>
                <w:i w:val="0"/>
                <w:sz w:val="16"/>
                <w:u w:val="none"/>
              </w:rPr>
              <w:t>Cuando menos dos consejeros propietarios —uno preside—, el director general y el responsable de la UAIR. Auditor interno con voz sin voto. Sesión mensual, con actas circunstanciadas suscritas por todos los asistentes. Filiales: debe participar al menos un consejero</w:t>
            </w:r>
          </w:p>
        </w:tc>
      </w:tr>
      <w:tr>
        <w:trPr>
          <w:cantSplit/>
        </w:trPr>
        <w:tc>
          <w:tcPr>
            <w:tcW w:type="dxa" w:w="1817"/>
          </w:tcPr>
          <w:p>
            <w:pPr>
              <w:spacing w:after="40" w:before="40" w:line="240" w:lineRule="auto"/>
              <w:jc w:val="left"/>
            </w:pPr>
            <w:r>
              <w:rPr>
                <w:rFonts w:ascii="Bahnschrift Light" w:hAnsi="Bahnschrift Light" w:cs="Bahnschrift Light" w:eastAsia="Bahnschrift Light"/>
                <w:b/>
                <w:i w:val="0"/>
                <w:sz w:val="16"/>
                <w:u w:val="none"/>
              </w:rPr>
              <w:t>Comité de Remuneración</w:t>
            </w:r>
          </w:p>
        </w:tc>
        <w:tc>
          <w:tcPr>
            <w:tcW w:type="dxa" w:w="1582"/>
          </w:tcPr>
          <w:p>
            <w:pPr>
              <w:spacing w:after="40" w:before="40" w:line="240" w:lineRule="auto"/>
              <w:jc w:val="left"/>
            </w:pPr>
            <w:r>
              <w:rPr>
                <w:rFonts w:ascii="Bahnschrift Light" w:hAnsi="Bahnschrift Light" w:cs="Bahnschrift Light" w:eastAsia="Bahnschrift Light"/>
                <w:b w:val="0"/>
                <w:i w:val="0"/>
                <w:sz w:val="16"/>
                <w:u w:val="none"/>
              </w:rPr>
              <w:t>CUB arts. 168 Bis 5 y 168 Bis 8</w:t>
            </w:r>
          </w:p>
        </w:tc>
        <w:tc>
          <w:tcPr>
            <w:tcW w:type="dxa" w:w="1758"/>
          </w:tcPr>
          <w:p>
            <w:pPr>
              <w:spacing w:after="40" w:before="40" w:line="240" w:lineRule="auto"/>
              <w:jc w:val="left"/>
            </w:pPr>
            <w:r>
              <w:rPr>
                <w:rFonts w:ascii="Bahnschrift Light" w:hAnsi="Bahnschrift Light" w:cs="Bahnschrift Light" w:eastAsia="Bahnschrift Light"/>
                <w:b w:val="0"/>
                <w:i w:val="0"/>
                <w:sz w:val="16"/>
                <w:u w:val="none"/>
              </w:rPr>
              <w:t>Sin número fijo; la integración enumerada implica un mínimo de cinco con voto</w:t>
            </w:r>
          </w:p>
        </w:tc>
        <w:tc>
          <w:tcPr>
            <w:tcW w:type="dxa" w:w="4923"/>
          </w:tcPr>
          <w:p>
            <w:pPr>
              <w:spacing w:after="40" w:before="40" w:line="240" w:lineRule="auto"/>
              <w:jc w:val="left"/>
            </w:pPr>
            <w:r>
              <w:rPr>
                <w:rFonts w:ascii="Bahnschrift Light" w:hAnsi="Bahnschrift Light" w:cs="Bahnschrift Light" w:eastAsia="Bahnschrift Light"/>
                <w:b w:val="0"/>
                <w:i w:val="0"/>
                <w:sz w:val="16"/>
                <w:u w:val="none"/>
              </w:rPr>
              <w:t>Cuando menos dos consejeros propietarios: uno independiente que preside y uno con amplia experiencia en administración de riesgos o control interno. Responsable de la UAIR, un representante de recursos humanos y uno de planeación financiera o presupuesto. Auditor interno con voz sin voto. Sesión trimestral con asistencia obligatoria del independiente. Unificable con el comité de riesgos (art. 168 Bis 8)</w:t>
            </w:r>
          </w:p>
        </w:tc>
      </w:tr>
      <w:tr>
        <w:trPr>
          <w:cantSplit/>
        </w:trPr>
        <w:tc>
          <w:tcPr>
            <w:tcW w:type="dxa" w:w="1817"/>
          </w:tcPr>
          <w:p>
            <w:pPr>
              <w:spacing w:after="40" w:before="40" w:line="240" w:lineRule="auto"/>
              <w:jc w:val="left"/>
            </w:pPr>
            <w:r>
              <w:rPr>
                <w:rFonts w:ascii="Bahnschrift Light" w:hAnsi="Bahnschrift Light" w:cs="Bahnschrift Light" w:eastAsia="Bahnschrift Light"/>
                <w:b/>
                <w:i w:val="0"/>
                <w:sz w:val="16"/>
                <w:u w:val="none"/>
              </w:rPr>
              <w:t xml:space="preserve">Comité de Comunicación y Control </w:t>
            </w:r>
            <w:r>
              <w:rPr>
                <w:rFonts w:ascii="Bahnschrift Light" w:hAnsi="Bahnschrift Light" w:cs="Bahnschrift Light" w:eastAsia="Bahnschrift Light"/>
                <w:b w:val="0"/>
                <w:i/>
                <w:sz w:val="16"/>
                <w:u w:val="none"/>
              </w:rPr>
              <w:t>(PLD/FT)</w:t>
            </w:r>
          </w:p>
        </w:tc>
        <w:tc>
          <w:tcPr>
            <w:tcW w:type="dxa" w:w="1582"/>
          </w:tcPr>
          <w:p>
            <w:pPr>
              <w:spacing w:after="40" w:before="40" w:line="240" w:lineRule="auto"/>
              <w:jc w:val="left"/>
            </w:pPr>
            <w:r>
              <w:rPr>
                <w:rFonts w:ascii="Bahnschrift Light" w:hAnsi="Bahnschrift Light" w:cs="Bahnschrift Light" w:eastAsia="Bahnschrift Light"/>
                <w:b w:val="0"/>
                <w:i w:val="0"/>
                <w:sz w:val="16"/>
                <w:u w:val="none"/>
              </w:rPr>
              <w:t>Disposiciones art. 115 LIC, 2ª (definición) y 43ª a 46ª</w:t>
            </w:r>
          </w:p>
        </w:tc>
        <w:tc>
          <w:tcPr>
            <w:tcW w:type="dxa" w:w="1758"/>
          </w:tcPr>
          <w:p>
            <w:pPr>
              <w:spacing w:after="40" w:before="40" w:line="240" w:lineRule="auto"/>
              <w:jc w:val="left"/>
            </w:pPr>
            <w:r>
              <w:rPr>
                <w:rFonts w:ascii="Bahnschrift Light" w:hAnsi="Bahnschrift Light" w:cs="Bahnschrift Light" w:eastAsia="Bahnschrift Light"/>
                <w:b w:val="0"/>
                <w:i w:val="0"/>
                <w:sz w:val="16"/>
                <w:u w:val="none"/>
              </w:rPr>
              <w:t>Al menos tres miembros; la excepción del último párrafo de la 44ª no se recuperó (ver Título V)</w:t>
            </w:r>
          </w:p>
        </w:tc>
        <w:tc>
          <w:tcPr>
            <w:tcW w:type="dxa" w:w="4923"/>
          </w:tcPr>
          <w:p>
            <w:pPr>
              <w:spacing w:after="40" w:before="40" w:line="240" w:lineRule="auto"/>
              <w:jc w:val="left"/>
            </w:pPr>
            <w:r>
              <w:rPr>
                <w:rFonts w:ascii="Bahnschrift Light" w:hAnsi="Bahnschrift Light" w:cs="Bahnschrift Light" w:eastAsia="Bahnschrift Light"/>
                <w:b w:val="0"/>
                <w:i w:val="0"/>
                <w:sz w:val="16"/>
                <w:u w:val="none"/>
              </w:rPr>
              <w:t>Titulares de las áreas que designe el consejo. Deben participar consejeros, el director general o funcionarios de las tres jerarquías inmediatas inferiores a la de este (44ª). Decisiones por mayoría de presentes con voto de calidad del presidente; actas firmadas por presidente y secretario (45ª). Los integrantes se comunican a la SHCP por conducto de la CNBV dentro de quince días hábiles (46ª)</w:t>
            </w:r>
          </w:p>
        </w:tc>
      </w:tr>
      <w:tr>
        <w:trPr>
          <w:cantSplit/>
        </w:trPr>
        <w:tc>
          <w:tcPr>
            <w:tcW w:type="dxa" w:w="1817"/>
          </w:tcPr>
          <w:p>
            <w:pPr>
              <w:spacing w:after="40" w:before="40" w:line="240" w:lineRule="auto"/>
              <w:jc w:val="left"/>
            </w:pPr>
            <w:r>
              <w:rPr>
                <w:rFonts w:ascii="Bahnschrift Light" w:hAnsi="Bahnschrift Light" w:cs="Bahnschrift Light" w:eastAsia="Bahnschrift Light"/>
                <w:b/>
                <w:i w:val="0"/>
                <w:sz w:val="16"/>
                <w:u w:val="none"/>
              </w:rPr>
              <w:t xml:space="preserve">Comité para operaciones con personas relacionadas </w:t>
            </w:r>
            <w:r>
              <w:rPr>
                <w:rFonts w:ascii="Bahnschrift Light" w:hAnsi="Bahnschrift Light" w:cs="Bahnschrift Light" w:eastAsia="Bahnschrift Light"/>
                <w:b w:val="0"/>
                <w:i/>
                <w:sz w:val="16"/>
                <w:u w:val="none"/>
              </w:rPr>
              <w:t>(potestativo)</w:t>
            </w:r>
          </w:p>
        </w:tc>
        <w:tc>
          <w:tcPr>
            <w:tcW w:type="dxa" w:w="1582"/>
          </w:tcPr>
          <w:p>
            <w:pPr>
              <w:spacing w:after="40" w:before="40" w:line="240" w:lineRule="auto"/>
              <w:jc w:val="left"/>
            </w:pPr>
            <w:r>
              <w:rPr>
                <w:rFonts w:ascii="Bahnschrift Light" w:hAnsi="Bahnschrift Light" w:cs="Bahnschrift Light" w:eastAsia="Bahnschrift Light"/>
                <w:b w:val="0"/>
                <w:i w:val="0"/>
                <w:sz w:val="16"/>
                <w:u w:val="none"/>
              </w:rPr>
              <w:t>LIC art. 73 Bis, 3.er a 6.º párrs.</w:t>
            </w:r>
          </w:p>
        </w:tc>
        <w:tc>
          <w:tcPr>
            <w:tcW w:type="dxa" w:w="1758"/>
          </w:tcPr>
          <w:p>
            <w:pPr>
              <w:spacing w:after="40" w:before="40" w:line="240" w:lineRule="auto"/>
              <w:jc w:val="left"/>
            </w:pPr>
            <w:r>
              <w:rPr>
                <w:rFonts w:ascii="Bahnschrift Light" w:hAnsi="Bahnschrift Light" w:cs="Bahnschrift Light" w:eastAsia="Bahnschrift Light"/>
                <w:b w:val="0"/>
                <w:i w:val="0"/>
                <w:sz w:val="16"/>
                <w:u w:val="none"/>
              </w:rPr>
              <w:t>Mínimo cuatro y máximo siete consejeros</w:t>
            </w:r>
          </w:p>
        </w:tc>
        <w:tc>
          <w:tcPr>
            <w:tcW w:type="dxa" w:w="4923"/>
          </w:tcPr>
          <w:p>
            <w:pPr>
              <w:spacing w:after="40" w:before="40" w:line="240" w:lineRule="auto"/>
              <w:jc w:val="left"/>
            </w:pPr>
            <w:r>
              <w:rPr>
                <w:rFonts w:ascii="Bahnschrift Light" w:hAnsi="Bahnschrift Light" w:cs="Bahnschrift Light" w:eastAsia="Bahnschrift Light"/>
                <w:b w:val="0"/>
                <w:i w:val="0"/>
                <w:sz w:val="16"/>
                <w:u w:val="none"/>
              </w:rPr>
              <w:t>Por lo menos una tercera parte independientes. Máximo un consejero que a la vez sea funcionario o empleado de la institución, del grupo financiero o de la controladora. Resoluciones por tres cuartas partes de los presentes. Informa al consejo en plazos no mayores a ciento ochenta días. Umbral de delegación: seis millones de UDIs o 5 % de la parte básica del capital neto</w:t>
            </w:r>
          </w:p>
        </w:tc>
      </w:tr>
      <w:tr>
        <w:trPr>
          <w:cantSplit/>
        </w:trPr>
        <w:tc>
          <w:tcPr>
            <w:tcW w:type="dxa" w:w="1817"/>
          </w:tcPr>
          <w:p>
            <w:pPr>
              <w:spacing w:after="40" w:before="40" w:line="240" w:lineRule="auto"/>
              <w:jc w:val="left"/>
            </w:pPr>
            <w:r>
              <w:rPr>
                <w:rFonts w:ascii="Bahnschrift Light" w:hAnsi="Bahnschrift Light" w:cs="Bahnschrift Light" w:eastAsia="Bahnschrift Light"/>
                <w:b/>
                <w:i w:val="0"/>
                <w:sz w:val="16"/>
                <w:u w:val="none"/>
              </w:rPr>
              <w:t xml:space="preserve">Comité de crédito </w:t>
            </w:r>
            <w:r>
              <w:rPr>
                <w:rFonts w:ascii="Bahnschrift Light" w:hAnsi="Bahnschrift Light" w:cs="Bahnschrift Light" w:eastAsia="Bahnschrift Light"/>
                <w:b w:val="0"/>
                <w:i/>
                <w:sz w:val="16"/>
                <w:u w:val="none"/>
              </w:rPr>
              <w:t>(contingente al modelo de negocio)</w:t>
            </w:r>
          </w:p>
        </w:tc>
        <w:tc>
          <w:tcPr>
            <w:tcW w:type="dxa" w:w="1582"/>
          </w:tcPr>
          <w:p>
            <w:pPr>
              <w:spacing w:after="40" w:before="40" w:line="240" w:lineRule="auto"/>
              <w:jc w:val="left"/>
            </w:pPr>
            <w:r>
              <w:rPr>
                <w:rFonts w:ascii="Bahnschrift Light" w:hAnsi="Bahnschrift Light" w:cs="Bahnschrift Light" w:eastAsia="Bahnschrift Light"/>
                <w:b w:val="0"/>
                <w:i w:val="0"/>
                <w:sz w:val="16"/>
                <w:u w:val="none"/>
              </w:rPr>
              <w:t>LIC art. 73 Bis, 1.er párr.</w:t>
            </w:r>
          </w:p>
        </w:tc>
        <w:tc>
          <w:tcPr>
            <w:tcW w:type="dxa" w:w="1758"/>
          </w:tcPr>
          <w:p>
            <w:pPr>
              <w:spacing w:after="40" w:before="40" w:line="240" w:lineRule="auto"/>
              <w:jc w:val="left"/>
            </w:pPr>
            <w:r>
              <w:rPr>
                <w:rFonts w:ascii="Bahnschrift Light" w:hAnsi="Bahnschrift Light" w:cs="Bahnschrift Light" w:eastAsia="Bahnschrift Light"/>
                <w:b w:val="0"/>
                <w:i w:val="0"/>
                <w:sz w:val="16"/>
                <w:u w:val="none"/>
              </w:rPr>
              <w:t>No fijado</w:t>
            </w:r>
          </w:p>
        </w:tc>
        <w:tc>
          <w:tcPr>
            <w:tcW w:type="dxa" w:w="4923"/>
          </w:tcPr>
          <w:p>
            <w:pPr>
              <w:spacing w:after="40" w:before="40" w:line="240" w:lineRule="auto"/>
              <w:jc w:val="left"/>
            </w:pPr>
            <w:r>
              <w:rPr>
                <w:rFonts w:ascii="Bahnschrift Light" w:hAnsi="Bahnschrift Light" w:cs="Bahnschrift Light" w:eastAsia="Bahnschrift Light"/>
                <w:b w:val="0"/>
                <w:i w:val="0"/>
                <w:sz w:val="16"/>
                <w:u w:val="none"/>
              </w:rPr>
              <w:t>La LIC lo presupone para presentar al consejo las operaciones con personas relacionadas, pero no regula su integración. La CUB no exige comité: los arts. 20 y 21 imponen una función de control de la Actividad Crediticia independiente de las áreas de promoción</w:t>
            </w:r>
          </w:p>
        </w:tc>
      </w:tr>
      <w:tr>
        <w:trPr>
          <w:cantSplit/>
        </w:trPr>
        <w:tc>
          <w:tcPr>
            <w:tcW w:type="dxa" w:w="1817"/>
          </w:tcPr>
          <w:p>
            <w:pPr>
              <w:spacing w:after="40" w:before="40" w:line="240" w:lineRule="auto"/>
              <w:jc w:val="left"/>
            </w:pPr>
            <w:r>
              <w:rPr>
                <w:rFonts w:ascii="Bahnschrift Light" w:hAnsi="Bahnschrift Light" w:cs="Bahnschrift Light" w:eastAsia="Bahnschrift Light"/>
                <w:b/>
                <w:i w:val="0"/>
                <w:sz w:val="16"/>
                <w:u w:val="none"/>
              </w:rPr>
              <w:t xml:space="preserve">Comité de recursos humanos y desarrollo institucional </w:t>
            </w:r>
            <w:r>
              <w:rPr>
                <w:rFonts w:ascii="Bahnschrift Light" w:hAnsi="Bahnschrift Light" w:cs="Bahnschrift Light" w:eastAsia="Bahnschrift Light"/>
                <w:b w:val="0"/>
                <w:i/>
                <w:sz w:val="16"/>
                <w:u w:val="none"/>
              </w:rPr>
              <w:t>(sólo banca de desarrollo)</w:t>
            </w:r>
          </w:p>
        </w:tc>
        <w:tc>
          <w:tcPr>
            <w:tcW w:type="dxa" w:w="1582"/>
          </w:tcPr>
          <w:p>
            <w:pPr>
              <w:spacing w:after="40" w:before="40" w:line="240" w:lineRule="auto"/>
              <w:jc w:val="left"/>
            </w:pPr>
            <w:r>
              <w:rPr>
                <w:rFonts w:ascii="Bahnschrift Light" w:hAnsi="Bahnschrift Light" w:cs="Bahnschrift Light" w:eastAsia="Bahnschrift Light"/>
                <w:b w:val="0"/>
                <w:i w:val="0"/>
                <w:sz w:val="16"/>
                <w:u w:val="none"/>
              </w:rPr>
              <w:t>LIC art. 42, fracc. XVIII</w:t>
            </w:r>
          </w:p>
        </w:tc>
        <w:tc>
          <w:tcPr>
            <w:tcW w:type="dxa" w:w="1758"/>
          </w:tcPr>
          <w:p>
            <w:pPr>
              <w:spacing w:after="40" w:before="40" w:line="240" w:lineRule="auto"/>
              <w:jc w:val="left"/>
            </w:pPr>
            <w:r>
              <w:rPr>
                <w:rFonts w:ascii="Bahnschrift Light" w:hAnsi="Bahnschrift Light" w:cs="Bahnschrift Light" w:eastAsia="Bahnschrift Light"/>
                <w:b w:val="0"/>
                <w:i w:val="0"/>
                <w:sz w:val="16"/>
                <w:u w:val="none"/>
              </w:rPr>
              <w:t>No fijado en el precepto citado</w:t>
            </w:r>
          </w:p>
        </w:tc>
        <w:tc>
          <w:tcPr>
            <w:tcW w:type="dxa" w:w="4923"/>
          </w:tcPr>
          <w:p>
            <w:pPr>
              <w:spacing w:after="40" w:before="40" w:line="240" w:lineRule="auto"/>
              <w:jc w:val="left"/>
            </w:pPr>
            <w:r>
              <w:rPr>
                <w:rFonts w:ascii="Bahnschrift Light" w:hAnsi="Bahnschrift Light" w:cs="Bahnschrift Light" w:eastAsia="Bahnschrift Light"/>
                <w:b w:val="0"/>
                <w:i w:val="0"/>
                <w:sz w:val="16"/>
                <w:u w:val="none"/>
              </w:rPr>
              <w:t>Su propuesta condiciona la aprobación por el consejo directivo de la estructura orgánica, tabuladores de sueldos y prestaciones, política salarial y percepciones extraordinarias</w:t>
            </w:r>
          </w:p>
        </w:tc>
      </w:tr>
    </w:tbl>
    <w:p>
      <w:pPr>
        <w:spacing w:after="80" w:before="0" w:line="276" w:lineRule="auto"/>
        <w:jc w:val="both"/>
      </w:pPr>
    </w:p>
    <w:p>
      <w:pPr>
        <w:keepNext/>
        <w:spacing w:after="160" w:before="320" w:line="276" w:lineRule="auto"/>
        <w:jc w:val="both"/>
      </w:pPr>
      <w:r>
        <w:rPr>
          <w:rFonts w:ascii="Bahnschrift Light" w:hAnsi="Bahnschrift Light" w:cs="Bahnschrift Light" w:eastAsia="Bahnschrift Light"/>
          <w:b/>
          <w:i w:val="0"/>
          <w:sz w:val="23"/>
          <w:u w:val="none"/>
        </w:rPr>
        <w:t>III. Otras áreas y funciones sujetas a regulación bancaria</w:t>
      </w:r>
    </w:p>
    <w:p>
      <w:pPr>
        <w:spacing w:after="120" w:before="0" w:line="276" w:lineRule="auto"/>
        <w:jc w:val="both"/>
      </w:pPr>
      <w:r>
        <w:rPr>
          <w:rFonts w:ascii="Bahnschrift Light" w:hAnsi="Bahnschrift Light" w:cs="Bahnschrift Light" w:eastAsia="Bahnschrift Light"/>
          <w:b w:val="0"/>
          <w:i w:val="0"/>
          <w:sz w:val="22"/>
          <w:u w:val="none"/>
        </w:rPr>
        <w:t xml:space="preserve">La regulación bancaria mexicana no impone obligaciones a «la institución» en abstracto: </w:t>
      </w:r>
      <w:r>
        <w:rPr>
          <w:rFonts w:ascii="Bahnschrift Light" w:hAnsi="Bahnschrift Light" w:cs="Bahnschrift Light" w:eastAsia="Bahnschrift Light"/>
          <w:b/>
          <w:i w:val="0"/>
          <w:sz w:val="22"/>
          <w:u w:val="none"/>
        </w:rPr>
        <w:t>asigna deberes nominados a funciones y personas determinadas</w:t>
      </w:r>
      <w:r>
        <w:rPr>
          <w:rFonts w:ascii="Bahnschrift Light" w:hAnsi="Bahnschrift Light" w:cs="Bahnschrift Light" w:eastAsia="Bahnschrift Light"/>
          <w:b w:val="0"/>
          <w:i w:val="0"/>
          <w:sz w:val="22"/>
          <w:u w:val="none"/>
        </w:rPr>
        <w:t>, y en varios casos exige independencia jerárquica, incompatibilidad con otras funciones, o notificación a la CNBV de la designación y remoción del titular. La consecuencia de diseño es que el organigrama no es una decisión libre de la administración.</w:t>
      </w:r>
    </w:p>
    <w:p>
      <w:pPr>
        <w:spacing w:after="120" w:before="0" w:line="276" w:lineRule="auto"/>
        <w:jc w:val="both"/>
      </w:pPr>
      <w:r>
        <w:rPr>
          <w:rFonts w:ascii="Bahnschrift Light" w:hAnsi="Bahnschrift Light" w:cs="Bahnschrift Light" w:eastAsia="Bahnschrift Light"/>
          <w:b w:val="0"/>
          <w:i w:val="0"/>
          <w:sz w:val="22"/>
          <w:u w:val="none"/>
        </w:rPr>
        <w:t>El marco general está en los artículos 141, 142 y 164 de la CUB. El artículo 164, fracción IV, inciso a), numeral 3, exige la delimitación de facultades entre el personal que autoriza, ejecuta, vigila, evalúa, registra y contabiliza las transacciones, evitando su concentración en una misma persona y un posible conflicto de interés. El artículo 142, fracción I, obliga al consejo a aprobar, al menos hasta el segundo nivel jerárquico, la estructura orgánica presentada por el director general.</w:t>
      </w:r>
    </w:p>
    <w:tbl>
      <w:tblPr>
        <w:tblStyle w:val="TableGrid"/>
        <w:tblW w:type="dxa" w:w="10081"/>
        <w:jc w:val="center"/>
        <w:tblLayout w:type="fixed"/>
        <w:tblLook w:firstColumn="1" w:firstRow="1" w:lastColumn="0" w:lastRow="0" w:noHBand="0" w:noVBand="1" w:val="04A0"/>
        <w:tblLayout w:type="fixed"/>
      </w:tblPr>
      <w:tblGrid>
        <w:gridCol w:w="1992"/>
        <w:gridCol w:w="1641"/>
        <w:gridCol w:w="1875"/>
        <w:gridCol w:w="4571"/>
      </w:tblGrid>
      <w:tr>
        <w:trPr>
          <w:cantSplit/>
          <w:tblHeader/>
        </w:trPr>
        <w:tc>
          <w:tcPr>
            <w:tcW w:type="dxa" w:w="1993"/>
          </w:tcPr>
          <w:p>
            <w:pPr>
              <w:spacing w:after="40" w:before="40" w:line="240" w:lineRule="auto"/>
              <w:jc w:val="left"/>
            </w:pPr>
            <w:r>
              <w:rPr>
                <w:rFonts w:ascii="Bahnschrift Light" w:hAnsi="Bahnschrift Light" w:cs="Bahnschrift Light" w:eastAsia="Bahnschrift Light"/>
                <w:b/>
                <w:i w:val="0"/>
                <w:sz w:val="16"/>
                <w:u w:val="none"/>
              </w:rPr>
              <w:t>Área o función</w:t>
            </w:r>
          </w:p>
        </w:tc>
        <w:tc>
          <w:tcPr>
            <w:tcW w:type="dxa" w:w="1641"/>
          </w:tcPr>
          <w:p>
            <w:pPr>
              <w:spacing w:after="40" w:before="40" w:line="240" w:lineRule="auto"/>
              <w:jc w:val="left"/>
            </w:pPr>
            <w:r>
              <w:rPr>
                <w:rFonts w:ascii="Bahnschrift Light" w:hAnsi="Bahnschrift Light" w:cs="Bahnschrift Light" w:eastAsia="Bahnschrift Light"/>
                <w:b/>
                <w:i w:val="0"/>
                <w:sz w:val="16"/>
                <w:u w:val="none"/>
              </w:rPr>
              <w:t>Fundamento</w:t>
            </w:r>
          </w:p>
        </w:tc>
        <w:tc>
          <w:tcPr>
            <w:tcW w:type="dxa" w:w="1875"/>
          </w:tcPr>
          <w:p>
            <w:pPr>
              <w:spacing w:after="40" w:before="40" w:line="240" w:lineRule="auto"/>
              <w:jc w:val="left"/>
            </w:pPr>
            <w:r>
              <w:rPr>
                <w:rFonts w:ascii="Bahnschrift Light" w:hAnsi="Bahnschrift Light" w:cs="Bahnschrift Light" w:eastAsia="Bahnschrift Light"/>
                <w:b/>
                <w:i w:val="0"/>
                <w:sz w:val="16"/>
                <w:u w:val="none"/>
              </w:rPr>
              <w:t>Integración</w:t>
            </w:r>
          </w:p>
        </w:tc>
        <w:tc>
          <w:tcPr>
            <w:tcW w:type="dxa" w:w="4571"/>
          </w:tcPr>
          <w:p>
            <w:pPr>
              <w:spacing w:after="40" w:before="40" w:line="240" w:lineRule="auto"/>
              <w:jc w:val="left"/>
            </w:pPr>
            <w:r>
              <w:rPr>
                <w:rFonts w:ascii="Bahnschrift Light" w:hAnsi="Bahnschrift Light" w:cs="Bahnschrift Light" w:eastAsia="Bahnschrift Light"/>
                <w:b/>
                <w:i w:val="0"/>
                <w:sz w:val="16"/>
                <w:u w:val="none"/>
              </w:rPr>
              <w:t>Requisitos e incompatibilidades</w:t>
            </w:r>
          </w:p>
        </w:tc>
      </w:tr>
      <w:tr>
        <w:trPr>
          <w:cantSplit/>
        </w:trPr>
        <w:tc>
          <w:tcPr>
            <w:tcW w:type="dxa" w:w="1993"/>
          </w:tcPr>
          <w:p>
            <w:pPr>
              <w:spacing w:after="40" w:before="40" w:line="240" w:lineRule="auto"/>
              <w:jc w:val="left"/>
            </w:pPr>
            <w:r>
              <w:rPr>
                <w:rFonts w:ascii="Bahnschrift Light" w:hAnsi="Bahnschrift Light" w:cs="Bahnschrift Light" w:eastAsia="Bahnschrift Light"/>
                <w:b/>
                <w:i w:val="0"/>
                <w:sz w:val="16"/>
                <w:u w:val="none"/>
              </w:rPr>
              <w:t>Dirección General</w:t>
            </w:r>
          </w:p>
        </w:tc>
        <w:tc>
          <w:tcPr>
            <w:tcW w:type="dxa" w:w="1641"/>
          </w:tcPr>
          <w:p>
            <w:pPr>
              <w:spacing w:after="40" w:before="40" w:line="240" w:lineRule="auto"/>
              <w:jc w:val="left"/>
            </w:pPr>
            <w:r>
              <w:rPr>
                <w:rFonts w:ascii="Bahnschrift Light" w:hAnsi="Bahnschrift Light" w:cs="Bahnschrift Light" w:eastAsia="Bahnschrift Light"/>
                <w:b w:val="0"/>
                <w:i w:val="0"/>
                <w:sz w:val="16"/>
                <w:u w:val="none"/>
              </w:rPr>
              <w:t>LIC art. 21; CUB arts. 69, 77, 164, 165, 168 Bis 11 y 168 Bis 12</w:t>
            </w:r>
          </w:p>
        </w:tc>
        <w:tc>
          <w:tcPr>
            <w:tcW w:type="dxa" w:w="1875"/>
          </w:tcPr>
          <w:p>
            <w:pPr>
              <w:spacing w:after="40" w:before="40" w:line="240" w:lineRule="auto"/>
              <w:jc w:val="left"/>
            </w:pPr>
            <w:r>
              <w:rPr>
                <w:rFonts w:ascii="Bahnschrift Light" w:hAnsi="Bahnschrift Light" w:cs="Bahnschrift Light" w:eastAsia="Bahnschrift Light"/>
                <w:b w:val="0"/>
                <w:i w:val="0"/>
                <w:sz w:val="16"/>
                <w:u w:val="none"/>
              </w:rPr>
              <w:t>Titular único</w:t>
            </w:r>
          </w:p>
        </w:tc>
        <w:tc>
          <w:tcPr>
            <w:tcW w:type="dxa" w:w="4571"/>
          </w:tcPr>
          <w:p>
            <w:pPr>
              <w:spacing w:after="40" w:before="40" w:line="240" w:lineRule="auto"/>
              <w:jc w:val="left"/>
            </w:pPr>
            <w:r>
              <w:rPr>
                <w:rFonts w:ascii="Bahnschrift Light" w:hAnsi="Bahnschrift Light" w:cs="Bahnschrift Light" w:eastAsia="Bahnschrift Light"/>
                <w:b w:val="0"/>
                <w:i w:val="0"/>
                <w:sz w:val="16"/>
                <w:u w:val="none"/>
              </w:rPr>
              <w:t>Responsable de implementar el Sistema de Control Interno y el de seguridad de la información. Vigila la independencia entre la UAIR y las Unidades de Negocio. Suscribe la evaluación bianual de riesgos, que el comité de riesgos aprueba sin su voto y se remite a la CNBV en marzo. Aprueba el Plan Director de Seguridad y contrata dos pruebas de penetración anuales con tercero independiente. Notifica a la CNBV la designación y remoción del responsable de Auditoría Interna</w:t>
            </w:r>
          </w:p>
        </w:tc>
      </w:tr>
      <w:tr>
        <w:trPr>
          <w:cantSplit/>
        </w:trPr>
        <w:tc>
          <w:tcPr>
            <w:tcW w:type="dxa" w:w="1993"/>
          </w:tcPr>
          <w:p>
            <w:pPr>
              <w:spacing w:after="40" w:before="40" w:line="240" w:lineRule="auto"/>
              <w:jc w:val="left"/>
            </w:pPr>
            <w:r>
              <w:rPr>
                <w:rFonts w:ascii="Bahnschrift Light" w:hAnsi="Bahnschrift Light" w:cs="Bahnschrift Light" w:eastAsia="Bahnschrift Light"/>
                <w:b/>
                <w:i w:val="0"/>
                <w:sz w:val="16"/>
                <w:u w:val="none"/>
              </w:rPr>
              <w:t>Unidad para la Administración Integral de Riesgos (UAIR)</w:t>
            </w:r>
          </w:p>
        </w:tc>
        <w:tc>
          <w:tcPr>
            <w:tcW w:type="dxa" w:w="1641"/>
          </w:tcPr>
          <w:p>
            <w:pPr>
              <w:spacing w:after="40" w:before="40" w:line="240" w:lineRule="auto"/>
              <w:jc w:val="left"/>
            </w:pPr>
            <w:r>
              <w:rPr>
                <w:rFonts w:ascii="Bahnschrift Light" w:hAnsi="Bahnschrift Light" w:cs="Bahnschrift Light" w:eastAsia="Bahnschrift Light"/>
                <w:b w:val="0"/>
                <w:i w:val="0"/>
                <w:sz w:val="16"/>
                <w:u w:val="none"/>
              </w:rPr>
              <w:t>CUB arts. 73 a 75 y 168 Bis 9</w:t>
            </w:r>
          </w:p>
        </w:tc>
        <w:tc>
          <w:tcPr>
            <w:tcW w:type="dxa" w:w="1875"/>
          </w:tcPr>
          <w:p>
            <w:pPr>
              <w:spacing w:after="40" w:before="40" w:line="240" w:lineRule="auto"/>
              <w:jc w:val="left"/>
            </w:pPr>
            <w:r>
              <w:rPr>
                <w:rFonts w:ascii="Bahnschrift Light" w:hAnsi="Bahnschrift Light" w:cs="Bahnschrift Light" w:eastAsia="Bahnschrift Light"/>
                <w:b w:val="0"/>
                <w:i w:val="0"/>
                <w:sz w:val="16"/>
                <w:u w:val="none"/>
              </w:rPr>
              <w:t>Unidad especializada con un titular</w:t>
            </w:r>
          </w:p>
        </w:tc>
        <w:tc>
          <w:tcPr>
            <w:tcW w:type="dxa" w:w="4571"/>
          </w:tcPr>
          <w:p>
            <w:pPr>
              <w:spacing w:after="40" w:before="40" w:line="240" w:lineRule="auto"/>
              <w:jc w:val="left"/>
            </w:pPr>
            <w:r>
              <w:rPr>
                <w:rFonts w:ascii="Bahnschrift Light" w:hAnsi="Bahnschrift Light" w:cs="Bahnschrift Light" w:eastAsia="Bahnschrift Light"/>
                <w:b w:val="0"/>
                <w:i w:val="0"/>
                <w:sz w:val="16"/>
                <w:u w:val="none"/>
              </w:rPr>
              <w:t>Independiente de las Unidades de Negocio. Titular designado y removido por el comité de riesgos, con ratificación del consejo (art. 71, fracc. III)</w:t>
            </w:r>
          </w:p>
        </w:tc>
      </w:tr>
      <w:tr>
        <w:trPr>
          <w:cantSplit/>
        </w:trPr>
        <w:tc>
          <w:tcPr>
            <w:tcW w:type="dxa" w:w="1993"/>
          </w:tcPr>
          <w:p>
            <w:pPr>
              <w:spacing w:after="40" w:before="40" w:line="240" w:lineRule="auto"/>
              <w:jc w:val="left"/>
            </w:pPr>
            <w:r>
              <w:rPr>
                <w:rFonts w:ascii="Bahnschrift Light" w:hAnsi="Bahnschrift Light" w:cs="Bahnschrift Light" w:eastAsia="Bahnschrift Light"/>
                <w:b/>
                <w:i w:val="0"/>
                <w:sz w:val="16"/>
                <w:u w:val="none"/>
              </w:rPr>
              <w:t>Auditoría Interna</w:t>
            </w:r>
          </w:p>
        </w:tc>
        <w:tc>
          <w:tcPr>
            <w:tcW w:type="dxa" w:w="1641"/>
          </w:tcPr>
          <w:p>
            <w:pPr>
              <w:spacing w:after="40" w:before="40" w:line="240" w:lineRule="auto"/>
              <w:jc w:val="left"/>
            </w:pPr>
            <w:r>
              <w:rPr>
                <w:rFonts w:ascii="Bahnschrift Light" w:hAnsi="Bahnschrift Light" w:cs="Bahnschrift Light" w:eastAsia="Bahnschrift Light"/>
                <w:b w:val="0"/>
                <w:i w:val="0"/>
                <w:sz w:val="16"/>
                <w:u w:val="none"/>
              </w:rPr>
              <w:t>CUB arts. 159, 160 y 165</w:t>
            </w:r>
          </w:p>
        </w:tc>
        <w:tc>
          <w:tcPr>
            <w:tcW w:type="dxa" w:w="1875"/>
          </w:tcPr>
          <w:p>
            <w:pPr>
              <w:spacing w:after="40" w:before="40" w:line="240" w:lineRule="auto"/>
              <w:jc w:val="left"/>
            </w:pPr>
            <w:r>
              <w:rPr>
                <w:rFonts w:ascii="Bahnschrift Light" w:hAnsi="Bahnschrift Light" w:cs="Bahnschrift Light" w:eastAsia="Bahnschrift Light"/>
                <w:b w:val="0"/>
                <w:i w:val="0"/>
                <w:sz w:val="16"/>
                <w:u w:val="none"/>
              </w:rPr>
              <w:t>Área con uno o más responsables</w:t>
            </w:r>
          </w:p>
        </w:tc>
        <w:tc>
          <w:tcPr>
            <w:tcW w:type="dxa" w:w="4571"/>
          </w:tcPr>
          <w:p>
            <w:pPr>
              <w:spacing w:after="40" w:before="40" w:line="240" w:lineRule="auto"/>
              <w:jc w:val="left"/>
            </w:pPr>
            <w:r>
              <w:rPr>
                <w:rFonts w:ascii="Bahnschrift Light" w:hAnsi="Bahnschrift Light" w:cs="Bahnschrift Light" w:eastAsia="Bahnschrift Light"/>
                <w:b w:val="0"/>
                <w:i w:val="0"/>
                <w:sz w:val="16"/>
                <w:u w:val="none"/>
              </w:rPr>
              <w:t>Independiente de las unidades de negocio y administrativas. Responsable designado por el consejo a propuesta del Comité de Auditoría. No puede recaer en el responsable de las disposiciones de servicios de inversión. Programa anual aprobado por el Comité de Auditoría y presentado a la CNBV en el primer trimestre</w:t>
            </w:r>
          </w:p>
        </w:tc>
      </w:tr>
      <w:tr>
        <w:trPr>
          <w:cantSplit/>
        </w:trPr>
        <w:tc>
          <w:tcPr>
            <w:tcW w:type="dxa" w:w="1993"/>
          </w:tcPr>
          <w:p>
            <w:pPr>
              <w:spacing w:after="40" w:before="40" w:line="240" w:lineRule="auto"/>
              <w:jc w:val="left"/>
            </w:pPr>
            <w:r>
              <w:rPr>
                <w:rFonts w:ascii="Bahnschrift Light" w:hAnsi="Bahnschrift Light" w:cs="Bahnschrift Light" w:eastAsia="Bahnschrift Light"/>
                <w:b/>
                <w:i w:val="0"/>
                <w:sz w:val="16"/>
                <w:u w:val="none"/>
              </w:rPr>
              <w:t>Contraloría Interna</w:t>
            </w:r>
          </w:p>
        </w:tc>
        <w:tc>
          <w:tcPr>
            <w:tcW w:type="dxa" w:w="1641"/>
          </w:tcPr>
          <w:p>
            <w:pPr>
              <w:spacing w:after="40" w:before="40" w:line="240" w:lineRule="auto"/>
              <w:jc w:val="left"/>
            </w:pPr>
            <w:r>
              <w:rPr>
                <w:rFonts w:ascii="Bahnschrift Light" w:hAnsi="Bahnschrift Light" w:cs="Bahnschrift Light" w:eastAsia="Bahnschrift Light"/>
                <w:b w:val="0"/>
                <w:i w:val="0"/>
                <w:sz w:val="16"/>
                <w:u w:val="none"/>
              </w:rPr>
              <w:t>CUB arts. 166 y 167</w:t>
            </w:r>
          </w:p>
        </w:tc>
        <w:tc>
          <w:tcPr>
            <w:tcW w:type="dxa" w:w="1875"/>
          </w:tcPr>
          <w:p>
            <w:pPr>
              <w:spacing w:after="40" w:before="40" w:line="240" w:lineRule="auto"/>
              <w:jc w:val="left"/>
            </w:pPr>
            <w:r>
              <w:rPr>
                <w:rFonts w:ascii="Bahnschrift Light" w:hAnsi="Bahnschrift Light" w:cs="Bahnschrift Light" w:eastAsia="Bahnschrift Light"/>
                <w:b w:val="0"/>
                <w:i w:val="0"/>
                <w:sz w:val="16"/>
                <w:u w:val="none"/>
              </w:rPr>
              <w:t>Área específica o personal distribuido; puede ser jerárquicamente independiente de la Dirección General</w:t>
            </w:r>
          </w:p>
        </w:tc>
        <w:tc>
          <w:tcPr>
            <w:tcW w:type="dxa" w:w="4571"/>
          </w:tcPr>
          <w:p>
            <w:pPr>
              <w:spacing w:after="40" w:before="40" w:line="240" w:lineRule="auto"/>
              <w:jc w:val="left"/>
            </w:pPr>
            <w:r>
              <w:rPr>
                <w:rFonts w:ascii="Bahnschrift Light" w:hAnsi="Bahnschrift Light" w:cs="Bahnschrift Light" w:eastAsia="Bahnschrift Light"/>
                <w:b w:val="0"/>
                <w:i w:val="0"/>
                <w:sz w:val="16"/>
                <w:u w:val="none"/>
              </w:rPr>
              <w:t>Corresponde en principio a la Dirección General. No puede atribuirse a personal de Auditoría Interna ni a quien tenga conflicto de interés. Sí puede coincidir con el responsable de servicios de inversión. Reporta trimestralmente al consejo, a Auditoría Interna y al director general, y de inmediato a esos tres y al Comité de Auditoría toda deficiencia significativa</w:t>
            </w:r>
          </w:p>
        </w:tc>
      </w:tr>
      <w:tr>
        <w:trPr>
          <w:cantSplit/>
        </w:trPr>
        <w:tc>
          <w:tcPr>
            <w:tcW w:type="dxa" w:w="1993"/>
          </w:tcPr>
          <w:p>
            <w:pPr>
              <w:spacing w:after="40" w:before="40" w:line="240" w:lineRule="auto"/>
              <w:jc w:val="left"/>
            </w:pPr>
            <w:r>
              <w:rPr>
                <w:rFonts w:ascii="Bahnschrift Light" w:hAnsi="Bahnschrift Light" w:cs="Bahnschrift Light" w:eastAsia="Bahnschrift Light"/>
                <w:b/>
                <w:i w:val="0"/>
                <w:sz w:val="16"/>
                <w:u w:val="none"/>
              </w:rPr>
              <w:t>Oficial en jefe de seguridad de la información (CISO)</w:t>
            </w:r>
          </w:p>
        </w:tc>
        <w:tc>
          <w:tcPr>
            <w:tcW w:type="dxa" w:w="1641"/>
          </w:tcPr>
          <w:p>
            <w:pPr>
              <w:spacing w:after="40" w:before="40" w:line="240" w:lineRule="auto"/>
              <w:jc w:val="left"/>
            </w:pPr>
            <w:r>
              <w:rPr>
                <w:rFonts w:ascii="Bahnschrift Light" w:hAnsi="Bahnschrift Light" w:cs="Bahnschrift Light" w:eastAsia="Bahnschrift Light"/>
                <w:b w:val="0"/>
                <w:i w:val="0"/>
                <w:sz w:val="16"/>
                <w:u w:val="none"/>
              </w:rPr>
              <w:t>CUB arts. 168 Bis 13 y 168 Bis 14</w:t>
            </w:r>
          </w:p>
        </w:tc>
        <w:tc>
          <w:tcPr>
            <w:tcW w:type="dxa" w:w="1875"/>
          </w:tcPr>
          <w:p>
            <w:pPr>
              <w:spacing w:after="40" w:before="40" w:line="240" w:lineRule="auto"/>
              <w:jc w:val="left"/>
            </w:pPr>
            <w:r>
              <w:rPr>
                <w:rFonts w:ascii="Bahnschrift Light" w:hAnsi="Bahnschrift Light" w:cs="Bahnschrift Light" w:eastAsia="Bahnschrift Light"/>
                <w:b w:val="0"/>
                <w:i w:val="0"/>
                <w:sz w:val="16"/>
                <w:u w:val="none"/>
              </w:rPr>
              <w:t>Titular único</w:t>
            </w:r>
          </w:p>
        </w:tc>
        <w:tc>
          <w:tcPr>
            <w:tcW w:type="dxa" w:w="4571"/>
          </w:tcPr>
          <w:p>
            <w:pPr>
              <w:spacing w:after="40" w:before="40" w:line="240" w:lineRule="auto"/>
              <w:jc w:val="left"/>
            </w:pPr>
            <w:r>
              <w:rPr>
                <w:rFonts w:ascii="Bahnschrift Light" w:hAnsi="Bahnschrift Light" w:cs="Bahnschrift Light" w:eastAsia="Bahnschrift Light"/>
                <w:b w:val="0"/>
                <w:i w:val="0"/>
                <w:sz w:val="16"/>
                <w:u w:val="none"/>
              </w:rPr>
              <w:t>Designado por el director general; nivel inmediato inferior al de este, con reporte directo y sin conflictos de interés. Informa al Comité de Auditoría y al comité de riesgos en la sesión inmediata siguiente a un Incidente de Seguridad de la Información, y presenta informe mensual al director general. Asignable a quien ocupe el cargo en otra entidad del grupo supervisada por la CNBV</w:t>
            </w:r>
          </w:p>
        </w:tc>
      </w:tr>
      <w:tr>
        <w:trPr>
          <w:cantSplit/>
        </w:trPr>
        <w:tc>
          <w:tcPr>
            <w:tcW w:type="dxa" w:w="1993"/>
          </w:tcPr>
          <w:p>
            <w:pPr>
              <w:spacing w:after="40" w:before="40" w:line="240" w:lineRule="auto"/>
              <w:jc w:val="left"/>
            </w:pPr>
            <w:r>
              <w:rPr>
                <w:rFonts w:ascii="Bahnschrift Light" w:hAnsi="Bahnschrift Light" w:cs="Bahnschrift Light" w:eastAsia="Bahnschrift Light"/>
                <w:b/>
                <w:i w:val="0"/>
                <w:sz w:val="16"/>
                <w:u w:val="none"/>
              </w:rPr>
              <w:t>Función de control de la Actividad Crediticia</w:t>
            </w:r>
          </w:p>
        </w:tc>
        <w:tc>
          <w:tcPr>
            <w:tcW w:type="dxa" w:w="1641"/>
          </w:tcPr>
          <w:p>
            <w:pPr>
              <w:spacing w:after="40" w:before="40" w:line="240" w:lineRule="auto"/>
              <w:jc w:val="left"/>
            </w:pPr>
            <w:r>
              <w:rPr>
                <w:rFonts w:ascii="Bahnschrift Light" w:hAnsi="Bahnschrift Light" w:cs="Bahnschrift Light" w:eastAsia="Bahnschrift Light"/>
                <w:b w:val="0"/>
                <w:i w:val="0"/>
                <w:sz w:val="16"/>
                <w:u w:val="none"/>
              </w:rPr>
              <w:t>CUB arts. 20 y 21</w:t>
            </w:r>
          </w:p>
        </w:tc>
        <w:tc>
          <w:tcPr>
            <w:tcW w:type="dxa" w:w="1875"/>
          </w:tcPr>
          <w:p>
            <w:pPr>
              <w:spacing w:after="40" w:before="40" w:line="240" w:lineRule="auto"/>
              <w:jc w:val="left"/>
            </w:pPr>
            <w:r>
              <w:rPr>
                <w:rFonts w:ascii="Bahnschrift Light" w:hAnsi="Bahnschrift Light" w:cs="Bahnschrift Light" w:eastAsia="Bahnschrift Light"/>
                <w:b w:val="0"/>
                <w:i w:val="0"/>
                <w:sz w:val="16"/>
                <w:u w:val="none"/>
              </w:rPr>
              <w:t>Área con funcionarios responsables</w:t>
            </w:r>
          </w:p>
        </w:tc>
        <w:tc>
          <w:tcPr>
            <w:tcW w:type="dxa" w:w="4571"/>
          </w:tcPr>
          <w:p>
            <w:pPr>
              <w:spacing w:after="40" w:before="40" w:line="240" w:lineRule="auto"/>
              <w:jc w:val="left"/>
            </w:pPr>
            <w:r>
              <w:rPr>
                <w:rFonts w:ascii="Bahnschrift Light" w:hAnsi="Bahnschrift Light" w:cs="Bahnschrift Light" w:eastAsia="Bahnschrift Light"/>
                <w:b w:val="0"/>
                <w:i w:val="0"/>
                <w:sz w:val="16"/>
                <w:u w:val="none"/>
              </w:rPr>
              <w:t>Independiente de las áreas de promoción. Ningún crédito, línea o disposición parcial puede ejercerse sin aprobación previa de un funcionario responsable, salvo los supuestos que el art. 21 excluye</w:t>
            </w:r>
          </w:p>
        </w:tc>
      </w:tr>
      <w:tr>
        <w:trPr>
          <w:cantSplit/>
        </w:trPr>
        <w:tc>
          <w:tcPr>
            <w:tcW w:type="dxa" w:w="1993"/>
          </w:tcPr>
          <w:p>
            <w:pPr>
              <w:spacing w:after="40" w:before="40" w:line="240" w:lineRule="auto"/>
              <w:jc w:val="left"/>
            </w:pPr>
            <w:r>
              <w:rPr>
                <w:rFonts w:ascii="Bahnschrift Light" w:hAnsi="Bahnschrift Light" w:cs="Bahnschrift Light" w:eastAsia="Bahnschrift Light"/>
                <w:b/>
                <w:i w:val="0"/>
                <w:sz w:val="16"/>
                <w:u w:val="none"/>
              </w:rPr>
              <w:t>Administración del riesgo crediticio</w:t>
            </w:r>
          </w:p>
        </w:tc>
        <w:tc>
          <w:tcPr>
            <w:tcW w:type="dxa" w:w="1641"/>
          </w:tcPr>
          <w:p>
            <w:pPr>
              <w:spacing w:after="40" w:before="40" w:line="240" w:lineRule="auto"/>
              <w:jc w:val="left"/>
            </w:pPr>
            <w:r>
              <w:rPr>
                <w:rFonts w:ascii="Bahnschrift Light" w:hAnsi="Bahnschrift Light" w:cs="Bahnschrift Light" w:eastAsia="Bahnschrift Light"/>
                <w:b w:val="0"/>
                <w:i w:val="0"/>
                <w:sz w:val="16"/>
                <w:u w:val="none"/>
              </w:rPr>
              <w:t>CUB art. 26</w:t>
            </w:r>
          </w:p>
        </w:tc>
        <w:tc>
          <w:tcPr>
            <w:tcW w:type="dxa" w:w="1875"/>
          </w:tcPr>
          <w:p>
            <w:pPr>
              <w:spacing w:after="40" w:before="40" w:line="240" w:lineRule="auto"/>
              <w:jc w:val="left"/>
            </w:pPr>
            <w:r>
              <w:rPr>
                <w:rFonts w:ascii="Bahnschrift Light" w:hAnsi="Bahnschrift Light" w:cs="Bahnschrift Light" w:eastAsia="Bahnschrift Light"/>
                <w:b w:val="0"/>
                <w:i w:val="0"/>
                <w:sz w:val="16"/>
                <w:u w:val="none"/>
              </w:rPr>
              <w:t>Área; el seguimiento de calidad y tendencias de la cartera (fracc. I) corresponde necesariamente a la UAIR</w:t>
            </w:r>
          </w:p>
        </w:tc>
        <w:tc>
          <w:tcPr>
            <w:tcW w:type="dxa" w:w="4571"/>
          </w:tcPr>
          <w:p>
            <w:pPr>
              <w:spacing w:after="40" w:before="40" w:line="240" w:lineRule="auto"/>
              <w:jc w:val="left"/>
            </w:pPr>
            <w:r>
              <w:rPr>
                <w:rFonts w:ascii="Bahnschrift Light" w:hAnsi="Bahnschrift Light" w:cs="Bahnschrift Light" w:eastAsia="Bahnschrift Light"/>
                <w:b w:val="0"/>
                <w:i w:val="0"/>
                <w:sz w:val="16"/>
                <w:u w:val="none"/>
              </w:rPr>
              <w:t>Las demás actividades pueden recaer en la UAIR o en el área de crédito, documentado. Informa cuando menos mensualmente al comité de riesgos y a la Dirección General</w:t>
            </w:r>
          </w:p>
        </w:tc>
      </w:tr>
      <w:tr>
        <w:trPr>
          <w:cantSplit/>
        </w:trPr>
        <w:tc>
          <w:tcPr>
            <w:tcW w:type="dxa" w:w="1993"/>
          </w:tcPr>
          <w:p>
            <w:pPr>
              <w:spacing w:after="40" w:before="40" w:line="240" w:lineRule="auto"/>
              <w:jc w:val="left"/>
            </w:pPr>
            <w:r>
              <w:rPr>
                <w:rFonts w:ascii="Bahnschrift Light" w:hAnsi="Bahnschrift Light" w:cs="Bahnschrift Light" w:eastAsia="Bahnschrift Light"/>
                <w:b/>
                <w:i w:val="0"/>
                <w:sz w:val="16"/>
                <w:u w:val="none"/>
              </w:rPr>
              <w:t>Auditoría interna en materia de crédito</w:t>
            </w:r>
          </w:p>
        </w:tc>
        <w:tc>
          <w:tcPr>
            <w:tcW w:type="dxa" w:w="1641"/>
          </w:tcPr>
          <w:p>
            <w:pPr>
              <w:spacing w:after="40" w:before="40" w:line="240" w:lineRule="auto"/>
              <w:jc w:val="left"/>
            </w:pPr>
            <w:r>
              <w:rPr>
                <w:rFonts w:ascii="Bahnschrift Light" w:hAnsi="Bahnschrift Light" w:cs="Bahnschrift Light" w:eastAsia="Bahnschrift Light"/>
                <w:b w:val="0"/>
                <w:i w:val="0"/>
                <w:sz w:val="16"/>
                <w:u w:val="none"/>
              </w:rPr>
              <w:t>CUB art. 31</w:t>
            </w:r>
          </w:p>
        </w:tc>
        <w:tc>
          <w:tcPr>
            <w:tcW w:type="dxa" w:w="1875"/>
          </w:tcPr>
          <w:p>
            <w:pPr>
              <w:spacing w:after="40" w:before="40" w:line="240" w:lineRule="auto"/>
              <w:jc w:val="left"/>
            </w:pPr>
            <w:r>
              <w:rPr>
                <w:rFonts w:ascii="Bahnschrift Light" w:hAnsi="Bahnschrift Light" w:cs="Bahnschrift Light" w:eastAsia="Bahnschrift Light"/>
                <w:b w:val="0"/>
                <w:i w:val="0"/>
                <w:sz w:val="16"/>
                <w:u w:val="none"/>
              </w:rPr>
              <w:t>Área o función</w:t>
            </w:r>
          </w:p>
        </w:tc>
        <w:tc>
          <w:tcPr>
            <w:tcW w:type="dxa" w:w="4571"/>
          </w:tcPr>
          <w:p>
            <w:pPr>
              <w:spacing w:after="40" w:before="40" w:line="240" w:lineRule="auto"/>
              <w:jc w:val="left"/>
            </w:pPr>
            <w:r>
              <w:rPr>
                <w:rFonts w:ascii="Bahnschrift Light" w:hAnsi="Bahnschrift Light" w:cs="Bahnschrift Light" w:eastAsia="Bahnschrift Light"/>
                <w:b w:val="0"/>
                <w:i w:val="0"/>
                <w:sz w:val="16"/>
                <w:u w:val="none"/>
              </w:rPr>
              <w:t>Reporta cuando menos una vez al año al consejo, al comité de riesgos y al Comité de Auditoría. Su revisión alcanza las funciones del área jurídica en la Actividad Crediticia (fracc. II)</w:t>
            </w:r>
          </w:p>
        </w:tc>
      </w:tr>
      <w:tr>
        <w:trPr>
          <w:cantSplit/>
        </w:trPr>
        <w:tc>
          <w:tcPr>
            <w:tcW w:type="dxa" w:w="1993"/>
          </w:tcPr>
          <w:p>
            <w:pPr>
              <w:spacing w:after="40" w:before="40" w:line="240" w:lineRule="auto"/>
              <w:jc w:val="left"/>
            </w:pPr>
            <w:r>
              <w:rPr>
                <w:rFonts w:ascii="Bahnschrift Light" w:hAnsi="Bahnschrift Light" w:cs="Bahnschrift Light" w:eastAsia="Bahnschrift Light"/>
                <w:b/>
                <w:i w:val="0"/>
                <w:sz w:val="16"/>
                <w:u w:val="none"/>
              </w:rPr>
              <w:t>Área jurídica</w:t>
            </w:r>
          </w:p>
        </w:tc>
        <w:tc>
          <w:tcPr>
            <w:tcW w:type="dxa" w:w="1641"/>
          </w:tcPr>
          <w:p>
            <w:pPr>
              <w:spacing w:after="40" w:before="40" w:line="240" w:lineRule="auto"/>
              <w:jc w:val="left"/>
            </w:pPr>
            <w:r>
              <w:rPr>
                <w:rFonts w:ascii="Bahnschrift Light" w:hAnsi="Bahnschrift Light" w:cs="Bahnschrift Light" w:eastAsia="Bahnschrift Light"/>
                <w:b w:val="0"/>
                <w:i w:val="0"/>
                <w:sz w:val="16"/>
                <w:u w:val="none"/>
              </w:rPr>
              <w:t>CUB art. 15, fracc. III, inciso f)</w:t>
            </w:r>
          </w:p>
        </w:tc>
        <w:tc>
          <w:tcPr>
            <w:tcW w:type="dxa" w:w="1875"/>
          </w:tcPr>
          <w:p>
            <w:pPr>
              <w:spacing w:after="40" w:before="40" w:line="240" w:lineRule="auto"/>
              <w:jc w:val="left"/>
            </w:pPr>
            <w:r>
              <w:rPr>
                <w:rFonts w:ascii="Bahnschrift Light" w:hAnsi="Bahnschrift Light" w:cs="Bahnschrift Light" w:eastAsia="Bahnschrift Light"/>
                <w:b w:val="0"/>
                <w:i w:val="0"/>
                <w:sz w:val="16"/>
                <w:u w:val="none"/>
              </w:rPr>
              <w:t>Área</w:t>
            </w:r>
          </w:p>
        </w:tc>
        <w:tc>
          <w:tcPr>
            <w:tcW w:type="dxa" w:w="4571"/>
          </w:tcPr>
          <w:p>
            <w:pPr>
              <w:spacing w:after="40" w:before="40" w:line="240" w:lineRule="auto"/>
              <w:jc w:val="left"/>
            </w:pPr>
            <w:r>
              <w:rPr>
                <w:rFonts w:ascii="Bahnschrift Light" w:hAnsi="Bahnschrift Light" w:cs="Bahnschrift Light" w:eastAsia="Bahnschrift Light"/>
                <w:b w:val="0"/>
                <w:i w:val="0"/>
                <w:sz w:val="16"/>
                <w:u w:val="none"/>
              </w:rPr>
              <w:t>Aprueba los contratos e instrumentos jurídicos antes de celebrar operaciones de crédito comercial por dos millones de UDIs o más; para los créditos del inciso c) la aprobación se expresa caso por caso mediante firma</w:t>
            </w:r>
          </w:p>
        </w:tc>
      </w:tr>
      <w:tr>
        <w:trPr>
          <w:cantSplit/>
        </w:trPr>
        <w:tc>
          <w:tcPr>
            <w:tcW w:type="dxa" w:w="1993"/>
          </w:tcPr>
          <w:p>
            <w:pPr>
              <w:spacing w:after="40" w:before="40" w:line="240" w:lineRule="auto"/>
              <w:jc w:val="left"/>
            </w:pPr>
            <w:r>
              <w:rPr>
                <w:rFonts w:ascii="Bahnschrift Light" w:hAnsi="Bahnschrift Light" w:cs="Bahnschrift Light" w:eastAsia="Bahnschrift Light"/>
                <w:b/>
                <w:i w:val="0"/>
                <w:sz w:val="16"/>
                <w:u w:val="none"/>
              </w:rPr>
              <w:t>Oficial de Cumplimiento PLD/FT</w:t>
            </w:r>
          </w:p>
        </w:tc>
        <w:tc>
          <w:tcPr>
            <w:tcW w:type="dxa" w:w="1641"/>
          </w:tcPr>
          <w:p>
            <w:pPr>
              <w:spacing w:after="40" w:before="40" w:line="240" w:lineRule="auto"/>
              <w:jc w:val="left"/>
            </w:pPr>
            <w:r>
              <w:rPr>
                <w:rFonts w:ascii="Bahnschrift Light" w:hAnsi="Bahnschrift Light" w:cs="Bahnschrift Light" w:eastAsia="Bahnschrift Light"/>
                <w:b w:val="0"/>
                <w:i w:val="0"/>
                <w:sz w:val="16"/>
                <w:u w:val="none"/>
              </w:rPr>
              <w:t>Disposiciones art. 115 LIC, 47ª, 47ª Bis y 48ª</w:t>
            </w:r>
          </w:p>
        </w:tc>
        <w:tc>
          <w:tcPr>
            <w:tcW w:type="dxa" w:w="1875"/>
          </w:tcPr>
          <w:p>
            <w:pPr>
              <w:spacing w:after="40" w:before="40" w:line="240" w:lineRule="auto"/>
              <w:jc w:val="left"/>
            </w:pPr>
            <w:r>
              <w:rPr>
                <w:rFonts w:ascii="Bahnschrift Light" w:hAnsi="Bahnschrift Light" w:cs="Bahnschrift Light" w:eastAsia="Bahnschrift Light"/>
                <w:b w:val="0"/>
                <w:i w:val="0"/>
                <w:sz w:val="16"/>
                <w:u w:val="none"/>
              </w:rPr>
              <w:t>Titular único; admite interino hasta noventa días naturales por año calendario</w:t>
            </w:r>
          </w:p>
        </w:tc>
        <w:tc>
          <w:tcPr>
            <w:tcW w:type="dxa" w:w="4571"/>
          </w:tcPr>
          <w:p>
            <w:pPr>
              <w:spacing w:after="40" w:before="40" w:line="240" w:lineRule="auto"/>
              <w:jc w:val="left"/>
            </w:pPr>
            <w:r>
              <w:rPr>
                <w:rFonts w:ascii="Bahnschrift Light" w:hAnsi="Bahnschrift Light" w:cs="Bahnschrift Light" w:eastAsia="Bahnschrift Light"/>
                <w:b w:val="0"/>
                <w:i w:val="0"/>
                <w:sz w:val="16"/>
                <w:u w:val="none"/>
              </w:rPr>
              <w:t>Requiere certificación vigente del art. 4, fracc. X, de la Ley de la CNBV. El interino no debe tener funciones de auditoría interna. Designación y revocación se informan a la CNBV en diez días hábiles (48ª). El núcleo de funciones de la 47ª, fraccs. I a X, no se recuperó (ver Título V)</w:t>
            </w:r>
          </w:p>
        </w:tc>
      </w:tr>
      <w:tr>
        <w:trPr>
          <w:cantSplit/>
        </w:trPr>
        <w:tc>
          <w:tcPr>
            <w:tcW w:type="dxa" w:w="1993"/>
          </w:tcPr>
          <w:p>
            <w:pPr>
              <w:spacing w:after="40" w:before="40" w:line="240" w:lineRule="auto"/>
              <w:jc w:val="left"/>
            </w:pPr>
            <w:r>
              <w:rPr>
                <w:rFonts w:ascii="Bahnschrift Light" w:hAnsi="Bahnschrift Light" w:cs="Bahnschrift Light" w:eastAsia="Bahnschrift Light"/>
                <w:b/>
                <w:i w:val="0"/>
                <w:sz w:val="16"/>
                <w:u w:val="none"/>
              </w:rPr>
              <w:t>Auditor externo independiente</w:t>
            </w:r>
          </w:p>
        </w:tc>
        <w:tc>
          <w:tcPr>
            <w:tcW w:type="dxa" w:w="1641"/>
          </w:tcPr>
          <w:p>
            <w:pPr>
              <w:spacing w:after="40" w:before="40" w:line="240" w:lineRule="auto"/>
              <w:jc w:val="left"/>
            </w:pPr>
            <w:r>
              <w:rPr>
                <w:rFonts w:ascii="Bahnschrift Light" w:hAnsi="Bahnschrift Light" w:cs="Bahnschrift Light" w:eastAsia="Bahnschrift Light"/>
                <w:b w:val="0"/>
                <w:i w:val="0"/>
                <w:sz w:val="16"/>
                <w:u w:val="none"/>
              </w:rPr>
              <w:t>LIC art. 101, 4.º párr.</w:t>
            </w:r>
          </w:p>
        </w:tc>
        <w:tc>
          <w:tcPr>
            <w:tcW w:type="dxa" w:w="1875"/>
          </w:tcPr>
          <w:p>
            <w:pPr>
              <w:spacing w:after="40" w:before="40" w:line="240" w:lineRule="auto"/>
              <w:jc w:val="left"/>
            </w:pPr>
            <w:r>
              <w:rPr>
                <w:rFonts w:ascii="Bahnschrift Light" w:hAnsi="Bahnschrift Light" w:cs="Bahnschrift Light" w:eastAsia="Bahnschrift Light"/>
                <w:b w:val="0"/>
                <w:i w:val="0"/>
                <w:sz w:val="16"/>
                <w:u w:val="none"/>
              </w:rPr>
              <w:t>Externo a la institución</w:t>
            </w:r>
          </w:p>
        </w:tc>
        <w:tc>
          <w:tcPr>
            <w:tcW w:type="dxa" w:w="4571"/>
          </w:tcPr>
          <w:p>
            <w:pPr>
              <w:spacing w:after="40" w:before="40" w:line="240" w:lineRule="auto"/>
              <w:jc w:val="left"/>
            </w:pPr>
            <w:r>
              <w:rPr>
                <w:rFonts w:ascii="Bahnschrift Light" w:hAnsi="Bahnschrift Light" w:cs="Bahnschrift Light" w:eastAsia="Bahnschrift Light"/>
                <w:b w:val="0"/>
                <w:i w:val="0"/>
                <w:sz w:val="16"/>
                <w:u w:val="none"/>
              </w:rPr>
              <w:t>Designado directamente por el consejo de administración. Dictamina los estados financieros anuales. La CNBV puede fijar requisitos, contenido de dictámenes, alternancia y revelaciones sobre otros servicios</w:t>
            </w:r>
          </w:p>
        </w:tc>
      </w:tr>
      <w:tr>
        <w:trPr>
          <w:cantSplit/>
        </w:trPr>
        <w:tc>
          <w:tcPr>
            <w:tcW w:type="dxa" w:w="1993"/>
          </w:tcPr>
          <w:p>
            <w:pPr>
              <w:spacing w:after="40" w:before="40" w:line="240" w:lineRule="auto"/>
              <w:jc w:val="left"/>
            </w:pPr>
            <w:r>
              <w:rPr>
                <w:rFonts w:ascii="Bahnschrift Light" w:hAnsi="Bahnschrift Light" w:cs="Bahnschrift Light" w:eastAsia="Bahnschrift Light"/>
                <w:b/>
                <w:i w:val="0"/>
                <w:sz w:val="16"/>
                <w:u w:val="none"/>
              </w:rPr>
              <w:t>Comisarios</w:t>
            </w:r>
          </w:p>
        </w:tc>
        <w:tc>
          <w:tcPr>
            <w:tcW w:type="dxa" w:w="1641"/>
          </w:tcPr>
          <w:p>
            <w:pPr>
              <w:spacing w:after="40" w:before="40" w:line="240" w:lineRule="auto"/>
              <w:jc w:val="left"/>
            </w:pPr>
            <w:r>
              <w:rPr>
                <w:rFonts w:ascii="Bahnschrift Light" w:hAnsi="Bahnschrift Light" w:cs="Bahnschrift Light" w:eastAsia="Bahnschrift Light"/>
                <w:b w:val="0"/>
                <w:i w:val="0"/>
                <w:sz w:val="16"/>
                <w:u w:val="none"/>
              </w:rPr>
              <w:t>LIC art. 22; CUB art. 149</w:t>
            </w:r>
          </w:p>
        </w:tc>
        <w:tc>
          <w:tcPr>
            <w:tcW w:type="dxa" w:w="1875"/>
          </w:tcPr>
          <w:p>
            <w:pPr>
              <w:spacing w:after="40" w:before="40" w:line="240" w:lineRule="auto"/>
              <w:jc w:val="left"/>
            </w:pPr>
            <w:r>
              <w:rPr>
                <w:rFonts w:ascii="Bahnschrift Light" w:hAnsi="Bahnschrift Light" w:cs="Bahnschrift Light" w:eastAsia="Bahnschrift Light"/>
                <w:b w:val="0"/>
                <w:i w:val="0"/>
                <w:sz w:val="16"/>
                <w:u w:val="none"/>
              </w:rPr>
              <w:t>Según los estatutos sociales</w:t>
            </w:r>
          </w:p>
        </w:tc>
        <w:tc>
          <w:tcPr>
            <w:tcW w:type="dxa" w:w="4571"/>
          </w:tcPr>
          <w:p>
            <w:pPr>
              <w:spacing w:after="40" w:before="40" w:line="240" w:lineRule="auto"/>
              <w:jc w:val="left"/>
            </w:pPr>
            <w:r>
              <w:rPr>
                <w:rFonts w:ascii="Bahnschrift Light" w:hAnsi="Bahnschrift Light" w:cs="Bahnschrift Light" w:eastAsia="Bahnschrift Light"/>
                <w:b w:val="0"/>
                <w:i w:val="0"/>
                <w:sz w:val="16"/>
                <w:u w:val="none"/>
              </w:rPr>
              <w:t>Pueden convocar sesiones extraordinarias del consejo y asistir al Comité de Auditoría con voz pero sin voto</w:t>
            </w:r>
          </w:p>
        </w:tc>
      </w:tr>
      <w:tr>
        <w:trPr>
          <w:cantSplit/>
        </w:trPr>
        <w:tc>
          <w:tcPr>
            <w:tcW w:type="dxa" w:w="1993"/>
          </w:tcPr>
          <w:p>
            <w:pPr>
              <w:spacing w:after="40" w:before="40" w:line="240" w:lineRule="auto"/>
              <w:jc w:val="left"/>
            </w:pPr>
            <w:r>
              <w:rPr>
                <w:rFonts w:ascii="Bahnschrift Light" w:hAnsi="Bahnschrift Light" w:cs="Bahnschrift Light" w:eastAsia="Bahnschrift Light"/>
                <w:b/>
                <w:i w:val="0"/>
                <w:sz w:val="16"/>
                <w:u w:val="none"/>
              </w:rPr>
              <w:t xml:space="preserve">Responsable de servicios de inversión </w:t>
            </w:r>
            <w:r>
              <w:rPr>
                <w:rFonts w:ascii="Bahnschrift Light" w:hAnsi="Bahnschrift Light" w:cs="Bahnschrift Light" w:eastAsia="Bahnschrift Light"/>
                <w:b w:val="0"/>
                <w:i/>
                <w:sz w:val="16"/>
                <w:u w:val="none"/>
              </w:rPr>
              <w:t>(contingente)</w:t>
            </w:r>
          </w:p>
        </w:tc>
        <w:tc>
          <w:tcPr>
            <w:tcW w:type="dxa" w:w="1641"/>
          </w:tcPr>
          <w:p>
            <w:pPr>
              <w:spacing w:after="40" w:before="40" w:line="240" w:lineRule="auto"/>
              <w:jc w:val="left"/>
            </w:pPr>
            <w:r>
              <w:rPr>
                <w:rFonts w:ascii="Bahnschrift Light" w:hAnsi="Bahnschrift Light" w:cs="Bahnschrift Light" w:eastAsia="Bahnschrift Light"/>
                <w:b w:val="0"/>
                <w:i w:val="0"/>
                <w:sz w:val="16"/>
                <w:u w:val="none"/>
              </w:rPr>
              <w:t>Disposiciones DOF 09-01-2015, art. 21</w:t>
            </w:r>
          </w:p>
        </w:tc>
        <w:tc>
          <w:tcPr>
            <w:tcW w:type="dxa" w:w="1875"/>
          </w:tcPr>
          <w:p>
            <w:pPr>
              <w:spacing w:after="40" w:before="40" w:line="240" w:lineRule="auto"/>
              <w:jc w:val="left"/>
            </w:pPr>
            <w:r>
              <w:rPr>
                <w:rFonts w:ascii="Bahnschrift Light" w:hAnsi="Bahnschrift Light" w:cs="Bahnschrift Light" w:eastAsia="Bahnschrift Light"/>
                <w:b w:val="0"/>
                <w:i w:val="0"/>
                <w:sz w:val="16"/>
                <w:u w:val="none"/>
              </w:rPr>
              <w:t>Titular único</w:t>
            </w:r>
          </w:p>
        </w:tc>
        <w:tc>
          <w:tcPr>
            <w:tcW w:type="dxa" w:w="4571"/>
          </w:tcPr>
          <w:p>
            <w:pPr>
              <w:spacing w:after="40" w:before="40" w:line="240" w:lineRule="auto"/>
              <w:jc w:val="left"/>
            </w:pPr>
            <w:r>
              <w:rPr>
                <w:rFonts w:ascii="Bahnschrift Light" w:hAnsi="Bahnschrift Light" w:cs="Bahnschrift Light" w:eastAsia="Bahnschrift Light"/>
                <w:b w:val="0"/>
                <w:i w:val="0"/>
                <w:sz w:val="16"/>
                <w:u w:val="none"/>
              </w:rPr>
              <w:t>Sólo si la institución prestará servicios de inversión. Designado por el consejo, con independencia, recursos y acceso a la información. No puede participar en la prestación de los servicios ni en la estructuración de productos. Reporta al consejo, en su caso vía el comité de auditoría. Funciones en el Apartado A del Anexo 9</w:t>
            </w:r>
          </w:p>
        </w:tc>
      </w:tr>
    </w:tbl>
    <w:p>
      <w:pPr>
        <w:spacing w:after="80" w:before="0" w:line="276" w:lineRule="auto"/>
        <w:jc w:val="both"/>
      </w:pPr>
    </w:p>
    <w:p>
      <w:pPr>
        <w:pStyle w:val="ListParagraph"/>
        <w:keepNext/>
        <w:spacing w:after="120" w:before="200" w:line="276" w:lineRule="auto"/>
        <w:ind w:left="425" w:firstLine="0"/>
        <w:jc w:val="both"/>
      </w:pPr>
      <w:r>
        <w:rPr>
          <w:rFonts w:ascii="Bahnschrift Light" w:hAnsi="Bahnschrift Light" w:cs="Bahnschrift Light" w:eastAsia="Bahnschrift Light"/>
          <w:b/>
          <w:i w:val="0"/>
          <w:sz w:val="22"/>
          <w:u w:val="none"/>
        </w:rPr>
        <w:t>Tres observaciones sobre la eficacia de estas exigencias</w:t>
      </w:r>
    </w:p>
    <w:p>
      <w:pPr>
        <w:spacing w:after="120" w:before="0" w:line="276" w:lineRule="auto"/>
        <w:jc w:val="both"/>
      </w:pPr>
      <w:r>
        <w:rPr>
          <w:rFonts w:ascii="Bahnschrift Light" w:hAnsi="Bahnschrift Light" w:cs="Bahnschrift Light" w:eastAsia="Bahnschrift Light"/>
          <w:b/>
          <w:i w:val="0"/>
          <w:sz w:val="22"/>
          <w:u w:val="none"/>
        </w:rPr>
        <w:t xml:space="preserve">El acceso a la información es objeto de vigilancia activa. </w:t>
      </w:r>
      <w:r>
        <w:rPr>
          <w:rFonts w:ascii="Bahnschrift Light" w:hAnsi="Bahnschrift Light" w:cs="Bahnschrift Light" w:eastAsia="Bahnschrift Light"/>
          <w:b w:val="0"/>
          <w:i w:val="0"/>
          <w:sz w:val="22"/>
          <w:u w:val="none"/>
        </w:rPr>
        <w:t>El artículo 156, fracción XII, de la CUB obliga al Comité de Auditoría a determinar medidas correctivas y preventivas cuando tenga conocimiento de que la Contraloría Interna, la persona responsable de las disposiciones de servicios de inversión, el auditor interno o el oficial de seguridad de la información no cuenten con acceso a toda la información necesaria para sus funciones. La independencia de las funciones de control no es sólo una obligación de diseño en el organigrama.</w:t>
      </w:r>
    </w:p>
    <w:p>
      <w:pPr>
        <w:spacing w:after="120" w:before="0" w:line="276" w:lineRule="auto"/>
        <w:jc w:val="both"/>
      </w:pPr>
      <w:r>
        <w:rPr>
          <w:rFonts w:ascii="Bahnschrift Light" w:hAnsi="Bahnschrift Light" w:cs="Bahnschrift Light" w:eastAsia="Bahnschrift Light"/>
          <w:b/>
          <w:i w:val="0"/>
          <w:sz w:val="22"/>
          <w:u w:val="none"/>
        </w:rPr>
        <w:t xml:space="preserve">La calidad del personal se evalúa periódicamente. </w:t>
      </w:r>
      <w:r>
        <w:rPr>
          <w:rFonts w:ascii="Bahnschrift Light" w:hAnsi="Bahnschrift Light" w:cs="Bahnschrift Light" w:eastAsia="Bahnschrift Light"/>
          <w:b w:val="0"/>
          <w:i w:val="0"/>
          <w:sz w:val="22"/>
          <w:u w:val="none"/>
        </w:rPr>
        <w:t>El artículo 164, fracción IV, inciso c), de la CUB obliga a la Dirección General a implementar mecanismos para que las actividades se lleven a cabo únicamente por personal previamente definido y autorizado, con calidad técnica, experiencia y honorabilidad, mediante evaluación al menos una vez cada tres años, documentada y disponible para la CNBV por al menos cinco años.</w:t>
      </w:r>
    </w:p>
    <w:p>
      <w:pPr>
        <w:spacing w:after="120" w:before="0" w:line="276" w:lineRule="auto"/>
        <w:jc w:val="both"/>
      </w:pPr>
      <w:r>
        <w:rPr>
          <w:rFonts w:ascii="Bahnschrift Light" w:hAnsi="Bahnschrift Light" w:cs="Bahnschrift Light" w:eastAsia="Bahnschrift Light"/>
          <w:b/>
          <w:i w:val="0"/>
          <w:sz w:val="22"/>
          <w:u w:val="none"/>
        </w:rPr>
        <w:t xml:space="preserve">El régimen PLD/FT converge en el Comité de Auditoría. </w:t>
      </w:r>
      <w:r>
        <w:rPr>
          <w:rFonts w:ascii="Bahnschrift Light" w:hAnsi="Bahnschrift Light" w:cs="Bahnschrift Light" w:eastAsia="Bahnschrift Light"/>
          <w:b w:val="0"/>
          <w:i w:val="0"/>
          <w:sz w:val="22"/>
          <w:u w:val="none"/>
        </w:rPr>
        <w:t>La 43ª, fracción I, de las Disposiciones del artículo 115 de la LIC somete el Manual de Cumplimiento —y cualquier modificación— a la aprobación del comité de auditoría de la entidad. El gobierno PLD/FT no es un circuito paralelo.</w:t>
      </w:r>
    </w:p>
    <w:p>
      <w:pPr>
        <w:keepNext/>
        <w:spacing w:after="160" w:before="320" w:line="276" w:lineRule="auto"/>
        <w:jc w:val="both"/>
      </w:pPr>
      <w:r>
        <w:rPr>
          <w:rFonts w:ascii="Bahnschrift Light" w:hAnsi="Bahnschrift Light" w:cs="Bahnschrift Light" w:eastAsia="Bahnschrift Light"/>
          <w:b/>
          <w:i w:val="0"/>
          <w:sz w:val="23"/>
          <w:u w:val="none"/>
        </w:rPr>
        <w:t>IV. Los dos momentos regulatorios: autorización e inicio de operaciones</w:t>
      </w:r>
    </w:p>
    <w:p>
      <w:pPr>
        <w:spacing w:after="120" w:before="0" w:line="276" w:lineRule="auto"/>
        <w:jc w:val="both"/>
      </w:pPr>
      <w:r>
        <w:rPr>
          <w:rFonts w:ascii="Bahnschrift Light" w:hAnsi="Bahnschrift Light" w:cs="Bahnschrift Light" w:eastAsia="Bahnschrift Light"/>
          <w:b w:val="0"/>
          <w:i w:val="0"/>
          <w:sz w:val="22"/>
          <w:u w:val="none"/>
        </w:rPr>
        <w:t>El prospecto pregunta por «la licencia bancaria» como si fuera un acto único. No lo es. Son dos autorizaciones sucesivas, y la diferencia determina cuándo deben existir los comités y las funciones descritas.</w:t>
      </w:r>
    </w:p>
    <w:p>
      <w:pPr>
        <w:pStyle w:val="ListParagraph"/>
        <w:keepNext/>
        <w:spacing w:after="120" w:before="200" w:line="276" w:lineRule="auto"/>
        <w:ind w:left="425" w:firstLine="0"/>
        <w:jc w:val="both"/>
      </w:pPr>
      <w:r>
        <w:rPr>
          <w:rFonts w:ascii="Bahnschrift Light" w:hAnsi="Bahnschrift Light" w:cs="Bahnschrift Light" w:eastAsia="Bahnschrift Light"/>
          <w:b/>
          <w:i w:val="0"/>
          <w:sz w:val="22"/>
          <w:u w:val="none"/>
        </w:rPr>
        <w:t>Primer momento — autorización para organizarse y operar</w:t>
      </w:r>
    </w:p>
    <w:p>
      <w:pPr>
        <w:spacing w:after="120" w:before="0" w:line="276" w:lineRule="auto"/>
        <w:jc w:val="both"/>
      </w:pPr>
      <w:r>
        <w:rPr>
          <w:rFonts w:ascii="Bahnschrift Light" w:hAnsi="Bahnschrift Light" w:cs="Bahnschrift Light" w:eastAsia="Bahnschrift Light"/>
          <w:b w:val="0"/>
          <w:i w:val="0"/>
          <w:sz w:val="22"/>
          <w:u w:val="none"/>
        </w:rPr>
        <w:t>La solicitud debe acompañarse, entre otros elementos, de la relación de los probables consejeros, director general y principales directivos, con la información que acredite que cumplen los requisitos que la LIC establece para esos cargos (artículo 10, fracción III), y de un plan general de funcionamiento que comprenda —entre otros aspectos— «las bases relativas a su organización, administración y control interno» (artículo 10, fracción IV, inciso g)). Debe acompañarse también el comprobante de depósito en garantía a favor de la Tesorería de la Federación por el diez por ciento del capital mínimo (fracción V).</w:t>
      </w:r>
    </w:p>
    <w:p>
      <w:pPr>
        <w:spacing w:after="120" w:before="0" w:line="276" w:lineRule="auto"/>
        <w:jc w:val="both"/>
      </w:pPr>
      <w:r>
        <w:rPr>
          <w:rFonts w:ascii="Bahnschrift Light" w:hAnsi="Bahnschrift Light" w:cs="Bahnschrift Light" w:eastAsia="Bahnschrift Light"/>
          <w:b w:val="0"/>
          <w:i w:val="0"/>
          <w:sz w:val="22"/>
          <w:u w:val="none"/>
        </w:rPr>
        <w:t xml:space="preserve">En esta etapa el gobierno corporativo se </w:t>
      </w:r>
      <w:r>
        <w:rPr>
          <w:rFonts w:ascii="Bahnschrift Light" w:hAnsi="Bahnschrift Light" w:cs="Bahnschrift Light" w:eastAsia="Bahnschrift Light"/>
          <w:b/>
          <w:i w:val="0"/>
          <w:sz w:val="22"/>
          <w:u w:val="none"/>
        </w:rPr>
        <w:t>documenta y proyecta</w:t>
      </w:r>
      <w:r>
        <w:rPr>
          <w:rFonts w:ascii="Bahnschrift Light" w:hAnsi="Bahnschrift Light" w:cs="Bahnschrift Light" w:eastAsia="Bahnschrift Light"/>
          <w:b w:val="0"/>
          <w:i w:val="0"/>
          <w:sz w:val="22"/>
          <w:u w:val="none"/>
        </w:rPr>
        <w:t>. No se exige que los comités estén constituidos ni operando.</w:t>
      </w:r>
    </w:p>
    <w:p>
      <w:pPr>
        <w:pStyle w:val="ListParagraph"/>
        <w:keepNext/>
        <w:spacing w:after="120" w:before="200" w:line="276" w:lineRule="auto"/>
        <w:ind w:left="425" w:firstLine="0"/>
        <w:jc w:val="both"/>
      </w:pPr>
      <w:r>
        <w:rPr>
          <w:rFonts w:ascii="Bahnschrift Light" w:hAnsi="Bahnschrift Light" w:cs="Bahnschrift Light" w:eastAsia="Bahnschrift Light"/>
          <w:b/>
          <w:i w:val="0"/>
          <w:sz w:val="22"/>
          <w:u w:val="none"/>
        </w:rPr>
        <w:t>Segundo momento — autorización para iniciar operaciones</w:t>
      </w:r>
    </w:p>
    <w:p>
      <w:pPr>
        <w:spacing w:after="120" w:before="0" w:line="276" w:lineRule="auto"/>
        <w:jc w:val="both"/>
      </w:pPr>
      <w:r>
        <w:rPr>
          <w:rFonts w:ascii="Bahnschrift Light" w:hAnsi="Bahnschrift Light" w:cs="Bahnschrift Light" w:eastAsia="Bahnschrift Light"/>
          <w:b w:val="0"/>
          <w:i w:val="0"/>
          <w:sz w:val="22"/>
          <w:u w:val="none"/>
        </w:rPr>
        <w:t xml:space="preserve">Ocurre </w:t>
      </w:r>
      <w:r>
        <w:rPr>
          <w:rFonts w:ascii="Bahnschrift Light" w:hAnsi="Bahnschrift Light" w:cs="Bahnschrift Light" w:eastAsia="Bahnschrift Light"/>
          <w:b/>
          <w:i w:val="0"/>
          <w:sz w:val="22"/>
          <w:u w:val="none"/>
        </w:rPr>
        <w:t>después</w:t>
      </w:r>
      <w:r>
        <w:rPr>
          <w:rFonts w:ascii="Bahnschrift Light" w:hAnsi="Bahnschrift Light" w:cs="Bahnschrift Light" w:eastAsia="Bahnschrift Light"/>
          <w:b w:val="0"/>
          <w:i w:val="0"/>
          <w:sz w:val="22"/>
          <w:u w:val="none"/>
        </w:rPr>
        <w:t xml:space="preserve"> de obtenida la autorización para organizarse y operar, y es aquí donde el requisito se vuelve material. Conforme al artículo 46 Bis de la LIC, la CNBV autoriza el inicio de operaciones cuando la institución acredite, entre otros extremos, que las operaciones estén expresamente señaladas en sus estatutos sociales (fracción I); que cuente con el capital mínimo que le corresponda en función de las operaciones que pretenda realizar (fracción II); que cuente con «los órganos de gobierno y la estructura corporativa adecuados» para realizar esas operaciones, conforme a la LIC y a las disposiciones de carácter general de la CNBV (fracción III); y que cuente con «la infraestructura y los controles internos necesarios» —sistemas operativos, contables y de seguridad, oficinas— «así como los manuales respectivos» (fracción IV).</w:t>
      </w:r>
    </w:p>
    <w:p>
      <w:pPr>
        <w:spacing w:after="120" w:before="0" w:line="276" w:lineRule="auto"/>
        <w:jc w:val="both"/>
      </w:pPr>
      <w:r>
        <w:rPr>
          <w:rFonts w:ascii="Bahnschrift Light" w:hAnsi="Bahnschrift Light" w:cs="Bahnschrift Light" w:eastAsia="Bahnschrift Light"/>
          <w:b w:val="0"/>
          <w:i w:val="0"/>
          <w:sz w:val="22"/>
          <w:u w:val="none"/>
        </w:rPr>
        <w:t xml:space="preserve">El mismo artículo faculta a la CNBV para practicar las </w:t>
      </w:r>
      <w:r>
        <w:rPr>
          <w:rFonts w:ascii="Bahnschrift Light" w:hAnsi="Bahnschrift Light" w:cs="Bahnschrift Light" w:eastAsia="Bahnschrift Light"/>
          <w:b/>
          <w:i w:val="0"/>
          <w:sz w:val="22"/>
          <w:u w:val="none"/>
        </w:rPr>
        <w:t>visitas de inspección</w:t>
      </w:r>
      <w:r>
        <w:rPr>
          <w:rFonts w:ascii="Bahnschrift Light" w:hAnsi="Bahnschrift Light" w:cs="Bahnschrift Light" w:eastAsia="Bahnschrift Light"/>
          <w:b w:val="0"/>
          <w:i w:val="0"/>
          <w:sz w:val="22"/>
          <w:u w:val="none"/>
        </w:rPr>
        <w:t xml:space="preserve"> que considere necesarias a efecto de verificar el cumplimiento de las fracciones I a IV. La autorización de inicio de operaciones debe inscribirse en el Registro Público de Comercio, para efectos declarativos, a más tardar treinta días después de notificada.</w:t>
      </w:r>
    </w:p>
    <w:p>
      <w:pPr>
        <w:pStyle w:val="ListParagraph"/>
        <w:keepNext/>
        <w:spacing w:after="120" w:before="200" w:line="276" w:lineRule="auto"/>
        <w:ind w:left="425" w:firstLine="0"/>
        <w:jc w:val="both"/>
      </w:pPr>
      <w:r>
        <w:rPr>
          <w:rFonts w:ascii="Bahnschrift Light" w:hAnsi="Bahnschrift Light" w:cs="Bahnschrift Light" w:eastAsia="Bahnschrift Light"/>
          <w:b/>
          <w:i w:val="0"/>
          <w:sz w:val="22"/>
          <w:u w:val="none"/>
        </w:rPr>
        <w:t>Consecuencia práctica</w:t>
      </w:r>
    </w:p>
    <w:p>
      <w:pPr>
        <w:spacing w:after="120" w:before="0" w:line="276" w:lineRule="auto"/>
        <w:jc w:val="both"/>
      </w:pPr>
      <w:r>
        <w:rPr>
          <w:rFonts w:ascii="Bahnschrift Light" w:hAnsi="Bahnschrift Light" w:cs="Bahnschrift Light" w:eastAsia="Bahnschrift Light"/>
          <w:b w:val="0"/>
          <w:i w:val="0"/>
          <w:sz w:val="22"/>
          <w:u w:val="none"/>
        </w:rPr>
        <w:t xml:space="preserve">Los comités deben estar constituidos por acuerdo del consejo, integrados con personas que satisfagan los requisitos de composición de las tablas anteriores, con reglamento interno y con evidencia documental de sesiones, </w:t>
      </w:r>
      <w:r>
        <w:rPr>
          <w:rFonts w:ascii="Bahnschrift Light" w:hAnsi="Bahnschrift Light" w:cs="Bahnschrift Light" w:eastAsia="Bahnschrift Light"/>
          <w:b/>
          <w:i w:val="0"/>
          <w:sz w:val="22"/>
          <w:u w:val="none"/>
        </w:rPr>
        <w:t>antes de la visita de verificación del artículo 46 Bis</w:t>
      </w:r>
      <w:r>
        <w:rPr>
          <w:rFonts w:ascii="Bahnschrift Light" w:hAnsi="Bahnschrift Light" w:cs="Bahnschrift Light" w:eastAsia="Bahnschrift Light"/>
          <w:b w:val="0"/>
          <w:i w:val="0"/>
          <w:sz w:val="22"/>
          <w:u w:val="none"/>
        </w:rPr>
        <w:t xml:space="preserve"> —no antes de la solicitud del artículo 10—. Lo mismo aplica a los manuales: manual de crédito, manual para la Administración Integral de Riesgos, Manual de Cumplimiento PLD/FT, código de conducta, Plan de Continuidad de Negocio y Plan Director de Seguridad.</w:t>
      </w:r>
    </w:p>
    <w:p>
      <w:pPr>
        <w:spacing w:after="120" w:before="0" w:line="276" w:lineRule="auto"/>
        <w:jc w:val="both"/>
      </w:pPr>
      <w:r>
        <w:rPr>
          <w:rFonts w:ascii="Bahnschrift Light" w:hAnsi="Bahnschrift Light" w:cs="Bahnschrift Light" w:eastAsia="Bahnschrift Light"/>
          <w:b w:val="0"/>
          <w:i w:val="0"/>
          <w:sz w:val="22"/>
          <w:u w:val="none"/>
        </w:rPr>
        <w:t>La secuencia útil para planeación es, entonces: primero se acredita quiénes serán y cómo se organizarán; después se acredita que efectivamente son, están y funcionan.</w:t>
      </w:r>
    </w:p>
    <w:p>
      <w:pPr>
        <w:keepNext/>
        <w:spacing w:after="160" w:before="320" w:line="276" w:lineRule="auto"/>
        <w:jc w:val="both"/>
      </w:pPr>
      <w:r>
        <w:rPr>
          <w:rFonts w:ascii="Bahnschrift Light" w:hAnsi="Bahnschrift Light" w:cs="Bahnschrift Light" w:eastAsia="Bahnschrift Light"/>
          <w:b/>
          <w:i w:val="0"/>
          <w:sz w:val="23"/>
          <w:u w:val="none"/>
        </w:rPr>
        <w:t>V. Reservas, brechas de información y alcance adicional requerido</w:t>
      </w:r>
    </w:p>
    <w:p>
      <w:pPr>
        <w:pStyle w:val="ListParagraph"/>
        <w:keepNext/>
        <w:spacing w:after="120" w:before="200" w:line="276" w:lineRule="auto"/>
        <w:ind w:left="425" w:firstLine="0"/>
        <w:jc w:val="both"/>
      </w:pPr>
      <w:r>
        <w:rPr>
          <w:rFonts w:ascii="Bahnschrift Light" w:hAnsi="Bahnschrift Light" w:cs="Bahnschrift Light" w:eastAsia="Bahnschrift Light"/>
          <w:b/>
          <w:i w:val="0"/>
          <w:sz w:val="22"/>
          <w:u w:val="none"/>
        </w:rPr>
        <w:t>1. Naturaleza y límites de esta nota</w:t>
      </w:r>
    </w:p>
    <w:p>
      <w:pPr>
        <w:spacing w:after="120" w:before="0" w:line="276" w:lineRule="auto"/>
        <w:jc w:val="both"/>
      </w:pPr>
      <w:r>
        <w:rPr>
          <w:rFonts w:ascii="Bahnschrift Light" w:hAnsi="Bahnschrift Light" w:cs="Bahnschrift Light" w:eastAsia="Bahnschrift Light"/>
          <w:b w:val="0"/>
          <w:i w:val="0"/>
          <w:sz w:val="22"/>
          <w:u w:val="none"/>
        </w:rPr>
        <w:t>Nota de viabilidad preliminar elaborada con base en el texto consolidado de la LIC y de la CUB a la fecha de corte, en respuesta a tres preguntas de filtrado. No es una opinión legal, no considera hechos, documentos ni la estructura societaria concreta del prospecto, y no sustituye el análisis que requeriría una solicitud de autorización.</w:t>
      </w:r>
    </w:p>
    <w:p>
      <w:pPr>
        <w:spacing w:after="120" w:before="0" w:line="276" w:lineRule="auto"/>
        <w:jc w:val="both"/>
      </w:pPr>
      <w:r>
        <w:rPr>
          <w:rFonts w:ascii="Bahnschrift Light" w:hAnsi="Bahnschrift Light" w:cs="Bahnschrift Light" w:eastAsia="Bahnschrift Light"/>
          <w:b w:val="0"/>
          <w:i w:val="0"/>
          <w:sz w:val="22"/>
          <w:u w:val="none"/>
        </w:rPr>
        <w:t>Las conclusiones son sensibles a los tres supuestos de la nota metodológica. Un cambio en cualquiera de ellos —particularmente el carácter de filial o la pertenencia a un grupo financiero— modifica requisitos de integración y añade ordenamientos aplicables.</w:t>
      </w:r>
    </w:p>
    <w:p>
      <w:pPr>
        <w:pStyle w:val="ListParagraph"/>
        <w:keepNext/>
        <w:spacing w:after="120" w:before="200" w:line="276" w:lineRule="auto"/>
        <w:ind w:left="425" w:firstLine="0"/>
        <w:jc w:val="both"/>
      </w:pPr>
      <w:r>
        <w:rPr>
          <w:rFonts w:ascii="Bahnschrift Light" w:hAnsi="Bahnschrift Light" w:cs="Bahnschrift Light" w:eastAsia="Bahnschrift Light"/>
          <w:b/>
          <w:i w:val="0"/>
          <w:sz w:val="22"/>
          <w:u w:val="none"/>
        </w:rPr>
        <w:t>2. Reserva específica sobre las Disposiciones del artículo 115 de la LIC</w:t>
      </w:r>
    </w:p>
    <w:p>
      <w:pPr>
        <w:spacing w:after="120" w:before="0" w:line="276" w:lineRule="auto"/>
        <w:jc w:val="both"/>
      </w:pPr>
      <w:r>
        <w:rPr>
          <w:rFonts w:ascii="Bahnschrift Light" w:hAnsi="Bahnschrift Light" w:cs="Bahnschrift Light" w:eastAsia="Bahnschrift Light"/>
          <w:b w:val="0"/>
          <w:i w:val="0"/>
          <w:sz w:val="22"/>
          <w:u w:val="none"/>
        </w:rPr>
        <w:t xml:space="preserve">El régimen PLD/FT de esta nota se apoyó en un </w:t>
      </w:r>
      <w:r>
        <w:rPr>
          <w:rFonts w:ascii="Bahnschrift Light" w:hAnsi="Bahnschrift Light" w:cs="Bahnschrift Light" w:eastAsia="Bahnschrift Light"/>
          <w:b/>
          <w:i w:val="0"/>
          <w:sz w:val="22"/>
          <w:u w:val="none"/>
        </w:rPr>
        <w:t>texto de trabajo reconstruido</w:t>
      </w:r>
      <w:r>
        <w:rPr>
          <w:rFonts w:ascii="Bahnschrift Light" w:hAnsi="Bahnschrift Light" w:cs="Bahnschrift Light" w:eastAsia="Bahnschrift Light"/>
          <w:b w:val="0"/>
          <w:i w:val="0"/>
          <w:sz w:val="22"/>
          <w:u w:val="none"/>
        </w:rPr>
        <w:t xml:space="preserve"> de las Disposiciones de carácter general a que se refiere el artículo 115 de la LIC, no en un texto consolidado oficial. Ese documento se construyó a partir de las resoluciones modificatorias publicadas en el DOF entre 2010 y 2024 sobre la base de 2009, y su cobertura es desigual: de sus noventa y seis disposiciones, treinta y nueve inician en elipsis —el texto base de 2009 no fue extraído— y treinta y siete presentan tres o más elipsis internas.</w:t>
      </w:r>
    </w:p>
    <w:p>
      <w:pPr>
        <w:spacing w:after="120" w:before="0" w:line="276" w:lineRule="auto"/>
        <w:ind w:left="283"/>
        <w:jc w:val="both"/>
      </w:pPr>
      <w:r>
        <w:rPr>
          <w:rFonts w:ascii="Bahnschrift Light" w:hAnsi="Bahnschrift Light" w:cs="Bahnschrift Light" w:eastAsia="Bahnschrift Light"/>
          <w:b/>
          <w:i w:val="0"/>
          <w:sz w:val="22"/>
          <w:u w:val="none"/>
        </w:rPr>
        <w:t xml:space="preserve">(a) Lo que sí se citó con respaldo textual. </w:t>
      </w:r>
      <w:r>
        <w:rPr>
          <w:rFonts w:ascii="Bahnschrift Light" w:hAnsi="Bahnschrift Light" w:cs="Bahnschrift Light" w:eastAsia="Bahnschrift Light"/>
          <w:b w:val="0"/>
          <w:i w:val="0"/>
          <w:sz w:val="22"/>
          <w:u w:val="none"/>
        </w:rPr>
        <w:t>El nombre legal del órgano —Comité de Comunicación y Control— conforme a la definición de la 2ª. La integración del Comité (44ª, primer párrafo); sus reglas de decisión, voto de calidad y actas (45ª, texto íntegro); el deber de comunicar designaciones, adiciones y sustituciones de integrantes dentro de quince días hábiles (46ª); el interinato del Oficial de Cumplimiento y la prohibición de que el interino tenga funciones de auditoría interna (47ª Bis, texto íntegro); los plazos de diez días hábiles para informar designación y revocación (48ª); la certificación del artículo 4, fracción X, de la Ley de la CNBV (47ª, último párrafo); la aprobación del Manual de Cumplimiento por el comité de auditoría (43ª, fracción I).</w:t>
      </w:r>
    </w:p>
    <w:p>
      <w:pPr>
        <w:spacing w:after="120" w:before="0" w:line="276" w:lineRule="auto"/>
        <w:ind w:left="283"/>
        <w:jc w:val="both"/>
      </w:pPr>
      <w:r>
        <w:rPr>
          <w:rFonts w:ascii="Bahnschrift Light" w:hAnsi="Bahnschrift Light" w:cs="Bahnschrift Light" w:eastAsia="Bahnschrift Light"/>
          <w:b/>
          <w:i w:val="0"/>
          <w:sz w:val="22"/>
          <w:u w:val="none"/>
        </w:rPr>
        <w:t xml:space="preserve">(b) Lo que sigue abierto. </w:t>
      </w:r>
      <w:r>
        <w:rPr>
          <w:rFonts w:ascii="Bahnschrift Light" w:hAnsi="Bahnschrift Light" w:cs="Bahnschrift Light" w:eastAsia="Bahnschrift Light"/>
          <w:b w:val="0"/>
          <w:i w:val="0"/>
          <w:sz w:val="22"/>
          <w:u w:val="none"/>
        </w:rPr>
        <w:t xml:space="preserve">Dos conflictos de numeración interna que el texto de trabajo no permite cerrar. </w:t>
      </w:r>
      <w:r>
        <w:rPr>
          <w:rFonts w:ascii="Bahnschrift Light" w:hAnsi="Bahnschrift Light" w:cs="Bahnschrift Light" w:eastAsia="Bahnschrift Light"/>
          <w:b w:val="0"/>
          <w:i/>
          <w:sz w:val="22"/>
          <w:u w:val="none"/>
        </w:rPr>
        <w:t>Primero</w:t>
      </w:r>
      <w:r>
        <w:rPr>
          <w:rFonts w:ascii="Bahnschrift Light" w:hAnsi="Bahnschrift Light" w:cs="Bahnschrift Light" w:eastAsia="Bahnschrift Light"/>
          <w:b w:val="0"/>
          <w:i w:val="0"/>
          <w:sz w:val="22"/>
          <w:u w:val="none"/>
        </w:rPr>
        <w:t xml:space="preserve">, la definición del Comité aparece citada como fracción IV de la 2ª, pero el texto de la 2ª vigente al 28 de agosto de 2024 coloca a «Cliente» en esa misma fracción IV: las fracciones de definiciones se recorrieron en alguna de las resoluciones modificatorias, de modo que la fracción exacta en el texto vigente debe reverificarse. </w:t>
      </w:r>
      <w:r>
        <w:rPr>
          <w:rFonts w:ascii="Bahnschrift Light" w:hAnsi="Bahnschrift Light" w:cs="Bahnschrift Light" w:eastAsia="Bahnschrift Light"/>
          <w:b w:val="0"/>
          <w:i/>
          <w:sz w:val="22"/>
          <w:u w:val="none"/>
        </w:rPr>
        <w:t>Segundo</w:t>
      </w:r>
      <w:r>
        <w:rPr>
          <w:rFonts w:ascii="Bahnschrift Light" w:hAnsi="Bahnschrift Light" w:cs="Bahnschrift Light" w:eastAsia="Bahnschrift Light"/>
          <w:b w:val="0"/>
          <w:i w:val="0"/>
          <w:sz w:val="22"/>
          <w:u w:val="none"/>
        </w:rPr>
        <w:t>, la definición remite al Comité «a que se refiere la 35ª», pero en el texto vigente la 35ª regula los reportes mensuales de transferencias internacionales de fondos, y las disposiciones que hoy regulan al Comité son la 43ª a la 46ª; la disposición constitutiva —el párrafo que ordena a las entidades contar con un Comité— corresponde al primer párrafo de la 43ª, elidido en el texto de trabajo. Ese conflicto de remisión debe resolverse contra el texto consolidado oficial.</w:t>
      </w:r>
    </w:p>
    <w:p>
      <w:pPr>
        <w:spacing w:after="120" w:before="0" w:line="276" w:lineRule="auto"/>
        <w:ind w:left="283"/>
        <w:jc w:val="both"/>
      </w:pPr>
      <w:r>
        <w:rPr>
          <w:rFonts w:ascii="Bahnschrift Light" w:hAnsi="Bahnschrift Light" w:cs="Bahnschrift Light" w:eastAsia="Bahnschrift Light"/>
          <w:b w:val="0"/>
          <w:i w:val="0"/>
          <w:sz w:val="22"/>
          <w:u w:val="none"/>
        </w:rPr>
        <w:t xml:space="preserve">A ello se suman dos huecos de contenido. La </w:t>
      </w:r>
      <w:r>
        <w:rPr>
          <w:rFonts w:ascii="Bahnschrift Light" w:hAnsi="Bahnschrift Light" w:cs="Bahnschrift Light" w:eastAsia="Bahnschrift Light"/>
          <w:b/>
          <w:i w:val="0"/>
          <w:sz w:val="22"/>
          <w:u w:val="none"/>
        </w:rPr>
        <w:t>excepción al mínimo de tres miembros</w:t>
      </w:r>
      <w:r>
        <w:rPr>
          <w:rFonts w:ascii="Bahnschrift Light" w:hAnsi="Bahnschrift Light" w:cs="Bahnschrift Light" w:eastAsia="Bahnschrift Light"/>
          <w:b w:val="0"/>
          <w:i w:val="0"/>
          <w:sz w:val="22"/>
          <w:u w:val="none"/>
        </w:rPr>
        <w:t xml:space="preserve">: la propia 44ª remite a «lo señalado en el último párrafo de esta Disposición» y ese párrafo no fue recuperado, de modo que se desconoce el supuesto en que el mínimo no aplica. El </w:t>
      </w:r>
      <w:r>
        <w:rPr>
          <w:rFonts w:ascii="Bahnschrift Light" w:hAnsi="Bahnschrift Light" w:cs="Bahnschrift Light" w:eastAsia="Bahnschrift Light"/>
          <w:b/>
          <w:i w:val="0"/>
          <w:sz w:val="22"/>
          <w:u w:val="none"/>
        </w:rPr>
        <w:t>núcleo de funciones y obligaciones del Oficial de Cumplimiento</w:t>
      </w:r>
      <w:r>
        <w:rPr>
          <w:rFonts w:ascii="Bahnschrift Light" w:hAnsi="Bahnschrift Light" w:cs="Bahnschrift Light" w:eastAsia="Bahnschrift Light"/>
          <w:b w:val="0"/>
          <w:i w:val="0"/>
          <w:sz w:val="22"/>
          <w:u w:val="none"/>
        </w:rPr>
        <w:t>: de la 47ª sólo se recuperaron la fracción XI y el requisito de certificación; las fracciones I a X están elididas. Tampoco se recuperó el régimen de reportes de operaciones relevantes, inusuales e internas preocupantes, más allá de los plazos aislados que sí aparecen.</w:t>
      </w:r>
    </w:p>
    <w:p>
      <w:pPr>
        <w:spacing w:after="120" w:before="0" w:line="276" w:lineRule="auto"/>
        <w:ind w:left="283"/>
        <w:jc w:val="both"/>
      </w:pPr>
      <w:r>
        <w:rPr>
          <w:rFonts w:ascii="Bahnschrift Light" w:hAnsi="Bahnschrift Light" w:cs="Bahnschrift Light" w:eastAsia="Bahnschrift Light"/>
          <w:b/>
          <w:i w:val="0"/>
          <w:sz w:val="22"/>
          <w:u w:val="none"/>
        </w:rPr>
        <w:t xml:space="preserve">(c) Acción requerida. </w:t>
      </w:r>
      <w:r>
        <w:rPr>
          <w:rFonts w:ascii="Bahnschrift Light" w:hAnsi="Bahnschrift Light" w:cs="Bahnschrift Light" w:eastAsia="Bahnschrift Light"/>
          <w:b w:val="0"/>
          <w:i w:val="0"/>
          <w:sz w:val="22"/>
          <w:u w:val="none"/>
        </w:rPr>
        <w:t>Antes de usar el régimen PLD/FT como base de una decisión estructural, debe obtenerse el texto consolidado oficial. No se citan números de disposición adicionales a los enumerados en el inciso (a).</w:t>
      </w:r>
    </w:p>
    <w:p>
      <w:pPr>
        <w:pStyle w:val="ListParagraph"/>
        <w:keepNext/>
        <w:spacing w:after="120" w:before="200" w:line="276" w:lineRule="auto"/>
        <w:ind w:left="425" w:firstLine="0"/>
        <w:jc w:val="both"/>
      </w:pPr>
      <w:r>
        <w:rPr>
          <w:rFonts w:ascii="Bahnschrift Light" w:hAnsi="Bahnschrift Light" w:cs="Bahnschrift Light" w:eastAsia="Bahnschrift Light"/>
          <w:b/>
          <w:i w:val="0"/>
          <w:sz w:val="22"/>
          <w:u w:val="none"/>
        </w:rPr>
        <w:t>3. Otras brechas identificadas</w:t>
      </w:r>
    </w:p>
    <w:p>
      <w:pPr>
        <w:spacing w:after="120" w:before="0" w:line="276" w:lineRule="auto"/>
        <w:jc w:val="both"/>
      </w:pPr>
      <w:r>
        <w:rPr>
          <w:rFonts w:ascii="Bahnschrift Light" w:hAnsi="Bahnschrift Light" w:cs="Bahnschrift Light" w:eastAsia="Bahnschrift Light"/>
          <w:b/>
          <w:i w:val="0"/>
          <w:sz w:val="22"/>
          <w:u w:val="none"/>
        </w:rPr>
        <w:t xml:space="preserve">Brecha 1. Proceso de verificación de consejeros y directivos ante la CNBV. </w:t>
      </w:r>
      <w:r>
        <w:rPr>
          <w:rFonts w:ascii="Bahnschrift Light" w:hAnsi="Bahnschrift Light" w:cs="Bahnschrift Light" w:eastAsia="Bahnschrift Light"/>
          <w:b w:val="0"/>
          <w:i w:val="0"/>
          <w:sz w:val="22"/>
          <w:u w:val="none"/>
        </w:rPr>
        <w:t>Los artículos 23 y 10, fracción III, de la LIC fijan los requisitos sustantivos y la obligación de acreditarlos. El procedimiento administrativo de verificación —formatos, plazos, tratamiento de designaciones sobrevenidas— no se analizó.</w:t>
      </w:r>
    </w:p>
    <w:p>
      <w:pPr>
        <w:spacing w:after="120" w:before="0" w:line="276" w:lineRule="auto"/>
        <w:jc w:val="both"/>
      </w:pPr>
      <w:r>
        <w:rPr>
          <w:rFonts w:ascii="Bahnschrift Light" w:hAnsi="Bahnschrift Light" w:cs="Bahnschrift Light" w:eastAsia="Bahnschrift Light"/>
          <w:b/>
          <w:i w:val="0"/>
          <w:sz w:val="22"/>
          <w:u w:val="none"/>
        </w:rPr>
        <w:t xml:space="preserve">Brecha 2. Regulación del Banco de México. </w:t>
      </w:r>
      <w:r>
        <w:rPr>
          <w:rFonts w:ascii="Bahnschrift Light" w:hAnsi="Bahnschrift Light" w:cs="Bahnschrift Light" w:eastAsia="Bahnschrift Light"/>
          <w:b w:val="0"/>
          <w:i w:val="0"/>
          <w:sz w:val="22"/>
          <w:u w:val="none"/>
        </w:rPr>
        <w:t>Las circulares del Banco de México aplicables a instituciones de crédito no forman parte del acervo consultado. No inciden en la estructura de comités, pero sí en requisitos operativos y de reporte que deben acreditarse bajo el artículo 46 Bis, fracción IV, de la LIC.</w:t>
      </w:r>
    </w:p>
    <w:p>
      <w:pPr>
        <w:spacing w:after="120" w:before="0" w:line="276" w:lineRule="auto"/>
        <w:jc w:val="both"/>
      </w:pPr>
      <w:r>
        <w:rPr>
          <w:rFonts w:ascii="Bahnschrift Light" w:hAnsi="Bahnschrift Light" w:cs="Bahnschrift Light" w:eastAsia="Bahnschrift Light"/>
          <w:b/>
          <w:i w:val="0"/>
          <w:sz w:val="22"/>
          <w:u w:val="none"/>
        </w:rPr>
        <w:t xml:space="preserve">Brecha 3. Gobierno en el nivel de sociedad controladora. </w:t>
      </w:r>
      <w:r>
        <w:rPr>
          <w:rFonts w:ascii="Bahnschrift Light" w:hAnsi="Bahnschrift Light" w:cs="Bahnschrift Light" w:eastAsia="Bahnschrift Light"/>
          <w:b w:val="0"/>
          <w:i w:val="0"/>
          <w:sz w:val="22"/>
          <w:u w:val="none"/>
        </w:rPr>
        <w:t>Si la institución se integrará a un grupo financiero, la LRAF impone obligaciones adicionales en el nivel de la sociedad controladora. Sus artículos 50 y 99 presuponen un comité que desempeñe funciones de auditoría en ese nivel; los requisitos precisos de integración, funciones y relación con los comités de la institución no se analizaron.</w:t>
      </w:r>
    </w:p>
    <w:p>
      <w:pPr>
        <w:spacing w:after="120" w:before="0" w:line="276" w:lineRule="auto"/>
        <w:jc w:val="both"/>
      </w:pPr>
      <w:r>
        <w:rPr>
          <w:rFonts w:ascii="Bahnschrift Light" w:hAnsi="Bahnschrift Light" w:cs="Bahnschrift Light" w:eastAsia="Bahnschrift Light"/>
          <w:b/>
          <w:i w:val="0"/>
          <w:sz w:val="22"/>
          <w:u w:val="none"/>
        </w:rPr>
        <w:t xml:space="preserve">Brecha 4. Suplementos de capital y régimen de capitalización. </w:t>
      </w:r>
      <w:r>
        <w:rPr>
          <w:rFonts w:ascii="Bahnschrift Light" w:hAnsi="Bahnschrift Light" w:cs="Bahnschrift Light" w:eastAsia="Bahnschrift Light"/>
          <w:b w:val="0"/>
          <w:i w:val="0"/>
          <w:sz w:val="22"/>
          <w:u w:val="none"/>
        </w:rPr>
        <w:t>Excede el alcance de las preguntas, pero condiciona el diseño de la Evaluación de la Suficiencia de Capital que el comité de riesgos debe proponer al consejo cuando menos una vez al año (CUB, artículo 71, fracción I, inciso e)).</w:t>
      </w:r>
    </w:p>
    <w:p>
      <w:pPr>
        <w:spacing w:after="120" w:before="0" w:line="276" w:lineRule="auto"/>
        <w:jc w:val="both"/>
      </w:pPr>
      <w:r>
        <w:rPr>
          <w:rFonts w:ascii="Bahnschrift Light" w:hAnsi="Bahnschrift Light" w:cs="Bahnschrift Light" w:eastAsia="Bahnschrift Light"/>
          <w:b/>
          <w:i w:val="0"/>
          <w:sz w:val="22"/>
          <w:u w:val="none"/>
        </w:rPr>
        <w:t xml:space="preserve">Brecha 5. Verificación de reformas posteriores a la fecha de corte. </w:t>
      </w:r>
      <w:r>
        <w:rPr>
          <w:rFonts w:ascii="Bahnschrift Light" w:hAnsi="Bahnschrift Light" w:cs="Bahnschrift Light" w:eastAsia="Bahnschrift Light"/>
          <w:b w:val="0"/>
          <w:i w:val="0"/>
          <w:sz w:val="22"/>
          <w:u w:val="none"/>
        </w:rPr>
        <w:t>La CUB se modifica con frecuencia elevada. Cualquier decisión estructural debe confirmarse contra el texto vigente al momento de adoptarla.</w:t>
      </w:r>
    </w:p>
    <w:p>
      <w:pPr>
        <w:pStyle w:val="ListParagraph"/>
        <w:keepNext/>
        <w:spacing w:after="120" w:before="200" w:line="276" w:lineRule="auto"/>
        <w:ind w:left="425" w:firstLine="0"/>
        <w:jc w:val="both"/>
      </w:pPr>
      <w:r>
        <w:rPr>
          <w:rFonts w:ascii="Bahnschrift Light" w:hAnsi="Bahnschrift Light" w:cs="Bahnschrift Light" w:eastAsia="Bahnschrift Light"/>
          <w:b/>
          <w:i w:val="0"/>
          <w:sz w:val="22"/>
          <w:u w:val="none"/>
        </w:rPr>
        <w:t>4. Alcance adicional necesario</w:t>
      </w:r>
    </w:p>
    <w:p>
      <w:pPr>
        <w:spacing w:after="120" w:before="0" w:line="276" w:lineRule="auto"/>
        <w:ind w:left="283"/>
        <w:jc w:val="both"/>
      </w:pPr>
      <w:r>
        <w:rPr>
          <w:rFonts w:ascii="Bahnschrift Light" w:hAnsi="Bahnschrift Light" w:cs="Bahnschrift Light" w:eastAsia="Bahnschrift Light"/>
          <w:b/>
          <w:i w:val="0"/>
          <w:sz w:val="22"/>
          <w:u w:val="none"/>
        </w:rPr>
        <w:t xml:space="preserve">(i) Definición del perímetro regulatorio del proyecto. </w:t>
      </w:r>
      <w:r>
        <w:rPr>
          <w:rFonts w:ascii="Bahnschrift Light" w:hAnsi="Bahnschrift Light" w:cs="Bahnschrift Light" w:eastAsia="Bahnschrift Light"/>
          <w:b w:val="0"/>
          <w:i w:val="0"/>
          <w:sz w:val="22"/>
          <w:u w:val="none"/>
        </w:rPr>
        <w:t>Tipo de entidad, carácter de filial, pertenencia a grupo financiero y catálogo de operaciones del artículo 46 de la LIC que se pretenden autorizar. Sin esto, las tablas de los Títulos II y III no pueden cerrarse.</w:t>
      </w:r>
    </w:p>
    <w:p>
      <w:pPr>
        <w:spacing w:after="120" w:before="0" w:line="276" w:lineRule="auto"/>
        <w:ind w:left="283"/>
        <w:jc w:val="both"/>
      </w:pPr>
      <w:r>
        <w:rPr>
          <w:rFonts w:ascii="Bahnschrift Light" w:hAnsi="Bahnschrift Light" w:cs="Bahnschrift Light" w:eastAsia="Bahnschrift Light"/>
          <w:b/>
          <w:i w:val="0"/>
          <w:sz w:val="22"/>
          <w:u w:val="none"/>
        </w:rPr>
        <w:t xml:space="preserve">(ii) Consolidación de las Disposiciones del artículo 115 de la LIC. </w:t>
      </w:r>
      <w:r>
        <w:rPr>
          <w:rFonts w:ascii="Bahnschrift Light" w:hAnsi="Bahnschrift Light" w:cs="Bahnschrift Light" w:eastAsia="Bahnschrift Light"/>
          <w:b w:val="0"/>
          <w:i w:val="0"/>
          <w:sz w:val="22"/>
          <w:u w:val="none"/>
        </w:rPr>
        <w:t>Obtención del texto consolidado oficial y cierre de las brechas del inciso 2(b): resolver la remisión de la definición a la 35ª, fijar la numeración vigente de las fracciones de la 2ª, y recuperar la excepción del último párrafo de la 44ª y el catálogo completo de funciones del Oficial de Cumplimiento.</w:t>
      </w:r>
    </w:p>
    <w:p>
      <w:pPr>
        <w:spacing w:after="120" w:before="0" w:line="276" w:lineRule="auto"/>
        <w:ind w:left="283"/>
        <w:jc w:val="both"/>
      </w:pPr>
      <w:r>
        <w:rPr>
          <w:rFonts w:ascii="Bahnschrift Light" w:hAnsi="Bahnschrift Light" w:cs="Bahnschrift Light" w:eastAsia="Bahnschrift Light"/>
          <w:b/>
          <w:i w:val="0"/>
          <w:sz w:val="22"/>
          <w:u w:val="none"/>
        </w:rPr>
        <w:t xml:space="preserve">(iii) Matriz de decisión sobre unificación del Comité de Remuneración. </w:t>
      </w:r>
      <w:r>
        <w:rPr>
          <w:rFonts w:ascii="Bahnschrift Light" w:hAnsi="Bahnschrift Light" w:cs="Bahnschrift Light" w:eastAsia="Bahnschrift Light"/>
          <w:b w:val="0"/>
          <w:i w:val="0"/>
          <w:sz w:val="22"/>
          <w:u w:val="none"/>
        </w:rPr>
        <w:t>Documento de una página que contraste las dos arquitecturas en términos de consejeros independientes requeridos, carga de sesiones, informes anuales por órgano y exposición en la revelación pública del artículo 168 Bis 3 de la CUB. Es la vía más eficiente para que el consejo resuelva la primera pregunta con evidencia.</w:t>
      </w:r>
    </w:p>
    <w:p>
      <w:pPr>
        <w:spacing w:after="120" w:before="0" w:line="276" w:lineRule="auto"/>
        <w:ind w:left="283"/>
        <w:jc w:val="both"/>
      </w:pPr>
      <w:r>
        <w:rPr>
          <w:rFonts w:ascii="Bahnschrift Light" w:hAnsi="Bahnschrift Light" w:cs="Bahnschrift Light" w:eastAsia="Bahnschrift Light"/>
          <w:b/>
          <w:i w:val="0"/>
          <w:sz w:val="22"/>
          <w:u w:val="none"/>
        </w:rPr>
        <w:t xml:space="preserve">(iv) Matriz de funciones, incompatibilidades y notificaciones. </w:t>
      </w:r>
      <w:r>
        <w:rPr>
          <w:rFonts w:ascii="Bahnschrift Light" w:hAnsi="Bahnschrift Light" w:cs="Bahnschrift Light" w:eastAsia="Bahnschrift Light"/>
          <w:b w:val="0"/>
          <w:i w:val="0"/>
          <w:sz w:val="22"/>
          <w:u w:val="none"/>
        </w:rPr>
        <w:t>Cuadro que cruce cada función regulada con su base normativa, requisito de independencia, incompatibilidades expresas, órgano que la designa, destinatarios y periodicidad de sus informes, y obligaciones de notificación a la CNBV. Es el insumo directo para acreditar las fracciones III y IV del artículo 46 Bis de la LIC.</w:t>
      </w:r>
    </w:p>
    <w:p>
      <w:pPr>
        <w:spacing w:after="120" w:before="0" w:line="276" w:lineRule="auto"/>
        <w:ind w:left="283"/>
        <w:jc w:val="both"/>
      </w:pPr>
      <w:r>
        <w:rPr>
          <w:rFonts w:ascii="Bahnschrift Light" w:hAnsi="Bahnschrift Light" w:cs="Bahnschrift Light" w:eastAsia="Bahnschrift Light"/>
          <w:b/>
          <w:i w:val="0"/>
          <w:sz w:val="22"/>
          <w:u w:val="none"/>
        </w:rPr>
        <w:t xml:space="preserve">(v) Inventario de manuales y evidencia documental. </w:t>
      </w:r>
      <w:r>
        <w:rPr>
          <w:rFonts w:ascii="Bahnschrift Light" w:hAnsi="Bahnschrift Light" w:cs="Bahnschrift Light" w:eastAsia="Bahnschrift Light"/>
          <w:b w:val="0"/>
          <w:i w:val="0"/>
          <w:sz w:val="22"/>
          <w:u w:val="none"/>
        </w:rPr>
        <w:t>Identificación de los manuales, políticas, reglamentos de comités y actas que la CNBV verificará en la visita de inspección del artículo 46 Bis, con el calendario de su elaboración y aprobación por el órgano competente.</w:t>
      </w:r>
    </w:p>
    <w:p>
      <w:pPr>
        <w:spacing w:after="200" w:before="0" w:line="276" w:lineRule="auto"/>
        <w:jc w:val="both"/>
      </w:pPr>
    </w:p>
    <w:p>
      <w:pPr>
        <w:spacing w:after="120" w:before="160" w:line="276" w:lineRule="auto"/>
        <w:jc w:val="both"/>
      </w:pPr>
      <w:r>
        <w:rPr>
          <w:rFonts w:ascii="Bahnschrift Light" w:hAnsi="Bahnschrift Light" w:cs="Bahnschrift Light" w:eastAsia="Bahnschrift Light"/>
          <w:b w:val="0"/>
          <w:i/>
          <w:sz w:val="18"/>
          <w:u w:val="none"/>
        </w:rPr>
        <w:t>Este documento se elaboró exclusivamente para fines de discusión preliminar. No constituye asesoría legal ni crea relación abogado-cliente. Las referencias normativas corresponden al texto consolidado de los ordenamientos citados a la fecha de corte —con la reserva del apartado V.2 respecto de las Disposiciones del artículo 115 de la LIC— y deben confirmarse contra la versión vigente al momento de su uso.</w:t>
      </w:r>
    </w:p>
    <w:sectPr w:rsidR="00632BCD" w:rsidRPr="00EC6F9B" w:rsidSect="00EC6F9B">
      <w:footerReference w:type="default" r:id="rId5"/>
      <w:headerReference w:type="first" r:id="rId6"/>
      <w:footerReference w:type="first" r:id="rId7"/>
      <w:pgSz w:w="12240" w:h="15840"/>
      <w:pgMar w:top="1440" w:right="1080" w:bottom="1276" w:left="1080" w:header="850"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726050"/>
      <w:docPartObj>
        <w:docPartGallery w:val="Page Numbers (Bottom of Page)"/>
        <w:docPartUnique/>
      </w:docPartObj>
    </w:sdtPr>
    <w:sdtEndPr>
      <w:rPr>
        <w:rFonts w:ascii="Bahnschrift Light" w:hAnsi="Bahnschrift Light"/>
      </w:rPr>
    </w:sdtEndPr>
    <w:sdtContent>
      <w:sdt>
        <w:sdtPr>
          <w:id w:val="-1769616900"/>
          <w:docPartObj>
            <w:docPartGallery w:val="Page Numbers (Top of Page)"/>
            <w:docPartUnique/>
          </w:docPartObj>
        </w:sdtPr>
        <w:sdtEndPr>
          <w:rPr>
            <w:rFonts w:ascii="Bahnschrift Light" w:hAnsi="Bahnschrift Light"/>
          </w:rPr>
        </w:sdtEndPr>
        <w:sdtContent>
          <w:p w14:paraId="07B7FD38" w14:textId="77777777" w:rsidR="00EC6F9B" w:rsidRPr="000C3DE9" w:rsidRDefault="00EC6F9B">
            <w:pPr>
              <w:pStyle w:val="Footer"/>
              <w:jc w:val="right"/>
              <w:rPr>
                <w:rFonts w:ascii="Bahnschrift Light" w:hAnsi="Bahnschrift Light"/>
              </w:rPr>
            </w:pPr>
            <w:r w:rsidRPr="000C3DE9">
              <w:rPr>
                <w:rFonts w:ascii="Bahnschrift Light" w:hAnsi="Bahnschrift Light"/>
                <w:b/>
                <w:bCs/>
              </w:rPr>
              <w:fldChar w:fldCharType="begin"/>
            </w:r>
            <w:r w:rsidRPr="000C3DE9">
              <w:rPr>
                <w:rFonts w:ascii="Bahnschrift Light" w:hAnsi="Bahnschrift Light"/>
                <w:b/>
                <w:bCs/>
              </w:rPr>
              <w:instrText>PAGE</w:instrText>
            </w:r>
            <w:r w:rsidRPr="000C3DE9">
              <w:rPr>
                <w:rFonts w:ascii="Bahnschrift Light" w:hAnsi="Bahnschrift Light"/>
                <w:b/>
                <w:bCs/>
              </w:rPr>
              <w:fldChar w:fldCharType="separate"/>
            </w:r>
            <w:r w:rsidRPr="000C3DE9">
              <w:rPr>
                <w:rFonts w:ascii="Bahnschrift Light" w:hAnsi="Bahnschrift Light"/>
                <w:b/>
                <w:bCs/>
                <w:lang w:val="es-MX"/>
              </w:rPr>
              <w:t>2</w:t>
            </w:r>
            <w:r w:rsidRPr="000C3DE9">
              <w:rPr>
                <w:rFonts w:ascii="Bahnschrift Light" w:hAnsi="Bahnschrift Light"/>
                <w:b/>
                <w:bCs/>
              </w:rPr>
              <w:fldChar w:fldCharType="end"/>
            </w:r>
            <w:r w:rsidRPr="000C3DE9">
              <w:rPr>
                <w:rFonts w:ascii="Bahnschrift Light" w:hAnsi="Bahnschrift Light"/>
                <w:lang w:val="es-MX"/>
              </w:rPr>
              <w:t xml:space="preserve"> / </w:t>
            </w:r>
            <w:r w:rsidRPr="000C3DE9">
              <w:rPr>
                <w:rFonts w:ascii="Bahnschrift Light" w:hAnsi="Bahnschrift Light"/>
                <w:b/>
                <w:bCs/>
              </w:rPr>
              <w:fldChar w:fldCharType="begin"/>
            </w:r>
            <w:r w:rsidRPr="000C3DE9">
              <w:rPr>
                <w:rFonts w:ascii="Bahnschrift Light" w:hAnsi="Bahnschrift Light"/>
                <w:b/>
                <w:bCs/>
              </w:rPr>
              <w:instrText>NUMPAGES</w:instrText>
            </w:r>
            <w:r w:rsidRPr="000C3DE9">
              <w:rPr>
                <w:rFonts w:ascii="Bahnschrift Light" w:hAnsi="Bahnschrift Light"/>
                <w:b/>
                <w:bCs/>
              </w:rPr>
              <w:fldChar w:fldCharType="separate"/>
            </w:r>
            <w:r w:rsidRPr="000C3DE9">
              <w:rPr>
                <w:rFonts w:ascii="Bahnschrift Light" w:hAnsi="Bahnschrift Light"/>
                <w:b/>
                <w:bCs/>
                <w:lang w:val="es-MX"/>
              </w:rPr>
              <w:t>2</w:t>
            </w:r>
            <w:r w:rsidRPr="000C3DE9">
              <w:rPr>
                <w:rFonts w:ascii="Bahnschrift Light" w:hAnsi="Bahnschrift Light"/>
                <w:b/>
                <w:bCs/>
              </w:rPr>
              <w:fldChar w:fldCharType="end"/>
            </w:r>
          </w:p>
        </w:sdtContent>
      </w:sdt>
    </w:sdtContent>
  </w:sdt>
  <w:p w14:paraId="387A08C3" w14:textId="77777777" w:rsidR="00EC6F9B" w:rsidRPr="000C3DE9" w:rsidRDefault="00EC6F9B">
    <w:pPr>
      <w:pStyle w:val="Footer"/>
      <w:rPr>
        <w:rFonts w:ascii="Bahnschrift Light" w:hAnsi="Bahnschrift Light"/>
        <w:sz w:val="10"/>
        <w:szCs w:val="1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7D19F" w14:textId="77777777" w:rsidR="00EC6F9B" w:rsidRPr="000C3DE9" w:rsidRDefault="00EC6F9B" w:rsidP="000C3DE9">
    <w:pPr>
      <w:pStyle w:val="Footer"/>
      <w:jc w:val="right"/>
      <w:rPr>
        <w:rFonts w:ascii="Bahnschrift Light" w:hAnsi="Bahnschrift Light"/>
      </w:rPr>
    </w:pPr>
    <w:sdt>
      <w:sdtPr>
        <w:id w:val="-1592694002"/>
        <w:docPartObj>
          <w:docPartGallery w:val="Page Numbers (Top of Page)"/>
          <w:docPartUnique/>
        </w:docPartObj>
      </w:sdtPr>
      <w:sdtEndPr>
        <w:rPr>
          <w:rFonts w:ascii="Bahnschrift Light" w:hAnsi="Bahnschrift Light"/>
        </w:rPr>
      </w:sdtEndPr>
      <w:sdtContent>
        <w:r w:rsidRPr="000C3DE9">
          <w:rPr>
            <w:rFonts w:ascii="Bahnschrift Light" w:hAnsi="Bahnschrift Light"/>
            <w:b/>
            <w:bCs/>
          </w:rPr>
          <w:fldChar w:fldCharType="begin"/>
        </w:r>
        <w:r w:rsidRPr="000C3DE9">
          <w:rPr>
            <w:rFonts w:ascii="Bahnschrift Light" w:hAnsi="Bahnschrift Light"/>
            <w:b/>
            <w:bCs/>
          </w:rPr>
          <w:instrText>PAGE</w:instrText>
        </w:r>
        <w:r w:rsidRPr="000C3DE9">
          <w:rPr>
            <w:rFonts w:ascii="Bahnschrift Light" w:hAnsi="Bahnschrift Light"/>
            <w:b/>
            <w:bCs/>
          </w:rPr>
          <w:fldChar w:fldCharType="separate"/>
        </w:r>
        <w:r>
          <w:rPr>
            <w:rFonts w:ascii="Bahnschrift Light" w:hAnsi="Bahnschrift Light"/>
            <w:b/>
            <w:bCs/>
          </w:rPr>
          <w:t>2</w:t>
        </w:r>
        <w:r w:rsidRPr="000C3DE9">
          <w:rPr>
            <w:rFonts w:ascii="Bahnschrift Light" w:hAnsi="Bahnschrift Light"/>
            <w:b/>
            <w:bCs/>
          </w:rPr>
          <w:fldChar w:fldCharType="end"/>
        </w:r>
        <w:r w:rsidRPr="000C3DE9">
          <w:rPr>
            <w:rFonts w:ascii="Bahnschrift Light" w:hAnsi="Bahnschrift Light"/>
            <w:lang w:val="es-MX"/>
          </w:rPr>
          <w:t xml:space="preserve"> </w:t>
        </w:r>
        <w:r w:rsidRPr="000C3DE9">
          <w:rPr>
            <w:rFonts w:ascii="Bahnschrift Light" w:hAnsi="Bahnschrift Light"/>
            <w:lang w:val="es-MX"/>
          </w:rPr>
          <w:t xml:space="preserve">/ </w:t>
        </w:r>
        <w:r w:rsidRPr="000C3DE9">
          <w:rPr>
            <w:rFonts w:ascii="Bahnschrift Light" w:hAnsi="Bahnschrift Light"/>
            <w:b/>
            <w:bCs/>
          </w:rPr>
          <w:fldChar w:fldCharType="begin"/>
        </w:r>
        <w:r w:rsidRPr="000C3DE9">
          <w:rPr>
            <w:rFonts w:ascii="Bahnschrift Light" w:hAnsi="Bahnschrift Light"/>
            <w:b/>
            <w:bCs/>
          </w:rPr>
          <w:instrText>NUMPAGES</w:instrText>
        </w:r>
        <w:r w:rsidRPr="000C3DE9">
          <w:rPr>
            <w:rFonts w:ascii="Bahnschrift Light" w:hAnsi="Bahnschrift Light"/>
            <w:b/>
            <w:bCs/>
          </w:rPr>
          <w:fldChar w:fldCharType="separate"/>
        </w:r>
        <w:r>
          <w:rPr>
            <w:rFonts w:ascii="Bahnschrift Light" w:hAnsi="Bahnschrift Light"/>
            <w:b/>
            <w:bCs/>
          </w:rPr>
          <w:t>4</w:t>
        </w:r>
        <w:r w:rsidRPr="000C3DE9">
          <w:rPr>
            <w:rFonts w:ascii="Bahnschrift Light" w:hAnsi="Bahnschrift Light"/>
            <w:b/>
            <w:bCs/>
          </w:rPr>
          <w:fldChar w:fldCharType="end"/>
        </w:r>
      </w:sdtContent>
    </w:sdt>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0142B" w14:textId="77777777" w:rsidR="00EC6F9B" w:rsidRDefault="00EC6F9B">
    <w:pPr>
      <w:pStyle w:val="Header"/>
    </w:pPr>
    <w:r>
      <w:rPr>
        <w:rFonts w:asciiTheme="minorHAnsi" w:hAnsiTheme="minorHAnsi" w:cstheme="minorHAnsi"/>
        <w:noProof/>
        <w:sz w:val="26"/>
        <w:szCs w:val="26"/>
        <w:lang w:val="es-MX"/>
      </w:rPr>
      <w:drawing>
        <wp:anchor distT="0" distB="0" distL="114300" distR="114300" simplePos="0" relativeHeight="251659264" behindDoc="0" locked="0" layoutInCell="1" allowOverlap="1" wp14:anchorId="0C194D21" wp14:editId="41B0A67B">
          <wp:simplePos x="0" y="0"/>
          <wp:positionH relativeFrom="column">
            <wp:posOffset>5142230</wp:posOffset>
          </wp:positionH>
          <wp:positionV relativeFrom="paragraph">
            <wp:posOffset>-365125</wp:posOffset>
          </wp:positionV>
          <wp:extent cx="1295400" cy="684530"/>
          <wp:effectExtent l="0" t="0" r="0" b="1270"/>
          <wp:wrapSquare wrapText="bothSides"/>
          <wp:docPr id="1997131937" name="Picture 11"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applicati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95400" cy="684530"/>
                  </a:xfrm>
                  <a:prstGeom prst="rect">
                    <a:avLst/>
                  </a:prstGeom>
                </pic:spPr>
              </pic:pic>
            </a:graphicData>
          </a:graphic>
          <wp14:sizeRelH relativeFrom="margin">
            <wp14:pctWidth>0</wp14:pctWidth>
          </wp14:sizeRelH>
          <wp14:sizeRelV relativeFrom="margin">
            <wp14:pctHeight>0</wp14:pctHeight>
          </wp14:sizeRelV>
        </wp:anchor>
      </w:drawing>
    </w:r>
  </w:p>
  <w:p w14:paraId="23E28532" w14:textId="77777777" w:rsidR="00EC6F9B" w:rsidRDefault="00EC6F9B">
    <w:pPr>
      <w:pStyle w:val="Header"/>
    </w:pPr>
  </w:p>
  <w:p w14:paraId="441CA542" w14:textId="77777777" w:rsidR="00EC6F9B" w:rsidRDefault="00EC6F9B">
    <w:pPr>
      <w:pStyle w:val="Header"/>
    </w:pPr>
    <w:r>
      <w:rPr>
        <w:rFonts w:asciiTheme="minorHAnsi" w:hAnsiTheme="minorHAnsi" w:cstheme="minorHAnsi"/>
        <w:noProof/>
        <w:sz w:val="26"/>
        <w:szCs w:val="26"/>
        <w:lang w:val="es-MX"/>
      </w:rPr>
      <mc:AlternateContent>
        <mc:Choice Requires="wps">
          <w:drawing>
            <wp:anchor distT="0" distB="0" distL="114300" distR="114300" simplePos="0" relativeHeight="251660288" behindDoc="0" locked="0" layoutInCell="1" allowOverlap="1" wp14:anchorId="30EF9F11" wp14:editId="73B6159B">
              <wp:simplePos x="0" y="0"/>
              <wp:positionH relativeFrom="column">
                <wp:posOffset>-113758</wp:posOffset>
              </wp:positionH>
              <wp:positionV relativeFrom="paragraph">
                <wp:posOffset>67466</wp:posOffset>
              </wp:positionV>
              <wp:extent cx="663915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663915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45FDD6" id="Straight Connector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95pt,5.3pt" to="513.8pt,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" strokecolor="black [3200]"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30491"/>
    <w:multiLevelType w:val="hybridMultilevel"/>
    <w:tmpl w:val="217C0B80"/>
    <w:lvl w:ilvl="0" w:tplc="C73A70BA">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9074549"/>
    <w:multiLevelType w:val="hybridMultilevel"/>
    <w:tmpl w:val="4C362716"/>
    <w:lvl w:ilvl="0" w:tplc="DB20FB74">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5335D2"/>
    <w:multiLevelType w:val="hybridMultilevel"/>
    <w:tmpl w:val="9424B0EE"/>
    <w:lvl w:ilvl="0" w:tplc="2A1CC99A">
      <w:start w:val="1"/>
      <w:numFmt w:val="upperLetter"/>
      <w:lvlText w:val="%1."/>
      <w:lvlJc w:val="left"/>
      <w:pPr>
        <w:ind w:left="720" w:hanging="360"/>
      </w:pPr>
      <w:rPr>
        <w:rFonts w:ascii="Bahnschrift Light" w:eastAsia="Times New Roman" w:hAnsi="Bahnschrift Light" w:cstheme="minorHAnsi"/>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DBC0F8C"/>
    <w:multiLevelType w:val="multilevel"/>
    <w:tmpl w:val="2A460580"/>
    <w:lvl w:ilvl="0">
      <w:start w:val="1"/>
      <w:numFmt w:val="upperRoman"/>
      <w:lvlText w:val="%1."/>
      <w:lvlJc w:val="left"/>
      <w:pPr>
        <w:ind w:left="720" w:hanging="72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847" w:hanging="72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625" w:hanging="108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403" w:hanging="1440"/>
      </w:pPr>
      <w:rPr>
        <w:rFonts w:hint="default"/>
      </w:rPr>
    </w:lvl>
    <w:lvl w:ilvl="8">
      <w:start w:val="1"/>
      <w:numFmt w:val="decimal"/>
      <w:isLgl/>
      <w:lvlText w:val="%1.%2.%3.%4.%5.%6.%7.%8.%9"/>
      <w:lvlJc w:val="left"/>
      <w:pPr>
        <w:ind w:left="7112" w:hanging="1440"/>
      </w:pPr>
      <w:rPr>
        <w:rFonts w:hint="default"/>
      </w:rPr>
    </w:lvl>
  </w:abstractNum>
  <w:num w:numId="1" w16cid:durableId="917250936">
    <w:abstractNumId w:val="3"/>
  </w:num>
  <w:num w:numId="2" w16cid:durableId="1954511673">
    <w:abstractNumId w:val="2"/>
  </w:num>
  <w:num w:numId="3" w16cid:durableId="1578906519">
    <w:abstractNumId w:val="0"/>
  </w:num>
  <w:num w:numId="4" w16cid:durableId="527375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F9B"/>
    <w:rsid w:val="00052A01"/>
    <w:rsid w:val="004F7755"/>
    <w:rsid w:val="00632BCD"/>
    <w:rsid w:val="00CB2DDF"/>
    <w:rsid w:val="00EC6F9B"/>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3A8597AF"/>
  <w15:chartTrackingRefBased/>
  <w15:docId w15:val="{B37DCEFA-8782-FA4B-ADC5-760CC7826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F9B"/>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EC6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F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F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F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F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F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F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F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F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F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F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F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F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F9B"/>
    <w:rPr>
      <w:rFonts w:eastAsiaTheme="majorEastAsia" w:cstheme="majorBidi"/>
      <w:color w:val="272727" w:themeColor="text1" w:themeTint="D8"/>
    </w:rPr>
  </w:style>
  <w:style w:type="paragraph" w:styleId="Title">
    <w:name w:val="Title"/>
    <w:basedOn w:val="Normal"/>
    <w:next w:val="Normal"/>
    <w:link w:val="TitleChar"/>
    <w:uiPriority w:val="10"/>
    <w:qFormat/>
    <w:rsid w:val="00EC6F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F9B"/>
    <w:pPr>
      <w:spacing w:before="160"/>
      <w:jc w:val="center"/>
    </w:pPr>
    <w:rPr>
      <w:i/>
      <w:iCs/>
      <w:color w:val="404040" w:themeColor="text1" w:themeTint="BF"/>
    </w:rPr>
  </w:style>
  <w:style w:type="character" w:customStyle="1" w:styleId="QuoteChar">
    <w:name w:val="Quote Char"/>
    <w:basedOn w:val="DefaultParagraphFont"/>
    <w:link w:val="Quote"/>
    <w:uiPriority w:val="29"/>
    <w:rsid w:val="00EC6F9B"/>
    <w:rPr>
      <w:i/>
      <w:iCs/>
      <w:color w:val="404040" w:themeColor="text1" w:themeTint="BF"/>
    </w:rPr>
  </w:style>
  <w:style w:type="paragraph" w:styleId="ListParagraph">
    <w:name w:val="List Paragraph"/>
    <w:basedOn w:val="Normal"/>
    <w:uiPriority w:val="34"/>
    <w:qFormat/>
    <w:rsid w:val="00EC6F9B"/>
    <w:pPr>
      <w:ind w:left="720"/>
      <w:contextualSpacing/>
    </w:pPr>
  </w:style>
  <w:style w:type="character" w:styleId="IntenseEmphasis">
    <w:name w:val="Intense Emphasis"/>
    <w:basedOn w:val="DefaultParagraphFont"/>
    <w:uiPriority w:val="21"/>
    <w:qFormat/>
    <w:rsid w:val="00EC6F9B"/>
    <w:rPr>
      <w:i/>
      <w:iCs/>
      <w:color w:val="0F4761" w:themeColor="accent1" w:themeShade="BF"/>
    </w:rPr>
  </w:style>
  <w:style w:type="paragraph" w:styleId="IntenseQuote">
    <w:name w:val="Intense Quote"/>
    <w:basedOn w:val="Normal"/>
    <w:next w:val="Normal"/>
    <w:link w:val="IntenseQuoteChar"/>
    <w:uiPriority w:val="30"/>
    <w:qFormat/>
    <w:rsid w:val="00EC6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F9B"/>
    <w:rPr>
      <w:i/>
      <w:iCs/>
      <w:color w:val="0F4761" w:themeColor="accent1" w:themeShade="BF"/>
    </w:rPr>
  </w:style>
  <w:style w:type="character" w:styleId="IntenseReference">
    <w:name w:val="Intense Reference"/>
    <w:basedOn w:val="DefaultParagraphFont"/>
    <w:uiPriority w:val="32"/>
    <w:qFormat/>
    <w:rsid w:val="00EC6F9B"/>
    <w:rPr>
      <w:b/>
      <w:bCs/>
      <w:smallCaps/>
      <w:color w:val="0F4761" w:themeColor="accent1" w:themeShade="BF"/>
      <w:spacing w:val="5"/>
    </w:rPr>
  </w:style>
  <w:style w:type="paragraph" w:styleId="Footer">
    <w:name w:val="footer"/>
    <w:basedOn w:val="Normal"/>
    <w:link w:val="FooterChar"/>
    <w:uiPriority w:val="99"/>
    <w:unhideWhenUsed/>
    <w:rsid w:val="00EC6F9B"/>
    <w:pPr>
      <w:tabs>
        <w:tab w:val="center" w:pos="4419"/>
        <w:tab w:val="right" w:pos="8838"/>
      </w:tabs>
    </w:pPr>
  </w:style>
  <w:style w:type="character" w:customStyle="1" w:styleId="FooterChar">
    <w:name w:val="Footer Char"/>
    <w:basedOn w:val="DefaultParagraphFont"/>
    <w:link w:val="Footer"/>
    <w:uiPriority w:val="99"/>
    <w:rsid w:val="00EC6F9B"/>
    <w:rPr>
      <w:rFonts w:ascii="Times New Roman" w:eastAsia="Times New Roman" w:hAnsi="Times New Roman" w:cs="Times New Roman"/>
      <w:kern w:val="0"/>
      <w:lang w:val="en-US"/>
      <w14:ligatures w14:val="none"/>
    </w:rPr>
  </w:style>
  <w:style w:type="table" w:styleId="TableGrid">
    <w:name w:val="Table Grid"/>
    <w:basedOn w:val="TableNormal"/>
    <w:uiPriority w:val="39"/>
    <w:rsid w:val="00EC6F9B"/>
    <w:pPr>
      <w:spacing w:after="0" w:line="240" w:lineRule="auto"/>
    </w:pPr>
    <w:rPr>
      <w:kern w:val="0"/>
      <w:sz w:val="22"/>
      <w:szCs w:val="22"/>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6F9B"/>
    <w:pPr>
      <w:tabs>
        <w:tab w:val="center" w:pos="4680"/>
        <w:tab w:val="right" w:pos="9360"/>
      </w:tabs>
    </w:pPr>
  </w:style>
  <w:style w:type="character" w:customStyle="1" w:styleId="HeaderChar">
    <w:name w:val="Header Char"/>
    <w:basedOn w:val="DefaultParagraphFont"/>
    <w:link w:val="Header"/>
    <w:uiPriority w:val="99"/>
    <w:rsid w:val="00EC6F9B"/>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529</Words>
  <Characters>2765</Characters>
  <Application>Microsoft Office Word</Application>
  <DocSecurity>0</DocSecurity>
  <Lines>86</Lines>
  <Paragraphs>37</Paragraphs>
  <ScaleCrop>false</ScaleCrop>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Ramón Hernáiz</dc:creator>
  <cp:keywords/>
  <dc:description/>
  <cp:lastModifiedBy>Juan Ramón Hernáiz</cp:lastModifiedBy>
  <cp:revision>1</cp:revision>
  <dcterms:created xsi:type="dcterms:W3CDTF">2026-06-03T22:48:00Z</dcterms:created>
  <dcterms:modified xsi:type="dcterms:W3CDTF">2026-06-03T22:56:00Z</dcterms:modified>
</cp:coreProperties>
</file>