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kern w:val="2"/>
          <w:sz w:val="24"/>
          <w:szCs w:val="22"/>
          <w:lang w:val="en-GB" w:eastAsia="en-US"/>
          <w14:ligatures w14:val="standardContextual"/>
        </w:rPr>
        <w:id w:val="-1159467916"/>
        <w:docPartObj>
          <w:docPartGallery w:val="Table of Contents"/>
          <w:docPartUnique/>
        </w:docPartObj>
      </w:sdtPr>
      <w:sdtEndPr>
        <w:rPr>
          <w:b/>
          <w:bCs/>
        </w:rPr>
      </w:sdtEndPr>
      <w:sdtContent>
        <w:p w14:paraId="33E90876" w14:textId="3358F480" w:rsidR="00243509" w:rsidRPr="007636A2" w:rsidRDefault="00243509">
          <w:pPr>
            <w:pStyle w:val="TOCHeading"/>
          </w:pPr>
          <w:r w:rsidRPr="007636A2">
            <w:rPr>
              <w:rStyle w:val="Heading1Char"/>
            </w:rPr>
            <w:t>Contents</w:t>
          </w:r>
        </w:p>
        <w:p w14:paraId="1EE427CD" w14:textId="293F02EF" w:rsidR="00772EE3" w:rsidRDefault="00243509">
          <w:pPr>
            <w:pStyle w:val="TOC1"/>
            <w:tabs>
              <w:tab w:val="left" w:pos="48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211202353" w:history="1">
            <w:r w:rsidR="00772EE3" w:rsidRPr="00A1311D">
              <w:rPr>
                <w:rStyle w:val="Hyperlink"/>
                <w:noProof/>
              </w:rPr>
              <w:t>1.</w:t>
            </w:r>
            <w:r w:rsidR="00772EE3">
              <w:rPr>
                <w:rFonts w:asciiTheme="minorHAnsi" w:eastAsiaTheme="minorEastAsia" w:hAnsiTheme="minorHAnsi"/>
                <w:noProof/>
                <w:szCs w:val="24"/>
                <w:lang w:eastAsia="fr-FR"/>
              </w:rPr>
              <w:tab/>
            </w:r>
            <w:r w:rsidR="00772EE3" w:rsidRPr="00A1311D">
              <w:rPr>
                <w:rStyle w:val="Hyperlink"/>
                <w:noProof/>
              </w:rPr>
              <w:t>Introduction</w:t>
            </w:r>
            <w:r w:rsidR="00772EE3">
              <w:rPr>
                <w:noProof/>
                <w:webHidden/>
              </w:rPr>
              <w:tab/>
            </w:r>
            <w:r w:rsidR="00772EE3">
              <w:rPr>
                <w:noProof/>
                <w:webHidden/>
              </w:rPr>
              <w:fldChar w:fldCharType="begin"/>
            </w:r>
            <w:r w:rsidR="00772EE3">
              <w:rPr>
                <w:noProof/>
                <w:webHidden/>
              </w:rPr>
              <w:instrText xml:space="preserve"> PAGEREF _Toc211202353 \h </w:instrText>
            </w:r>
            <w:r w:rsidR="00772EE3">
              <w:rPr>
                <w:noProof/>
                <w:webHidden/>
              </w:rPr>
            </w:r>
            <w:r w:rsidR="00772EE3">
              <w:rPr>
                <w:noProof/>
                <w:webHidden/>
              </w:rPr>
              <w:fldChar w:fldCharType="separate"/>
            </w:r>
            <w:r w:rsidR="00772EE3">
              <w:rPr>
                <w:noProof/>
                <w:webHidden/>
              </w:rPr>
              <w:t>2</w:t>
            </w:r>
            <w:r w:rsidR="00772EE3">
              <w:rPr>
                <w:noProof/>
                <w:webHidden/>
              </w:rPr>
              <w:fldChar w:fldCharType="end"/>
            </w:r>
          </w:hyperlink>
        </w:p>
        <w:p w14:paraId="31D793A7" w14:textId="18AF6EB1"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54" w:history="1">
            <w:r w:rsidRPr="00A1311D">
              <w:rPr>
                <w:rStyle w:val="Hyperlink"/>
                <w:noProof/>
              </w:rPr>
              <w:t>1.1.</w:t>
            </w:r>
            <w:r>
              <w:rPr>
                <w:rFonts w:asciiTheme="minorHAnsi" w:eastAsiaTheme="minorEastAsia" w:hAnsiTheme="minorHAnsi"/>
                <w:noProof/>
                <w:szCs w:val="24"/>
                <w:lang w:eastAsia="fr-FR"/>
              </w:rPr>
              <w:tab/>
            </w:r>
            <w:r w:rsidRPr="00A1311D">
              <w:rPr>
                <w:rStyle w:val="Hyperlink"/>
                <w:noProof/>
              </w:rPr>
              <w:t>Contexte du stage</w:t>
            </w:r>
            <w:r>
              <w:rPr>
                <w:noProof/>
                <w:webHidden/>
              </w:rPr>
              <w:tab/>
            </w:r>
            <w:r>
              <w:rPr>
                <w:noProof/>
                <w:webHidden/>
              </w:rPr>
              <w:fldChar w:fldCharType="begin"/>
            </w:r>
            <w:r>
              <w:rPr>
                <w:noProof/>
                <w:webHidden/>
              </w:rPr>
              <w:instrText xml:space="preserve"> PAGEREF _Toc211202354 \h </w:instrText>
            </w:r>
            <w:r>
              <w:rPr>
                <w:noProof/>
                <w:webHidden/>
              </w:rPr>
            </w:r>
            <w:r>
              <w:rPr>
                <w:noProof/>
                <w:webHidden/>
              </w:rPr>
              <w:fldChar w:fldCharType="separate"/>
            </w:r>
            <w:r>
              <w:rPr>
                <w:noProof/>
                <w:webHidden/>
              </w:rPr>
              <w:t>2</w:t>
            </w:r>
            <w:r>
              <w:rPr>
                <w:noProof/>
                <w:webHidden/>
              </w:rPr>
              <w:fldChar w:fldCharType="end"/>
            </w:r>
          </w:hyperlink>
        </w:p>
        <w:p w14:paraId="36483FA4" w14:textId="46A50AFE"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55" w:history="1">
            <w:r w:rsidRPr="00A1311D">
              <w:rPr>
                <w:rStyle w:val="Hyperlink"/>
                <w:noProof/>
              </w:rPr>
              <w:t>1.1.1.</w:t>
            </w:r>
            <w:r>
              <w:rPr>
                <w:rFonts w:asciiTheme="minorHAnsi" w:eastAsiaTheme="minorEastAsia" w:hAnsiTheme="minorHAnsi"/>
                <w:noProof/>
                <w:szCs w:val="24"/>
                <w:lang w:eastAsia="fr-FR"/>
              </w:rPr>
              <w:tab/>
            </w:r>
            <w:r w:rsidRPr="00A1311D">
              <w:rPr>
                <w:rStyle w:val="Hyperlink"/>
                <w:noProof/>
              </w:rPr>
              <w:t>La production de CEE</w:t>
            </w:r>
            <w:r>
              <w:rPr>
                <w:noProof/>
                <w:webHidden/>
              </w:rPr>
              <w:tab/>
            </w:r>
            <w:r>
              <w:rPr>
                <w:noProof/>
                <w:webHidden/>
              </w:rPr>
              <w:fldChar w:fldCharType="begin"/>
            </w:r>
            <w:r>
              <w:rPr>
                <w:noProof/>
                <w:webHidden/>
              </w:rPr>
              <w:instrText xml:space="preserve"> PAGEREF _Toc211202355 \h </w:instrText>
            </w:r>
            <w:r>
              <w:rPr>
                <w:noProof/>
                <w:webHidden/>
              </w:rPr>
            </w:r>
            <w:r>
              <w:rPr>
                <w:noProof/>
                <w:webHidden/>
              </w:rPr>
              <w:fldChar w:fldCharType="separate"/>
            </w:r>
            <w:r>
              <w:rPr>
                <w:noProof/>
                <w:webHidden/>
              </w:rPr>
              <w:t>2</w:t>
            </w:r>
            <w:r>
              <w:rPr>
                <w:noProof/>
                <w:webHidden/>
              </w:rPr>
              <w:fldChar w:fldCharType="end"/>
            </w:r>
          </w:hyperlink>
        </w:p>
        <w:p w14:paraId="0CBE457B" w14:textId="53EF276D"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56" w:history="1">
            <w:r w:rsidRPr="00A1311D">
              <w:rPr>
                <w:rStyle w:val="Hyperlink"/>
                <w:noProof/>
              </w:rPr>
              <w:t>1.1.1.</w:t>
            </w:r>
            <w:r>
              <w:rPr>
                <w:rFonts w:asciiTheme="minorHAnsi" w:eastAsiaTheme="minorEastAsia" w:hAnsiTheme="minorHAnsi"/>
                <w:noProof/>
                <w:szCs w:val="24"/>
                <w:lang w:eastAsia="fr-FR"/>
              </w:rPr>
              <w:tab/>
            </w:r>
            <w:r w:rsidRPr="00A1311D">
              <w:rPr>
                <w:rStyle w:val="Hyperlink"/>
                <w:noProof/>
              </w:rPr>
              <w:t>Obligation et obligés</w:t>
            </w:r>
            <w:r>
              <w:rPr>
                <w:noProof/>
                <w:webHidden/>
              </w:rPr>
              <w:tab/>
            </w:r>
            <w:r>
              <w:rPr>
                <w:noProof/>
                <w:webHidden/>
              </w:rPr>
              <w:fldChar w:fldCharType="begin"/>
            </w:r>
            <w:r>
              <w:rPr>
                <w:noProof/>
                <w:webHidden/>
              </w:rPr>
              <w:instrText xml:space="preserve"> PAGEREF _Toc211202356 \h </w:instrText>
            </w:r>
            <w:r>
              <w:rPr>
                <w:noProof/>
                <w:webHidden/>
              </w:rPr>
            </w:r>
            <w:r>
              <w:rPr>
                <w:noProof/>
                <w:webHidden/>
              </w:rPr>
              <w:fldChar w:fldCharType="separate"/>
            </w:r>
            <w:r>
              <w:rPr>
                <w:noProof/>
                <w:webHidden/>
              </w:rPr>
              <w:t>2</w:t>
            </w:r>
            <w:r>
              <w:rPr>
                <w:noProof/>
                <w:webHidden/>
              </w:rPr>
              <w:fldChar w:fldCharType="end"/>
            </w:r>
          </w:hyperlink>
        </w:p>
        <w:p w14:paraId="7A7C3D6C" w14:textId="5BAF306C"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57" w:history="1">
            <w:r w:rsidRPr="00A1311D">
              <w:rPr>
                <w:rStyle w:val="Hyperlink"/>
                <w:noProof/>
              </w:rPr>
              <w:t>1.1.1.</w:t>
            </w:r>
            <w:r>
              <w:rPr>
                <w:rFonts w:asciiTheme="minorHAnsi" w:eastAsiaTheme="minorEastAsia" w:hAnsiTheme="minorHAnsi"/>
                <w:noProof/>
                <w:szCs w:val="24"/>
                <w:lang w:eastAsia="fr-FR"/>
              </w:rPr>
              <w:tab/>
            </w:r>
            <w:r w:rsidRPr="00A1311D">
              <w:rPr>
                <w:rStyle w:val="Hyperlink"/>
                <w:noProof/>
              </w:rPr>
              <w:t>Bénéfice et contestations</w:t>
            </w:r>
            <w:r>
              <w:rPr>
                <w:noProof/>
                <w:webHidden/>
              </w:rPr>
              <w:tab/>
            </w:r>
            <w:r>
              <w:rPr>
                <w:noProof/>
                <w:webHidden/>
              </w:rPr>
              <w:fldChar w:fldCharType="begin"/>
            </w:r>
            <w:r>
              <w:rPr>
                <w:noProof/>
                <w:webHidden/>
              </w:rPr>
              <w:instrText xml:space="preserve"> PAGEREF _Toc211202357 \h </w:instrText>
            </w:r>
            <w:r>
              <w:rPr>
                <w:noProof/>
                <w:webHidden/>
              </w:rPr>
            </w:r>
            <w:r>
              <w:rPr>
                <w:noProof/>
                <w:webHidden/>
              </w:rPr>
              <w:fldChar w:fldCharType="separate"/>
            </w:r>
            <w:r>
              <w:rPr>
                <w:noProof/>
                <w:webHidden/>
              </w:rPr>
              <w:t>3</w:t>
            </w:r>
            <w:r>
              <w:rPr>
                <w:noProof/>
                <w:webHidden/>
              </w:rPr>
              <w:fldChar w:fldCharType="end"/>
            </w:r>
          </w:hyperlink>
        </w:p>
        <w:p w14:paraId="0B4D4BDA" w14:textId="6B722B95"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58" w:history="1">
            <w:r w:rsidRPr="00A1311D">
              <w:rPr>
                <w:rStyle w:val="Hyperlink"/>
                <w:noProof/>
              </w:rPr>
              <w:t>1.2.</w:t>
            </w:r>
            <w:r>
              <w:rPr>
                <w:rFonts w:asciiTheme="minorHAnsi" w:eastAsiaTheme="minorEastAsia" w:hAnsiTheme="minorHAnsi"/>
                <w:noProof/>
                <w:szCs w:val="24"/>
                <w:lang w:eastAsia="fr-FR"/>
              </w:rPr>
              <w:tab/>
            </w:r>
            <w:r w:rsidRPr="00A1311D">
              <w:rPr>
                <w:rStyle w:val="Hyperlink"/>
                <w:noProof/>
              </w:rPr>
              <w:t>Le marché du CEE</w:t>
            </w:r>
            <w:r>
              <w:rPr>
                <w:noProof/>
                <w:webHidden/>
              </w:rPr>
              <w:tab/>
            </w:r>
            <w:r>
              <w:rPr>
                <w:noProof/>
                <w:webHidden/>
              </w:rPr>
              <w:fldChar w:fldCharType="begin"/>
            </w:r>
            <w:r>
              <w:rPr>
                <w:noProof/>
                <w:webHidden/>
              </w:rPr>
              <w:instrText xml:space="preserve"> PAGEREF _Toc211202358 \h </w:instrText>
            </w:r>
            <w:r>
              <w:rPr>
                <w:noProof/>
                <w:webHidden/>
              </w:rPr>
            </w:r>
            <w:r>
              <w:rPr>
                <w:noProof/>
                <w:webHidden/>
              </w:rPr>
              <w:fldChar w:fldCharType="separate"/>
            </w:r>
            <w:r>
              <w:rPr>
                <w:noProof/>
                <w:webHidden/>
              </w:rPr>
              <w:t>4</w:t>
            </w:r>
            <w:r>
              <w:rPr>
                <w:noProof/>
                <w:webHidden/>
              </w:rPr>
              <w:fldChar w:fldCharType="end"/>
            </w:r>
          </w:hyperlink>
        </w:p>
        <w:p w14:paraId="2F63A82A" w14:textId="6FAA628E"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59" w:history="1">
            <w:r w:rsidRPr="00A1311D">
              <w:rPr>
                <w:rStyle w:val="Hyperlink"/>
                <w:noProof/>
              </w:rPr>
              <w:t>1.2.1.</w:t>
            </w:r>
            <w:r>
              <w:rPr>
                <w:rFonts w:asciiTheme="minorHAnsi" w:eastAsiaTheme="minorEastAsia" w:hAnsiTheme="minorHAnsi"/>
                <w:noProof/>
                <w:szCs w:val="24"/>
                <w:lang w:eastAsia="fr-FR"/>
              </w:rPr>
              <w:tab/>
            </w:r>
            <w:r w:rsidRPr="00A1311D">
              <w:rPr>
                <w:rStyle w:val="Hyperlink"/>
                <w:noProof/>
              </w:rPr>
              <w:t>Marché primaire</w:t>
            </w:r>
            <w:r>
              <w:rPr>
                <w:noProof/>
                <w:webHidden/>
              </w:rPr>
              <w:tab/>
            </w:r>
            <w:r>
              <w:rPr>
                <w:noProof/>
                <w:webHidden/>
              </w:rPr>
              <w:fldChar w:fldCharType="begin"/>
            </w:r>
            <w:r>
              <w:rPr>
                <w:noProof/>
                <w:webHidden/>
              </w:rPr>
              <w:instrText xml:space="preserve"> PAGEREF _Toc211202359 \h </w:instrText>
            </w:r>
            <w:r>
              <w:rPr>
                <w:noProof/>
                <w:webHidden/>
              </w:rPr>
            </w:r>
            <w:r>
              <w:rPr>
                <w:noProof/>
                <w:webHidden/>
              </w:rPr>
              <w:fldChar w:fldCharType="separate"/>
            </w:r>
            <w:r>
              <w:rPr>
                <w:noProof/>
                <w:webHidden/>
              </w:rPr>
              <w:t>4</w:t>
            </w:r>
            <w:r>
              <w:rPr>
                <w:noProof/>
                <w:webHidden/>
              </w:rPr>
              <w:fldChar w:fldCharType="end"/>
            </w:r>
          </w:hyperlink>
        </w:p>
        <w:p w14:paraId="1D370F0E" w14:textId="21C87A07"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60" w:history="1">
            <w:r w:rsidRPr="00A1311D">
              <w:rPr>
                <w:rStyle w:val="Hyperlink"/>
                <w:noProof/>
              </w:rPr>
              <w:t>1.2.2.</w:t>
            </w:r>
            <w:r>
              <w:rPr>
                <w:rFonts w:asciiTheme="minorHAnsi" w:eastAsiaTheme="minorEastAsia" w:hAnsiTheme="minorHAnsi"/>
                <w:noProof/>
                <w:szCs w:val="24"/>
                <w:lang w:eastAsia="fr-FR"/>
              </w:rPr>
              <w:tab/>
            </w:r>
            <w:r w:rsidRPr="00A1311D">
              <w:rPr>
                <w:rStyle w:val="Hyperlink"/>
                <w:noProof/>
              </w:rPr>
              <w:t>Marché Secondaire</w:t>
            </w:r>
            <w:r>
              <w:rPr>
                <w:noProof/>
                <w:webHidden/>
              </w:rPr>
              <w:tab/>
            </w:r>
            <w:r>
              <w:rPr>
                <w:noProof/>
                <w:webHidden/>
              </w:rPr>
              <w:fldChar w:fldCharType="begin"/>
            </w:r>
            <w:r>
              <w:rPr>
                <w:noProof/>
                <w:webHidden/>
              </w:rPr>
              <w:instrText xml:space="preserve"> PAGEREF _Toc211202360 \h </w:instrText>
            </w:r>
            <w:r>
              <w:rPr>
                <w:noProof/>
                <w:webHidden/>
              </w:rPr>
            </w:r>
            <w:r>
              <w:rPr>
                <w:noProof/>
                <w:webHidden/>
              </w:rPr>
              <w:fldChar w:fldCharType="separate"/>
            </w:r>
            <w:r>
              <w:rPr>
                <w:noProof/>
                <w:webHidden/>
              </w:rPr>
              <w:t>4</w:t>
            </w:r>
            <w:r>
              <w:rPr>
                <w:noProof/>
                <w:webHidden/>
              </w:rPr>
              <w:fldChar w:fldCharType="end"/>
            </w:r>
          </w:hyperlink>
        </w:p>
        <w:p w14:paraId="64493D9D" w14:textId="091A0F14"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61" w:history="1">
            <w:r w:rsidRPr="00A1311D">
              <w:rPr>
                <w:rStyle w:val="Hyperlink"/>
                <w:noProof/>
              </w:rPr>
              <w:t>1.3.</w:t>
            </w:r>
            <w:r>
              <w:rPr>
                <w:rFonts w:asciiTheme="minorHAnsi" w:eastAsiaTheme="minorEastAsia" w:hAnsiTheme="minorHAnsi"/>
                <w:noProof/>
                <w:szCs w:val="24"/>
                <w:lang w:eastAsia="fr-FR"/>
              </w:rPr>
              <w:tab/>
            </w:r>
            <w:r w:rsidRPr="00A1311D">
              <w:rPr>
                <w:rStyle w:val="Hyperlink"/>
                <w:noProof/>
              </w:rPr>
              <w:t>Contexte du stage</w:t>
            </w:r>
            <w:r>
              <w:rPr>
                <w:noProof/>
                <w:webHidden/>
              </w:rPr>
              <w:tab/>
            </w:r>
            <w:r>
              <w:rPr>
                <w:noProof/>
                <w:webHidden/>
              </w:rPr>
              <w:fldChar w:fldCharType="begin"/>
            </w:r>
            <w:r>
              <w:rPr>
                <w:noProof/>
                <w:webHidden/>
              </w:rPr>
              <w:instrText xml:space="preserve"> PAGEREF _Toc211202361 \h </w:instrText>
            </w:r>
            <w:r>
              <w:rPr>
                <w:noProof/>
                <w:webHidden/>
              </w:rPr>
            </w:r>
            <w:r>
              <w:rPr>
                <w:noProof/>
                <w:webHidden/>
              </w:rPr>
              <w:fldChar w:fldCharType="separate"/>
            </w:r>
            <w:r>
              <w:rPr>
                <w:noProof/>
                <w:webHidden/>
              </w:rPr>
              <w:t>4</w:t>
            </w:r>
            <w:r>
              <w:rPr>
                <w:noProof/>
                <w:webHidden/>
              </w:rPr>
              <w:fldChar w:fldCharType="end"/>
            </w:r>
          </w:hyperlink>
        </w:p>
        <w:p w14:paraId="68CD8C58" w14:textId="55F4912A"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62" w:history="1">
            <w:r w:rsidRPr="00A1311D">
              <w:rPr>
                <w:rStyle w:val="Hyperlink"/>
                <w:noProof/>
              </w:rPr>
              <w:t>1.4.</w:t>
            </w:r>
            <w:r>
              <w:rPr>
                <w:rFonts w:asciiTheme="minorHAnsi" w:eastAsiaTheme="minorEastAsia" w:hAnsiTheme="minorHAnsi"/>
                <w:noProof/>
                <w:szCs w:val="24"/>
                <w:lang w:eastAsia="fr-FR"/>
              </w:rPr>
              <w:tab/>
            </w:r>
            <w:r w:rsidRPr="00A1311D">
              <w:rPr>
                <w:rStyle w:val="Hyperlink"/>
                <w:noProof/>
              </w:rPr>
              <w:t>Problématique</w:t>
            </w:r>
            <w:r>
              <w:rPr>
                <w:noProof/>
                <w:webHidden/>
              </w:rPr>
              <w:tab/>
            </w:r>
            <w:r>
              <w:rPr>
                <w:noProof/>
                <w:webHidden/>
              </w:rPr>
              <w:fldChar w:fldCharType="begin"/>
            </w:r>
            <w:r>
              <w:rPr>
                <w:noProof/>
                <w:webHidden/>
              </w:rPr>
              <w:instrText xml:space="preserve"> PAGEREF _Toc211202362 \h </w:instrText>
            </w:r>
            <w:r>
              <w:rPr>
                <w:noProof/>
                <w:webHidden/>
              </w:rPr>
            </w:r>
            <w:r>
              <w:rPr>
                <w:noProof/>
                <w:webHidden/>
              </w:rPr>
              <w:fldChar w:fldCharType="separate"/>
            </w:r>
            <w:r>
              <w:rPr>
                <w:noProof/>
                <w:webHidden/>
              </w:rPr>
              <w:t>5</w:t>
            </w:r>
            <w:r>
              <w:rPr>
                <w:noProof/>
                <w:webHidden/>
              </w:rPr>
              <w:fldChar w:fldCharType="end"/>
            </w:r>
          </w:hyperlink>
        </w:p>
        <w:p w14:paraId="308E03C8" w14:textId="028D66A8" w:rsidR="00772EE3" w:rsidRDefault="00772EE3">
          <w:pPr>
            <w:pStyle w:val="TOC1"/>
            <w:tabs>
              <w:tab w:val="left" w:pos="480"/>
              <w:tab w:val="right" w:leader="dot" w:pos="9062"/>
            </w:tabs>
            <w:rPr>
              <w:rFonts w:asciiTheme="minorHAnsi" w:eastAsiaTheme="minorEastAsia" w:hAnsiTheme="minorHAnsi"/>
              <w:noProof/>
              <w:szCs w:val="24"/>
              <w:lang w:eastAsia="fr-FR"/>
            </w:rPr>
          </w:pPr>
          <w:hyperlink w:anchor="_Toc211202363" w:history="1">
            <w:r w:rsidRPr="00A1311D">
              <w:rPr>
                <w:rStyle w:val="Hyperlink"/>
                <w:noProof/>
              </w:rPr>
              <w:t>2.</w:t>
            </w:r>
            <w:r>
              <w:rPr>
                <w:rFonts w:asciiTheme="minorHAnsi" w:eastAsiaTheme="minorEastAsia" w:hAnsiTheme="minorHAnsi"/>
                <w:noProof/>
                <w:szCs w:val="24"/>
                <w:lang w:eastAsia="fr-FR"/>
              </w:rPr>
              <w:tab/>
            </w:r>
            <w:r w:rsidRPr="00A1311D">
              <w:rPr>
                <w:rStyle w:val="Hyperlink"/>
                <w:noProof/>
              </w:rPr>
              <w:t>Prédiction de séries temporelles</w:t>
            </w:r>
            <w:r>
              <w:rPr>
                <w:noProof/>
                <w:webHidden/>
              </w:rPr>
              <w:tab/>
            </w:r>
            <w:r>
              <w:rPr>
                <w:noProof/>
                <w:webHidden/>
              </w:rPr>
              <w:fldChar w:fldCharType="begin"/>
            </w:r>
            <w:r>
              <w:rPr>
                <w:noProof/>
                <w:webHidden/>
              </w:rPr>
              <w:instrText xml:space="preserve"> PAGEREF _Toc211202363 \h </w:instrText>
            </w:r>
            <w:r>
              <w:rPr>
                <w:noProof/>
                <w:webHidden/>
              </w:rPr>
            </w:r>
            <w:r>
              <w:rPr>
                <w:noProof/>
                <w:webHidden/>
              </w:rPr>
              <w:fldChar w:fldCharType="separate"/>
            </w:r>
            <w:r>
              <w:rPr>
                <w:noProof/>
                <w:webHidden/>
              </w:rPr>
              <w:t>5</w:t>
            </w:r>
            <w:r>
              <w:rPr>
                <w:noProof/>
                <w:webHidden/>
              </w:rPr>
              <w:fldChar w:fldCharType="end"/>
            </w:r>
          </w:hyperlink>
        </w:p>
        <w:p w14:paraId="5333D424" w14:textId="15B80B70"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64" w:history="1">
            <w:r w:rsidRPr="00A1311D">
              <w:rPr>
                <w:rStyle w:val="Hyperlink"/>
                <w:noProof/>
              </w:rPr>
              <w:t>2.1.</w:t>
            </w:r>
            <w:r>
              <w:rPr>
                <w:rFonts w:asciiTheme="minorHAnsi" w:eastAsiaTheme="minorEastAsia" w:hAnsiTheme="minorHAnsi"/>
                <w:noProof/>
                <w:szCs w:val="24"/>
                <w:lang w:eastAsia="fr-FR"/>
              </w:rPr>
              <w:tab/>
            </w:r>
            <w:r w:rsidRPr="00A1311D">
              <w:rPr>
                <w:rStyle w:val="Hyperlink"/>
                <w:noProof/>
              </w:rPr>
              <w:t>État de l’art</w:t>
            </w:r>
            <w:r>
              <w:rPr>
                <w:noProof/>
                <w:webHidden/>
              </w:rPr>
              <w:tab/>
            </w:r>
            <w:r>
              <w:rPr>
                <w:noProof/>
                <w:webHidden/>
              </w:rPr>
              <w:fldChar w:fldCharType="begin"/>
            </w:r>
            <w:r>
              <w:rPr>
                <w:noProof/>
                <w:webHidden/>
              </w:rPr>
              <w:instrText xml:space="preserve"> PAGEREF _Toc211202364 \h </w:instrText>
            </w:r>
            <w:r>
              <w:rPr>
                <w:noProof/>
                <w:webHidden/>
              </w:rPr>
            </w:r>
            <w:r>
              <w:rPr>
                <w:noProof/>
                <w:webHidden/>
              </w:rPr>
              <w:fldChar w:fldCharType="separate"/>
            </w:r>
            <w:r>
              <w:rPr>
                <w:noProof/>
                <w:webHidden/>
              </w:rPr>
              <w:t>5</w:t>
            </w:r>
            <w:r>
              <w:rPr>
                <w:noProof/>
                <w:webHidden/>
              </w:rPr>
              <w:fldChar w:fldCharType="end"/>
            </w:r>
          </w:hyperlink>
        </w:p>
        <w:p w14:paraId="065E43AC" w14:textId="7BB5E313"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65" w:history="1">
            <w:r w:rsidRPr="00A1311D">
              <w:rPr>
                <w:rStyle w:val="Hyperlink"/>
                <w:noProof/>
              </w:rPr>
              <w:t>2.1.1.</w:t>
            </w:r>
            <w:r>
              <w:rPr>
                <w:rFonts w:asciiTheme="minorHAnsi" w:eastAsiaTheme="minorEastAsia" w:hAnsiTheme="minorHAnsi"/>
                <w:noProof/>
                <w:szCs w:val="24"/>
                <w:lang w:eastAsia="fr-FR"/>
              </w:rPr>
              <w:tab/>
            </w:r>
            <w:r w:rsidRPr="00A1311D">
              <w:rPr>
                <w:rStyle w:val="Hyperlink"/>
                <w:noProof/>
              </w:rPr>
              <w:t>Modèles de prédiction linéaire</w:t>
            </w:r>
            <w:r>
              <w:rPr>
                <w:noProof/>
                <w:webHidden/>
              </w:rPr>
              <w:tab/>
            </w:r>
            <w:r>
              <w:rPr>
                <w:noProof/>
                <w:webHidden/>
              </w:rPr>
              <w:fldChar w:fldCharType="begin"/>
            </w:r>
            <w:r>
              <w:rPr>
                <w:noProof/>
                <w:webHidden/>
              </w:rPr>
              <w:instrText xml:space="preserve"> PAGEREF _Toc211202365 \h </w:instrText>
            </w:r>
            <w:r>
              <w:rPr>
                <w:noProof/>
                <w:webHidden/>
              </w:rPr>
            </w:r>
            <w:r>
              <w:rPr>
                <w:noProof/>
                <w:webHidden/>
              </w:rPr>
              <w:fldChar w:fldCharType="separate"/>
            </w:r>
            <w:r>
              <w:rPr>
                <w:noProof/>
                <w:webHidden/>
              </w:rPr>
              <w:t>5</w:t>
            </w:r>
            <w:r>
              <w:rPr>
                <w:noProof/>
                <w:webHidden/>
              </w:rPr>
              <w:fldChar w:fldCharType="end"/>
            </w:r>
          </w:hyperlink>
        </w:p>
        <w:p w14:paraId="6956C1BF" w14:textId="12DBFD36"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66" w:history="1">
            <w:r w:rsidRPr="00A1311D">
              <w:rPr>
                <w:rStyle w:val="Hyperlink"/>
                <w:noProof/>
                <w:lang w:val="en-GB"/>
              </w:rPr>
              <w:t>2.1.2.</w:t>
            </w:r>
            <w:r>
              <w:rPr>
                <w:rFonts w:asciiTheme="minorHAnsi" w:eastAsiaTheme="minorEastAsia" w:hAnsiTheme="minorHAnsi"/>
                <w:noProof/>
                <w:szCs w:val="24"/>
                <w:lang w:eastAsia="fr-FR"/>
              </w:rPr>
              <w:tab/>
            </w:r>
            <w:r w:rsidRPr="00A1311D">
              <w:rPr>
                <w:rStyle w:val="Hyperlink"/>
                <w:noProof/>
                <w:lang w:val="en-GB"/>
              </w:rPr>
              <w:t>Recurrent Neural Networks (RNN)</w:t>
            </w:r>
            <w:r>
              <w:rPr>
                <w:noProof/>
                <w:webHidden/>
              </w:rPr>
              <w:tab/>
            </w:r>
            <w:r>
              <w:rPr>
                <w:noProof/>
                <w:webHidden/>
              </w:rPr>
              <w:fldChar w:fldCharType="begin"/>
            </w:r>
            <w:r>
              <w:rPr>
                <w:noProof/>
                <w:webHidden/>
              </w:rPr>
              <w:instrText xml:space="preserve"> PAGEREF _Toc211202366 \h </w:instrText>
            </w:r>
            <w:r>
              <w:rPr>
                <w:noProof/>
                <w:webHidden/>
              </w:rPr>
            </w:r>
            <w:r>
              <w:rPr>
                <w:noProof/>
                <w:webHidden/>
              </w:rPr>
              <w:fldChar w:fldCharType="separate"/>
            </w:r>
            <w:r>
              <w:rPr>
                <w:noProof/>
                <w:webHidden/>
              </w:rPr>
              <w:t>5</w:t>
            </w:r>
            <w:r>
              <w:rPr>
                <w:noProof/>
                <w:webHidden/>
              </w:rPr>
              <w:fldChar w:fldCharType="end"/>
            </w:r>
          </w:hyperlink>
        </w:p>
        <w:p w14:paraId="4053B94B" w14:textId="019681AA"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67" w:history="1">
            <w:r w:rsidRPr="00A1311D">
              <w:rPr>
                <w:rStyle w:val="Hyperlink"/>
                <w:noProof/>
              </w:rPr>
              <w:t>2.2.</w:t>
            </w:r>
            <w:r>
              <w:rPr>
                <w:rFonts w:asciiTheme="minorHAnsi" w:eastAsiaTheme="minorEastAsia" w:hAnsiTheme="minorHAnsi"/>
                <w:noProof/>
                <w:szCs w:val="24"/>
                <w:lang w:eastAsia="fr-FR"/>
              </w:rPr>
              <w:tab/>
            </w:r>
            <w:r w:rsidRPr="00A1311D">
              <w:rPr>
                <w:rStyle w:val="Hyperlink"/>
                <w:noProof/>
              </w:rPr>
              <w:t>Méthodologie</w:t>
            </w:r>
            <w:r>
              <w:rPr>
                <w:noProof/>
                <w:webHidden/>
              </w:rPr>
              <w:tab/>
            </w:r>
            <w:r>
              <w:rPr>
                <w:noProof/>
                <w:webHidden/>
              </w:rPr>
              <w:fldChar w:fldCharType="begin"/>
            </w:r>
            <w:r>
              <w:rPr>
                <w:noProof/>
                <w:webHidden/>
              </w:rPr>
              <w:instrText xml:space="preserve"> PAGEREF _Toc211202367 \h </w:instrText>
            </w:r>
            <w:r>
              <w:rPr>
                <w:noProof/>
                <w:webHidden/>
              </w:rPr>
            </w:r>
            <w:r>
              <w:rPr>
                <w:noProof/>
                <w:webHidden/>
              </w:rPr>
              <w:fldChar w:fldCharType="separate"/>
            </w:r>
            <w:r>
              <w:rPr>
                <w:noProof/>
                <w:webHidden/>
              </w:rPr>
              <w:t>6</w:t>
            </w:r>
            <w:r>
              <w:rPr>
                <w:noProof/>
                <w:webHidden/>
              </w:rPr>
              <w:fldChar w:fldCharType="end"/>
            </w:r>
          </w:hyperlink>
        </w:p>
        <w:p w14:paraId="66F84437" w14:textId="3E01D1DC"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68" w:history="1">
            <w:r w:rsidRPr="00A1311D">
              <w:rPr>
                <w:rStyle w:val="Hyperlink"/>
                <w:noProof/>
              </w:rPr>
              <w:t>2.2.1.</w:t>
            </w:r>
            <w:r>
              <w:rPr>
                <w:rFonts w:asciiTheme="minorHAnsi" w:eastAsiaTheme="minorEastAsia" w:hAnsiTheme="minorHAnsi"/>
                <w:noProof/>
                <w:szCs w:val="24"/>
                <w:lang w:eastAsia="fr-FR"/>
              </w:rPr>
              <w:tab/>
            </w:r>
            <w:r w:rsidRPr="00A1311D">
              <w:rPr>
                <w:rStyle w:val="Hyperlink"/>
                <w:noProof/>
              </w:rPr>
              <w:t>Méthodologie globale</w:t>
            </w:r>
            <w:r>
              <w:rPr>
                <w:noProof/>
                <w:webHidden/>
              </w:rPr>
              <w:tab/>
            </w:r>
            <w:r>
              <w:rPr>
                <w:noProof/>
                <w:webHidden/>
              </w:rPr>
              <w:fldChar w:fldCharType="begin"/>
            </w:r>
            <w:r>
              <w:rPr>
                <w:noProof/>
                <w:webHidden/>
              </w:rPr>
              <w:instrText xml:space="preserve"> PAGEREF _Toc211202368 \h </w:instrText>
            </w:r>
            <w:r>
              <w:rPr>
                <w:noProof/>
                <w:webHidden/>
              </w:rPr>
            </w:r>
            <w:r>
              <w:rPr>
                <w:noProof/>
                <w:webHidden/>
              </w:rPr>
              <w:fldChar w:fldCharType="separate"/>
            </w:r>
            <w:r>
              <w:rPr>
                <w:noProof/>
                <w:webHidden/>
              </w:rPr>
              <w:t>6</w:t>
            </w:r>
            <w:r>
              <w:rPr>
                <w:noProof/>
                <w:webHidden/>
              </w:rPr>
              <w:fldChar w:fldCharType="end"/>
            </w:r>
          </w:hyperlink>
        </w:p>
        <w:p w14:paraId="5D5DE73E" w14:textId="3B516C58"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69" w:history="1">
            <w:r w:rsidRPr="00A1311D">
              <w:rPr>
                <w:rStyle w:val="Hyperlink"/>
                <w:noProof/>
              </w:rPr>
              <w:t>2.2.2.</w:t>
            </w:r>
            <w:r>
              <w:rPr>
                <w:rFonts w:asciiTheme="minorHAnsi" w:eastAsiaTheme="minorEastAsia" w:hAnsiTheme="minorHAnsi"/>
                <w:noProof/>
                <w:szCs w:val="24"/>
                <w:lang w:eastAsia="fr-FR"/>
              </w:rPr>
              <w:tab/>
            </w:r>
            <w:r w:rsidRPr="00A1311D">
              <w:rPr>
                <w:rStyle w:val="Hyperlink"/>
                <w:noProof/>
              </w:rPr>
              <w:t>Données</w:t>
            </w:r>
            <w:r>
              <w:rPr>
                <w:noProof/>
                <w:webHidden/>
              </w:rPr>
              <w:tab/>
            </w:r>
            <w:r>
              <w:rPr>
                <w:noProof/>
                <w:webHidden/>
              </w:rPr>
              <w:fldChar w:fldCharType="begin"/>
            </w:r>
            <w:r>
              <w:rPr>
                <w:noProof/>
                <w:webHidden/>
              </w:rPr>
              <w:instrText xml:space="preserve"> PAGEREF _Toc211202369 \h </w:instrText>
            </w:r>
            <w:r>
              <w:rPr>
                <w:noProof/>
                <w:webHidden/>
              </w:rPr>
            </w:r>
            <w:r>
              <w:rPr>
                <w:noProof/>
                <w:webHidden/>
              </w:rPr>
              <w:fldChar w:fldCharType="separate"/>
            </w:r>
            <w:r>
              <w:rPr>
                <w:noProof/>
                <w:webHidden/>
              </w:rPr>
              <w:t>6</w:t>
            </w:r>
            <w:r>
              <w:rPr>
                <w:noProof/>
                <w:webHidden/>
              </w:rPr>
              <w:fldChar w:fldCharType="end"/>
            </w:r>
          </w:hyperlink>
        </w:p>
        <w:p w14:paraId="767D19A0" w14:textId="1487090A"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70" w:history="1">
            <w:r w:rsidRPr="00A1311D">
              <w:rPr>
                <w:rStyle w:val="Hyperlink"/>
                <w:noProof/>
              </w:rPr>
              <w:t>2.2.3.</w:t>
            </w:r>
            <w:r>
              <w:rPr>
                <w:rFonts w:asciiTheme="minorHAnsi" w:eastAsiaTheme="minorEastAsia" w:hAnsiTheme="minorHAnsi"/>
                <w:noProof/>
                <w:szCs w:val="24"/>
                <w:lang w:eastAsia="fr-FR"/>
              </w:rPr>
              <w:tab/>
            </w:r>
            <w:r w:rsidRPr="00A1311D">
              <w:rPr>
                <w:rStyle w:val="Hyperlink"/>
                <w:noProof/>
              </w:rPr>
              <w:t>ARIMA</w:t>
            </w:r>
            <w:r>
              <w:rPr>
                <w:noProof/>
                <w:webHidden/>
              </w:rPr>
              <w:tab/>
            </w:r>
            <w:r>
              <w:rPr>
                <w:noProof/>
                <w:webHidden/>
              </w:rPr>
              <w:fldChar w:fldCharType="begin"/>
            </w:r>
            <w:r>
              <w:rPr>
                <w:noProof/>
                <w:webHidden/>
              </w:rPr>
              <w:instrText xml:space="preserve"> PAGEREF _Toc211202370 \h </w:instrText>
            </w:r>
            <w:r>
              <w:rPr>
                <w:noProof/>
                <w:webHidden/>
              </w:rPr>
            </w:r>
            <w:r>
              <w:rPr>
                <w:noProof/>
                <w:webHidden/>
              </w:rPr>
              <w:fldChar w:fldCharType="separate"/>
            </w:r>
            <w:r>
              <w:rPr>
                <w:noProof/>
                <w:webHidden/>
              </w:rPr>
              <w:t>6</w:t>
            </w:r>
            <w:r>
              <w:rPr>
                <w:noProof/>
                <w:webHidden/>
              </w:rPr>
              <w:fldChar w:fldCharType="end"/>
            </w:r>
          </w:hyperlink>
        </w:p>
        <w:p w14:paraId="384D02BD" w14:textId="11347ED2"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71" w:history="1">
            <w:r w:rsidRPr="00A1311D">
              <w:rPr>
                <w:rStyle w:val="Hyperlink"/>
                <w:noProof/>
              </w:rPr>
              <w:t>2.2.4.</w:t>
            </w:r>
            <w:r>
              <w:rPr>
                <w:rFonts w:asciiTheme="minorHAnsi" w:eastAsiaTheme="minorEastAsia" w:hAnsiTheme="minorHAnsi"/>
                <w:noProof/>
                <w:szCs w:val="24"/>
                <w:lang w:eastAsia="fr-FR"/>
              </w:rPr>
              <w:tab/>
            </w:r>
            <w:r w:rsidRPr="00A1311D">
              <w:rPr>
                <w:rStyle w:val="Hyperlink"/>
                <w:noProof/>
              </w:rPr>
              <w:t>GRU</w:t>
            </w:r>
            <w:r>
              <w:rPr>
                <w:noProof/>
                <w:webHidden/>
              </w:rPr>
              <w:tab/>
            </w:r>
            <w:r>
              <w:rPr>
                <w:noProof/>
                <w:webHidden/>
              </w:rPr>
              <w:fldChar w:fldCharType="begin"/>
            </w:r>
            <w:r>
              <w:rPr>
                <w:noProof/>
                <w:webHidden/>
              </w:rPr>
              <w:instrText xml:space="preserve"> PAGEREF _Toc211202371 \h </w:instrText>
            </w:r>
            <w:r>
              <w:rPr>
                <w:noProof/>
                <w:webHidden/>
              </w:rPr>
            </w:r>
            <w:r>
              <w:rPr>
                <w:noProof/>
                <w:webHidden/>
              </w:rPr>
              <w:fldChar w:fldCharType="separate"/>
            </w:r>
            <w:r>
              <w:rPr>
                <w:noProof/>
                <w:webHidden/>
              </w:rPr>
              <w:t>6</w:t>
            </w:r>
            <w:r>
              <w:rPr>
                <w:noProof/>
                <w:webHidden/>
              </w:rPr>
              <w:fldChar w:fldCharType="end"/>
            </w:r>
          </w:hyperlink>
        </w:p>
        <w:p w14:paraId="7D6EF0FC" w14:textId="50783F7C" w:rsidR="00772EE3" w:rsidRDefault="00772EE3">
          <w:pPr>
            <w:pStyle w:val="TOC3"/>
            <w:tabs>
              <w:tab w:val="left" w:pos="1440"/>
              <w:tab w:val="right" w:leader="dot" w:pos="9062"/>
            </w:tabs>
            <w:rPr>
              <w:rFonts w:asciiTheme="minorHAnsi" w:eastAsiaTheme="minorEastAsia" w:hAnsiTheme="minorHAnsi"/>
              <w:noProof/>
              <w:szCs w:val="24"/>
              <w:lang w:eastAsia="fr-FR"/>
            </w:rPr>
          </w:pPr>
          <w:hyperlink w:anchor="_Toc211202372" w:history="1">
            <w:r w:rsidRPr="00A1311D">
              <w:rPr>
                <w:rStyle w:val="Hyperlink"/>
                <w:noProof/>
              </w:rPr>
              <w:t>2.2.5.</w:t>
            </w:r>
            <w:r>
              <w:rPr>
                <w:rFonts w:asciiTheme="minorHAnsi" w:eastAsiaTheme="minorEastAsia" w:hAnsiTheme="minorHAnsi"/>
                <w:noProof/>
                <w:szCs w:val="24"/>
                <w:lang w:eastAsia="fr-FR"/>
              </w:rPr>
              <w:tab/>
            </w:r>
            <w:r w:rsidRPr="00A1311D">
              <w:rPr>
                <w:rStyle w:val="Hyperlink"/>
                <w:noProof/>
              </w:rPr>
              <w:t>LSTM</w:t>
            </w:r>
            <w:r>
              <w:rPr>
                <w:noProof/>
                <w:webHidden/>
              </w:rPr>
              <w:tab/>
            </w:r>
            <w:r>
              <w:rPr>
                <w:noProof/>
                <w:webHidden/>
              </w:rPr>
              <w:fldChar w:fldCharType="begin"/>
            </w:r>
            <w:r>
              <w:rPr>
                <w:noProof/>
                <w:webHidden/>
              </w:rPr>
              <w:instrText xml:space="preserve"> PAGEREF _Toc211202372 \h </w:instrText>
            </w:r>
            <w:r>
              <w:rPr>
                <w:noProof/>
                <w:webHidden/>
              </w:rPr>
            </w:r>
            <w:r>
              <w:rPr>
                <w:noProof/>
                <w:webHidden/>
              </w:rPr>
              <w:fldChar w:fldCharType="separate"/>
            </w:r>
            <w:r>
              <w:rPr>
                <w:noProof/>
                <w:webHidden/>
              </w:rPr>
              <w:t>6</w:t>
            </w:r>
            <w:r>
              <w:rPr>
                <w:noProof/>
                <w:webHidden/>
              </w:rPr>
              <w:fldChar w:fldCharType="end"/>
            </w:r>
          </w:hyperlink>
        </w:p>
        <w:p w14:paraId="241FFC11" w14:textId="1461B415"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73" w:history="1">
            <w:r w:rsidRPr="00A1311D">
              <w:rPr>
                <w:rStyle w:val="Hyperlink"/>
                <w:noProof/>
              </w:rPr>
              <w:t>2.3.</w:t>
            </w:r>
            <w:r>
              <w:rPr>
                <w:rFonts w:asciiTheme="minorHAnsi" w:eastAsiaTheme="minorEastAsia" w:hAnsiTheme="minorHAnsi"/>
                <w:noProof/>
                <w:szCs w:val="24"/>
                <w:lang w:eastAsia="fr-FR"/>
              </w:rPr>
              <w:tab/>
            </w:r>
            <w:r w:rsidRPr="00A1311D">
              <w:rPr>
                <w:rStyle w:val="Hyperlink"/>
                <w:noProof/>
              </w:rPr>
              <w:t>Résultats</w:t>
            </w:r>
            <w:r>
              <w:rPr>
                <w:noProof/>
                <w:webHidden/>
              </w:rPr>
              <w:tab/>
            </w:r>
            <w:r>
              <w:rPr>
                <w:noProof/>
                <w:webHidden/>
              </w:rPr>
              <w:fldChar w:fldCharType="begin"/>
            </w:r>
            <w:r>
              <w:rPr>
                <w:noProof/>
                <w:webHidden/>
              </w:rPr>
              <w:instrText xml:space="preserve"> PAGEREF _Toc211202373 \h </w:instrText>
            </w:r>
            <w:r>
              <w:rPr>
                <w:noProof/>
                <w:webHidden/>
              </w:rPr>
            </w:r>
            <w:r>
              <w:rPr>
                <w:noProof/>
                <w:webHidden/>
              </w:rPr>
              <w:fldChar w:fldCharType="separate"/>
            </w:r>
            <w:r>
              <w:rPr>
                <w:noProof/>
                <w:webHidden/>
              </w:rPr>
              <w:t>6</w:t>
            </w:r>
            <w:r>
              <w:rPr>
                <w:noProof/>
                <w:webHidden/>
              </w:rPr>
              <w:fldChar w:fldCharType="end"/>
            </w:r>
          </w:hyperlink>
        </w:p>
        <w:p w14:paraId="7A15F037" w14:textId="38FC2279" w:rsidR="00772EE3" w:rsidRDefault="00772EE3">
          <w:pPr>
            <w:pStyle w:val="TOC1"/>
            <w:tabs>
              <w:tab w:val="left" w:pos="480"/>
              <w:tab w:val="right" w:leader="dot" w:pos="9062"/>
            </w:tabs>
            <w:rPr>
              <w:rFonts w:asciiTheme="minorHAnsi" w:eastAsiaTheme="minorEastAsia" w:hAnsiTheme="minorHAnsi"/>
              <w:noProof/>
              <w:szCs w:val="24"/>
              <w:lang w:eastAsia="fr-FR"/>
            </w:rPr>
          </w:pPr>
          <w:hyperlink w:anchor="_Toc211202374" w:history="1">
            <w:r w:rsidRPr="00A1311D">
              <w:rPr>
                <w:rStyle w:val="Hyperlink"/>
                <w:noProof/>
              </w:rPr>
              <w:t>3.</w:t>
            </w:r>
            <w:r>
              <w:rPr>
                <w:rFonts w:asciiTheme="minorHAnsi" w:eastAsiaTheme="minorEastAsia" w:hAnsiTheme="minorHAnsi"/>
                <w:noProof/>
                <w:szCs w:val="24"/>
                <w:lang w:eastAsia="fr-FR"/>
              </w:rPr>
              <w:tab/>
            </w:r>
            <w:r w:rsidRPr="00A1311D">
              <w:rPr>
                <w:rStyle w:val="Hyperlink"/>
                <w:noProof/>
              </w:rPr>
              <w:t>Stratégie de trading</w:t>
            </w:r>
            <w:r>
              <w:rPr>
                <w:noProof/>
                <w:webHidden/>
              </w:rPr>
              <w:tab/>
            </w:r>
            <w:r>
              <w:rPr>
                <w:noProof/>
                <w:webHidden/>
              </w:rPr>
              <w:fldChar w:fldCharType="begin"/>
            </w:r>
            <w:r>
              <w:rPr>
                <w:noProof/>
                <w:webHidden/>
              </w:rPr>
              <w:instrText xml:space="preserve"> PAGEREF _Toc211202374 \h </w:instrText>
            </w:r>
            <w:r>
              <w:rPr>
                <w:noProof/>
                <w:webHidden/>
              </w:rPr>
            </w:r>
            <w:r>
              <w:rPr>
                <w:noProof/>
                <w:webHidden/>
              </w:rPr>
              <w:fldChar w:fldCharType="separate"/>
            </w:r>
            <w:r>
              <w:rPr>
                <w:noProof/>
                <w:webHidden/>
              </w:rPr>
              <w:t>6</w:t>
            </w:r>
            <w:r>
              <w:rPr>
                <w:noProof/>
                <w:webHidden/>
              </w:rPr>
              <w:fldChar w:fldCharType="end"/>
            </w:r>
          </w:hyperlink>
        </w:p>
        <w:p w14:paraId="36AD583B" w14:textId="4DC8526A"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75" w:history="1">
            <w:r w:rsidRPr="00A1311D">
              <w:rPr>
                <w:rStyle w:val="Hyperlink"/>
                <w:noProof/>
              </w:rPr>
              <w:t>3.1.</w:t>
            </w:r>
            <w:r>
              <w:rPr>
                <w:rFonts w:asciiTheme="minorHAnsi" w:eastAsiaTheme="minorEastAsia" w:hAnsiTheme="minorHAnsi"/>
                <w:noProof/>
                <w:szCs w:val="24"/>
                <w:lang w:eastAsia="fr-FR"/>
              </w:rPr>
              <w:tab/>
            </w:r>
            <w:r w:rsidRPr="00A1311D">
              <w:rPr>
                <w:rStyle w:val="Hyperlink"/>
                <w:noProof/>
              </w:rPr>
              <w:t>Construction du signal</w:t>
            </w:r>
            <w:r>
              <w:rPr>
                <w:noProof/>
                <w:webHidden/>
              </w:rPr>
              <w:tab/>
            </w:r>
            <w:r>
              <w:rPr>
                <w:noProof/>
                <w:webHidden/>
              </w:rPr>
              <w:fldChar w:fldCharType="begin"/>
            </w:r>
            <w:r>
              <w:rPr>
                <w:noProof/>
                <w:webHidden/>
              </w:rPr>
              <w:instrText xml:space="preserve"> PAGEREF _Toc211202375 \h </w:instrText>
            </w:r>
            <w:r>
              <w:rPr>
                <w:noProof/>
                <w:webHidden/>
              </w:rPr>
            </w:r>
            <w:r>
              <w:rPr>
                <w:noProof/>
                <w:webHidden/>
              </w:rPr>
              <w:fldChar w:fldCharType="separate"/>
            </w:r>
            <w:r>
              <w:rPr>
                <w:noProof/>
                <w:webHidden/>
              </w:rPr>
              <w:t>6</w:t>
            </w:r>
            <w:r>
              <w:rPr>
                <w:noProof/>
                <w:webHidden/>
              </w:rPr>
              <w:fldChar w:fldCharType="end"/>
            </w:r>
          </w:hyperlink>
        </w:p>
        <w:p w14:paraId="331E98CA" w14:textId="606F7188"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76" w:history="1">
            <w:r w:rsidRPr="00A1311D">
              <w:rPr>
                <w:rStyle w:val="Hyperlink"/>
                <w:noProof/>
              </w:rPr>
              <w:t>3.2.</w:t>
            </w:r>
            <w:r>
              <w:rPr>
                <w:rFonts w:asciiTheme="minorHAnsi" w:eastAsiaTheme="minorEastAsia" w:hAnsiTheme="minorHAnsi"/>
                <w:noProof/>
                <w:szCs w:val="24"/>
                <w:lang w:eastAsia="fr-FR"/>
              </w:rPr>
              <w:tab/>
            </w:r>
            <w:r w:rsidRPr="00A1311D">
              <w:rPr>
                <w:rStyle w:val="Hyperlink"/>
                <w:noProof/>
              </w:rPr>
              <w:t>Backtest</w:t>
            </w:r>
            <w:r>
              <w:rPr>
                <w:noProof/>
                <w:webHidden/>
              </w:rPr>
              <w:tab/>
            </w:r>
            <w:r>
              <w:rPr>
                <w:noProof/>
                <w:webHidden/>
              </w:rPr>
              <w:fldChar w:fldCharType="begin"/>
            </w:r>
            <w:r>
              <w:rPr>
                <w:noProof/>
                <w:webHidden/>
              </w:rPr>
              <w:instrText xml:space="preserve"> PAGEREF _Toc211202376 \h </w:instrText>
            </w:r>
            <w:r>
              <w:rPr>
                <w:noProof/>
                <w:webHidden/>
              </w:rPr>
            </w:r>
            <w:r>
              <w:rPr>
                <w:noProof/>
                <w:webHidden/>
              </w:rPr>
              <w:fldChar w:fldCharType="separate"/>
            </w:r>
            <w:r>
              <w:rPr>
                <w:noProof/>
                <w:webHidden/>
              </w:rPr>
              <w:t>6</w:t>
            </w:r>
            <w:r>
              <w:rPr>
                <w:noProof/>
                <w:webHidden/>
              </w:rPr>
              <w:fldChar w:fldCharType="end"/>
            </w:r>
          </w:hyperlink>
        </w:p>
        <w:p w14:paraId="37D8508E" w14:textId="35D6BC85" w:rsidR="00772EE3" w:rsidRDefault="00772EE3">
          <w:pPr>
            <w:pStyle w:val="TOC2"/>
            <w:tabs>
              <w:tab w:val="left" w:pos="960"/>
              <w:tab w:val="right" w:leader="dot" w:pos="9062"/>
            </w:tabs>
            <w:rPr>
              <w:rFonts w:asciiTheme="minorHAnsi" w:eastAsiaTheme="minorEastAsia" w:hAnsiTheme="minorHAnsi"/>
              <w:noProof/>
              <w:szCs w:val="24"/>
              <w:lang w:eastAsia="fr-FR"/>
            </w:rPr>
          </w:pPr>
          <w:hyperlink w:anchor="_Toc211202377" w:history="1">
            <w:r w:rsidRPr="00A1311D">
              <w:rPr>
                <w:rStyle w:val="Hyperlink"/>
                <w:noProof/>
              </w:rPr>
              <w:t>3.3.</w:t>
            </w:r>
            <w:r>
              <w:rPr>
                <w:rFonts w:asciiTheme="minorHAnsi" w:eastAsiaTheme="minorEastAsia" w:hAnsiTheme="minorHAnsi"/>
                <w:noProof/>
                <w:szCs w:val="24"/>
                <w:lang w:eastAsia="fr-FR"/>
              </w:rPr>
              <w:tab/>
            </w:r>
            <w:r w:rsidRPr="00A1311D">
              <w:rPr>
                <w:rStyle w:val="Hyperlink"/>
                <w:noProof/>
              </w:rPr>
              <w:t>Résultats</w:t>
            </w:r>
            <w:r>
              <w:rPr>
                <w:noProof/>
                <w:webHidden/>
              </w:rPr>
              <w:tab/>
            </w:r>
            <w:r>
              <w:rPr>
                <w:noProof/>
                <w:webHidden/>
              </w:rPr>
              <w:fldChar w:fldCharType="begin"/>
            </w:r>
            <w:r>
              <w:rPr>
                <w:noProof/>
                <w:webHidden/>
              </w:rPr>
              <w:instrText xml:space="preserve"> PAGEREF _Toc211202377 \h </w:instrText>
            </w:r>
            <w:r>
              <w:rPr>
                <w:noProof/>
                <w:webHidden/>
              </w:rPr>
            </w:r>
            <w:r>
              <w:rPr>
                <w:noProof/>
                <w:webHidden/>
              </w:rPr>
              <w:fldChar w:fldCharType="separate"/>
            </w:r>
            <w:r>
              <w:rPr>
                <w:noProof/>
                <w:webHidden/>
              </w:rPr>
              <w:t>7</w:t>
            </w:r>
            <w:r>
              <w:rPr>
                <w:noProof/>
                <w:webHidden/>
              </w:rPr>
              <w:fldChar w:fldCharType="end"/>
            </w:r>
          </w:hyperlink>
        </w:p>
        <w:p w14:paraId="009722E5" w14:textId="649B6503" w:rsidR="00772EE3" w:rsidRDefault="00772EE3">
          <w:pPr>
            <w:pStyle w:val="TOC1"/>
            <w:tabs>
              <w:tab w:val="left" w:pos="480"/>
              <w:tab w:val="right" w:leader="dot" w:pos="9062"/>
            </w:tabs>
            <w:rPr>
              <w:rFonts w:asciiTheme="minorHAnsi" w:eastAsiaTheme="minorEastAsia" w:hAnsiTheme="minorHAnsi"/>
              <w:noProof/>
              <w:szCs w:val="24"/>
              <w:lang w:eastAsia="fr-FR"/>
            </w:rPr>
          </w:pPr>
          <w:hyperlink w:anchor="_Toc211202378" w:history="1">
            <w:r w:rsidRPr="00A1311D">
              <w:rPr>
                <w:rStyle w:val="Hyperlink"/>
                <w:noProof/>
              </w:rPr>
              <w:t>4.</w:t>
            </w:r>
            <w:r>
              <w:rPr>
                <w:rFonts w:asciiTheme="minorHAnsi" w:eastAsiaTheme="minorEastAsia" w:hAnsiTheme="minorHAnsi"/>
                <w:noProof/>
                <w:szCs w:val="24"/>
                <w:lang w:eastAsia="fr-FR"/>
              </w:rPr>
              <w:tab/>
            </w:r>
            <w:r w:rsidRPr="00A1311D">
              <w:rPr>
                <w:rStyle w:val="Hyperlink"/>
                <w:noProof/>
              </w:rPr>
              <w:t>Conclusion</w:t>
            </w:r>
            <w:r>
              <w:rPr>
                <w:noProof/>
                <w:webHidden/>
              </w:rPr>
              <w:tab/>
            </w:r>
            <w:r>
              <w:rPr>
                <w:noProof/>
                <w:webHidden/>
              </w:rPr>
              <w:fldChar w:fldCharType="begin"/>
            </w:r>
            <w:r>
              <w:rPr>
                <w:noProof/>
                <w:webHidden/>
              </w:rPr>
              <w:instrText xml:space="preserve"> PAGEREF _Toc211202378 \h </w:instrText>
            </w:r>
            <w:r>
              <w:rPr>
                <w:noProof/>
                <w:webHidden/>
              </w:rPr>
            </w:r>
            <w:r>
              <w:rPr>
                <w:noProof/>
                <w:webHidden/>
              </w:rPr>
              <w:fldChar w:fldCharType="separate"/>
            </w:r>
            <w:r>
              <w:rPr>
                <w:noProof/>
                <w:webHidden/>
              </w:rPr>
              <w:t>7</w:t>
            </w:r>
            <w:r>
              <w:rPr>
                <w:noProof/>
                <w:webHidden/>
              </w:rPr>
              <w:fldChar w:fldCharType="end"/>
            </w:r>
          </w:hyperlink>
        </w:p>
        <w:p w14:paraId="41224D5C" w14:textId="005B2607" w:rsidR="00772EE3" w:rsidRDefault="00772EE3">
          <w:pPr>
            <w:pStyle w:val="TOC1"/>
            <w:tabs>
              <w:tab w:val="left" w:pos="480"/>
              <w:tab w:val="right" w:leader="dot" w:pos="9062"/>
            </w:tabs>
            <w:rPr>
              <w:rFonts w:asciiTheme="minorHAnsi" w:eastAsiaTheme="minorEastAsia" w:hAnsiTheme="minorHAnsi"/>
              <w:noProof/>
              <w:szCs w:val="24"/>
              <w:lang w:eastAsia="fr-FR"/>
            </w:rPr>
          </w:pPr>
          <w:hyperlink w:anchor="_Toc211202379" w:history="1">
            <w:r w:rsidRPr="00A1311D">
              <w:rPr>
                <w:rStyle w:val="Hyperlink"/>
                <w:noProof/>
              </w:rPr>
              <w:t>5.</w:t>
            </w:r>
            <w:r>
              <w:rPr>
                <w:rFonts w:asciiTheme="minorHAnsi" w:eastAsiaTheme="minorEastAsia" w:hAnsiTheme="minorHAnsi"/>
                <w:noProof/>
                <w:szCs w:val="24"/>
                <w:lang w:eastAsia="fr-FR"/>
              </w:rPr>
              <w:tab/>
            </w:r>
            <w:r w:rsidRPr="00A1311D">
              <w:rPr>
                <w:rStyle w:val="Hyperlink"/>
                <w:noProof/>
              </w:rPr>
              <w:t>Bibliographie</w:t>
            </w:r>
            <w:r>
              <w:rPr>
                <w:noProof/>
                <w:webHidden/>
              </w:rPr>
              <w:tab/>
            </w:r>
            <w:r>
              <w:rPr>
                <w:noProof/>
                <w:webHidden/>
              </w:rPr>
              <w:fldChar w:fldCharType="begin"/>
            </w:r>
            <w:r>
              <w:rPr>
                <w:noProof/>
                <w:webHidden/>
              </w:rPr>
              <w:instrText xml:space="preserve"> PAGEREF _Toc211202379 \h </w:instrText>
            </w:r>
            <w:r>
              <w:rPr>
                <w:noProof/>
                <w:webHidden/>
              </w:rPr>
            </w:r>
            <w:r>
              <w:rPr>
                <w:noProof/>
                <w:webHidden/>
              </w:rPr>
              <w:fldChar w:fldCharType="separate"/>
            </w:r>
            <w:r>
              <w:rPr>
                <w:noProof/>
                <w:webHidden/>
              </w:rPr>
              <w:t>7</w:t>
            </w:r>
            <w:r>
              <w:rPr>
                <w:noProof/>
                <w:webHidden/>
              </w:rPr>
              <w:fldChar w:fldCharType="end"/>
            </w:r>
          </w:hyperlink>
        </w:p>
        <w:p w14:paraId="5BFE95AB" w14:textId="63AD0433" w:rsidR="00772EE3" w:rsidRDefault="00772EE3">
          <w:pPr>
            <w:pStyle w:val="TOC1"/>
            <w:tabs>
              <w:tab w:val="left" w:pos="480"/>
              <w:tab w:val="right" w:leader="dot" w:pos="9062"/>
            </w:tabs>
            <w:rPr>
              <w:rFonts w:asciiTheme="minorHAnsi" w:eastAsiaTheme="minorEastAsia" w:hAnsiTheme="minorHAnsi"/>
              <w:noProof/>
              <w:szCs w:val="24"/>
              <w:lang w:eastAsia="fr-FR"/>
            </w:rPr>
          </w:pPr>
          <w:hyperlink w:anchor="_Toc211202380" w:history="1">
            <w:r w:rsidRPr="00A1311D">
              <w:rPr>
                <w:rStyle w:val="Hyperlink"/>
                <w:noProof/>
              </w:rPr>
              <w:t>6.</w:t>
            </w:r>
            <w:r>
              <w:rPr>
                <w:rFonts w:asciiTheme="minorHAnsi" w:eastAsiaTheme="minorEastAsia" w:hAnsiTheme="minorHAnsi"/>
                <w:noProof/>
                <w:szCs w:val="24"/>
                <w:lang w:eastAsia="fr-FR"/>
              </w:rPr>
              <w:tab/>
            </w:r>
            <w:r w:rsidRPr="00A1311D">
              <w:rPr>
                <w:rStyle w:val="Hyperlink"/>
                <w:noProof/>
              </w:rPr>
              <w:t>Annexe</w:t>
            </w:r>
            <w:r>
              <w:rPr>
                <w:noProof/>
                <w:webHidden/>
              </w:rPr>
              <w:tab/>
            </w:r>
            <w:r>
              <w:rPr>
                <w:noProof/>
                <w:webHidden/>
              </w:rPr>
              <w:fldChar w:fldCharType="begin"/>
            </w:r>
            <w:r>
              <w:rPr>
                <w:noProof/>
                <w:webHidden/>
              </w:rPr>
              <w:instrText xml:space="preserve"> PAGEREF _Toc211202380 \h </w:instrText>
            </w:r>
            <w:r>
              <w:rPr>
                <w:noProof/>
                <w:webHidden/>
              </w:rPr>
            </w:r>
            <w:r>
              <w:rPr>
                <w:noProof/>
                <w:webHidden/>
              </w:rPr>
              <w:fldChar w:fldCharType="separate"/>
            </w:r>
            <w:r>
              <w:rPr>
                <w:noProof/>
                <w:webHidden/>
              </w:rPr>
              <w:t>8</w:t>
            </w:r>
            <w:r>
              <w:rPr>
                <w:noProof/>
                <w:webHidden/>
              </w:rPr>
              <w:fldChar w:fldCharType="end"/>
            </w:r>
          </w:hyperlink>
        </w:p>
        <w:p w14:paraId="7602C7B0" w14:textId="50C09EDB" w:rsidR="00243509" w:rsidRDefault="00243509" w:rsidP="00243509">
          <w:pPr>
            <w:rPr>
              <w:b/>
              <w:bCs/>
              <w:lang w:val="en-GB"/>
            </w:rPr>
          </w:pPr>
          <w:r>
            <w:rPr>
              <w:b/>
              <w:bCs/>
              <w:lang w:val="en-GB"/>
            </w:rPr>
            <w:fldChar w:fldCharType="end"/>
          </w:r>
        </w:p>
      </w:sdtContent>
    </w:sdt>
    <w:p w14:paraId="09384852" w14:textId="77777777" w:rsidR="00243509" w:rsidRPr="00657DA1" w:rsidRDefault="00243509" w:rsidP="008C5839">
      <w:pPr>
        <w:pStyle w:val="Heading1"/>
        <w:numPr>
          <w:ilvl w:val="0"/>
          <w:numId w:val="9"/>
        </w:numPr>
      </w:pPr>
      <w:bookmarkStart w:id="0" w:name="_Toc211202353"/>
      <w:r w:rsidRPr="007636A2">
        <w:lastRenderedPageBreak/>
        <w:t>Introduction</w:t>
      </w:r>
      <w:bookmarkEnd w:id="0"/>
    </w:p>
    <w:p w14:paraId="4488F5C1" w14:textId="77777777" w:rsidR="00C34BFD" w:rsidRDefault="00C34BFD" w:rsidP="00C34BFD">
      <w:pPr>
        <w:pStyle w:val="Heading2"/>
        <w:numPr>
          <w:ilvl w:val="1"/>
          <w:numId w:val="13"/>
        </w:numPr>
      </w:pPr>
      <w:bookmarkStart w:id="1" w:name="_Toc211202354"/>
      <w:r>
        <w:t>Contexte du stage</w:t>
      </w:r>
      <w:bookmarkEnd w:id="1"/>
    </w:p>
    <w:p w14:paraId="5C019A4A" w14:textId="77777777" w:rsidR="00C34BFD" w:rsidRDefault="00C34BFD" w:rsidP="00C34BFD"/>
    <w:p w14:paraId="082B4299" w14:textId="3EEB17EC" w:rsidR="005D3E52" w:rsidRDefault="00CD57EA" w:rsidP="00CD57EA">
      <w:pPr>
        <w:ind w:firstLine="360"/>
      </w:pPr>
      <w:r>
        <w:t xml:space="preserve">Le dispositif des certificats d’économie d’énergie (CEE) est un des principaux leviers du gouvernement afin de réduire la consommation énergétique de la France. Mise en place depuis 2005 par la loi de Programmation et Orientations de la Politique </w:t>
      </w:r>
      <w:r w:rsidRPr="00CD57EA">
        <w:t>Énergétique</w:t>
      </w:r>
      <w:r>
        <w:t>.</w:t>
      </w:r>
      <w:r w:rsidR="009A5DD0">
        <w:t xml:space="preserve"> Comme l’indique son nom il s’agit en réalité d’un papier certifiant qu’une économie d’énergie a été ou sera réalisée.</w:t>
      </w:r>
    </w:p>
    <w:p w14:paraId="46AE4B24" w14:textId="77777777" w:rsidR="009A5DD0" w:rsidRDefault="009A5DD0" w:rsidP="004A72CF"/>
    <w:p w14:paraId="62EC19EE" w14:textId="0191A9A6" w:rsidR="009A5DD0" w:rsidRDefault="009A5DD0" w:rsidP="009A5DD0">
      <w:pPr>
        <w:pStyle w:val="Heading3"/>
        <w:numPr>
          <w:ilvl w:val="2"/>
          <w:numId w:val="9"/>
        </w:numPr>
      </w:pPr>
      <w:bookmarkStart w:id="2" w:name="_Toc211202355"/>
      <w:r>
        <w:t>La production de CEE</w:t>
      </w:r>
      <w:bookmarkEnd w:id="2"/>
    </w:p>
    <w:p w14:paraId="5C549244" w14:textId="40A11E73" w:rsidR="001C6EF9" w:rsidRDefault="009A5DD0" w:rsidP="001C6EF9">
      <w:pPr>
        <w:ind w:firstLine="360"/>
      </w:pPr>
      <w:r>
        <w:t xml:space="preserve">La production de CEE est conventionnée par des fiches éditées par le ministère de la transition écologique qui normalise la production de CEE selon le type d’opérations effectuées. </w:t>
      </w:r>
      <w:r w:rsidR="00495776">
        <w:t xml:space="preserve"> Tout d’abord il y a la réalisation de travaux d’isolation énergétique, comme le calorifugeage </w:t>
      </w:r>
      <w:r>
        <w:t xml:space="preserve">ou bien l’isolation thermique des bâtiments qui permettent directement de consommer moins d’énergie lors de la période la plus critique énergétiquement pour la France : l’hiver. Il y a également des CEE qui sont produits via des processus moins attendus. Par exemple la rénovation de pommeaux de douches donne aussi lieu à la création de CEE dans le sens où elle permet une économie d’eau qui </w:t>
      </w:r>
      <w:r w:rsidR="001C6EF9">
        <w:t xml:space="preserve">amène </w:t>
      </w:r>
      <w:r>
        <w:t xml:space="preserve">à une consommation plus faible </w:t>
      </w:r>
      <w:r w:rsidR="001C6EF9">
        <w:t>d’énergie</w:t>
      </w:r>
      <w:r>
        <w:t>. On peut également citer un exemple très connu : BlaBlaCar. En effet le géant du covoiturage génère énormément de CEE par son activité qui permet l’économie d’énergie via le partage de véhicule.</w:t>
      </w:r>
      <w:r w:rsidR="001C6EF9">
        <w:t xml:space="preserve"> </w:t>
      </w:r>
    </w:p>
    <w:p w14:paraId="01777B52" w14:textId="6811D5F0" w:rsidR="001C6EF9" w:rsidRDefault="001C6EF9" w:rsidP="001C6EF9">
      <w:pPr>
        <w:ind w:firstLine="360"/>
      </w:pPr>
      <w:r>
        <w:t>Ces fiches normalisent la production de CEE qui sont quantifiés</w:t>
      </w:r>
      <w:r w:rsidR="008A13FB">
        <w:t xml:space="preserve"> en kilowattheure</w:t>
      </w:r>
      <w:r>
        <w:t xml:space="preserve"> cumulé et actualisé </w:t>
      </w:r>
      <w:r w:rsidR="008A13FB">
        <w:t>(</w:t>
      </w:r>
      <w:r>
        <w:t>kWh</w:t>
      </w:r>
      <w:r w:rsidR="008A13FB">
        <w:t>c)</w:t>
      </w:r>
      <w:r>
        <w:t xml:space="preserve"> qui est une méthode permettant </w:t>
      </w:r>
      <w:r w:rsidR="008A13FB">
        <w:t>d’estimer les économies d’énergie réalisées par un dispositif sur 20 ans en prenant en compte sa dégradation.</w:t>
      </w:r>
    </w:p>
    <w:p w14:paraId="6947976B" w14:textId="2D108B2E" w:rsidR="009A5DD0" w:rsidRDefault="00E75DBF" w:rsidP="009A5DD0">
      <w:pPr>
        <w:ind w:firstLine="360"/>
      </w:pPr>
      <w:r>
        <w:t>Dès que l’opération est réalisée, les CEE sont produits</w:t>
      </w:r>
      <w:r w:rsidR="001C6EF9">
        <w:t xml:space="preserve"> après une rapide vérification par un organisme d’état</w:t>
      </w:r>
      <w:r>
        <w:t>. Néanmoins p</w:t>
      </w:r>
      <w:r w:rsidR="009A5DD0">
        <w:t xml:space="preserve">our certaines de ces fiches, particulièrement celles </w:t>
      </w:r>
      <w:r>
        <w:t>comprenant des travaux, il faut faire certifier</w:t>
      </w:r>
      <w:r w:rsidR="001C6EF9">
        <w:t xml:space="preserve"> une deuxième fois</w:t>
      </w:r>
      <w:r>
        <w:t xml:space="preserve"> les travaux par un organisme nommé le COFRAC afin de valider définitivement les CEE. Si ces travaux ne sont pas validés par le COFRAC alors les CEE </w:t>
      </w:r>
      <w:r w:rsidR="00401E08">
        <w:t>sont annulés même s’ils ont été transférés et ne sont généralement pas remboursés. Les malfaçons sont donc un enjeu extrêmement important dans le milieu des CEE car ils impliquent une perte financière important</w:t>
      </w:r>
      <w:r w:rsidR="001C6EF9">
        <w:t>e</w:t>
      </w:r>
      <w:r w:rsidR="00401E08">
        <w:t xml:space="preserve"> du côté de l’acheteur.</w:t>
      </w:r>
    </w:p>
    <w:p w14:paraId="5820C596" w14:textId="6EB83621" w:rsidR="005D294F" w:rsidRDefault="005D294F" w:rsidP="001C6EF9">
      <w:pPr>
        <w:ind w:firstLine="360"/>
      </w:pPr>
      <w:r>
        <w:t>On distingue deux types de CEE : classique et précarité.</w:t>
      </w:r>
      <w:r>
        <w:t xml:space="preserve"> La particularité des CEE précarité et qu’ils peuvent être convertis</w:t>
      </w:r>
      <w:r w:rsidR="001C6EF9">
        <w:t xml:space="preserve"> en CEE classique. </w:t>
      </w:r>
      <w:r>
        <w:t>La plupart des fiches exotiques, (pommeaux de douche, covoiturage…) ne peuvent pas donner lieu à des CEE précarité. Ces derniers sont généralement produits par la réalisation de travaux sur des logements sociaux.</w:t>
      </w:r>
    </w:p>
    <w:p w14:paraId="0E81995F" w14:textId="77777777" w:rsidR="009A5DD0" w:rsidRDefault="009A5DD0" w:rsidP="00CD57EA">
      <w:pPr>
        <w:ind w:firstLine="360"/>
      </w:pPr>
    </w:p>
    <w:p w14:paraId="1F2D0FEB" w14:textId="2546E47A" w:rsidR="009A5DD0" w:rsidRDefault="009A5DD0" w:rsidP="009A5DD0">
      <w:pPr>
        <w:pStyle w:val="Heading3"/>
        <w:numPr>
          <w:ilvl w:val="2"/>
          <w:numId w:val="11"/>
        </w:numPr>
      </w:pPr>
      <w:bookmarkStart w:id="3" w:name="_Toc211202356"/>
      <w:r>
        <w:t>Obligation et obligés</w:t>
      </w:r>
      <w:bookmarkEnd w:id="3"/>
    </w:p>
    <w:p w14:paraId="511785F3" w14:textId="079C8B16" w:rsidR="00495776" w:rsidRDefault="001C6EF9" w:rsidP="001C6EF9">
      <w:pPr>
        <w:ind w:firstLine="360"/>
      </w:pPr>
      <w:r>
        <w:t xml:space="preserve">Le dispositif a pour but de faire financer les travaux d’économie d’énergie par les </w:t>
      </w:r>
      <w:r w:rsidR="00CD57EA">
        <w:t>fournisseurs d’énergie</w:t>
      </w:r>
      <w:r w:rsidR="00401E08">
        <w:t xml:space="preserve"> </w:t>
      </w:r>
      <w:r>
        <w:t>(</w:t>
      </w:r>
      <w:r w:rsidR="00401E08">
        <w:t>verte ou non</w:t>
      </w:r>
      <w:r>
        <w:t>)</w:t>
      </w:r>
      <w:r w:rsidR="00CD57EA">
        <w:t>, surnommés « obligés</w:t>
      </w:r>
      <w:r w:rsidR="008A13FB">
        <w:t> »</w:t>
      </w:r>
      <w:r w:rsidR="00495776">
        <w:t xml:space="preserve">. </w:t>
      </w:r>
    </w:p>
    <w:p w14:paraId="4C409708" w14:textId="0E7A921F" w:rsidR="00CD57EA" w:rsidRDefault="00CD57EA" w:rsidP="00CD57EA">
      <w:pPr>
        <w:ind w:firstLine="360"/>
      </w:pPr>
      <w:r>
        <w:lastRenderedPageBreak/>
        <w:t xml:space="preserve">Pour cela à chaque période, dont les dates de début et de fin sont </w:t>
      </w:r>
      <w:r w:rsidR="00495776">
        <w:t>fixées</w:t>
      </w:r>
      <w:r>
        <w:t xml:space="preserve"> par le ministère de l’environnement, chaque obligé doit remplir une obligation qui dépendra majoritairement des quantités et du type d’énergie qu’il aura mis à la consommation</w:t>
      </w:r>
      <w:r w:rsidR="009B4BE1">
        <w:t>. La formule peut changer à chaque période. Par exemple pour la période</w:t>
      </w:r>
      <w:r w:rsidR="00495776">
        <w:t xml:space="preserve"> n°5</w:t>
      </w:r>
      <w:r w:rsidR="009B4BE1">
        <w:t>, de 2022 à 2025</w:t>
      </w:r>
      <w:r w:rsidR="00495776">
        <w:t>, la méthode de calcul de l’obligation est la suivante :</w:t>
      </w:r>
    </w:p>
    <w:p w14:paraId="11CB8ED6" w14:textId="1CED0B7A" w:rsidR="00495776" w:rsidRPr="00495776" w:rsidRDefault="00495776" w:rsidP="00495776">
      <w:pPr>
        <w:rPr>
          <w:rFonts w:eastAsiaTheme="minorEastAsia"/>
        </w:rPr>
      </w:pPr>
      <m:oMathPara>
        <m:oMath>
          <m:r>
            <w:rPr>
              <w:rFonts w:ascii="Cambria Math" w:hAnsi="Cambria Math"/>
            </w:rPr>
            <m:t>O=</m:t>
          </m:r>
          <m:nary>
            <m:naryPr>
              <m:chr m:val="∑"/>
              <m:limLoc m:val="undOvr"/>
              <m:ctrlPr>
                <w:rPr>
                  <w:rFonts w:ascii="Cambria Math" w:hAnsi="Cambria Math"/>
                  <w:i/>
                </w:rPr>
              </m:ctrlPr>
            </m:naryPr>
            <m:sub>
              <m:r>
                <w:rPr>
                  <w:rFonts w:ascii="Cambria Math" w:hAnsi="Cambria Math"/>
                </w:rPr>
                <m:t>i=2022</m:t>
              </m:r>
            </m:sub>
            <m:sup>
              <m:r>
                <w:rPr>
                  <w:rFonts w:ascii="Cambria Math" w:hAnsi="Cambria Math"/>
                </w:rPr>
                <m:t>2025</m:t>
              </m:r>
            </m:sup>
            <m:e>
              <m:func>
                <m:funcPr>
                  <m:ctrlPr>
                    <w:rPr>
                      <w:rFonts w:ascii="Cambria Math" w:hAnsi="Cambria Math"/>
                      <w:i/>
                    </w:rPr>
                  </m:ctrlPr>
                </m:funcPr>
                <m:fName>
                  <m:r>
                    <m:rPr>
                      <m:sty m:val="p"/>
                    </m:rPr>
                    <w:rPr>
                      <w:rFonts w:ascii="Cambria Math" w:hAnsi="Cambria Math"/>
                    </w:rPr>
                    <m:t>max</m:t>
                  </m:r>
                </m:fName>
                <m:e>
                  <m:r>
                    <w:rPr>
                      <w:rFonts w:ascii="Cambria Math" w:hAnsi="Cambria Math"/>
                    </w:rPr>
                    <m:t>(0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func>
            </m:e>
          </m:nary>
        </m:oMath>
      </m:oMathPara>
    </w:p>
    <w:p w14:paraId="773D236F" w14:textId="0E604E23" w:rsidR="00495776" w:rsidRDefault="00495776" w:rsidP="00495776">
      <w:pPr>
        <w:rPr>
          <w:rFonts w:eastAsiaTheme="minorEastAsia"/>
        </w:rPr>
      </w:pPr>
      <w:r>
        <w:rPr>
          <w:rFonts w:eastAsiaTheme="minorEastAsia"/>
        </w:rPr>
        <w:t>Avec :</w:t>
      </w:r>
    </w:p>
    <w:p w14:paraId="30480B02" w14:textId="684DD4DD" w:rsidR="00495776" w:rsidRPr="00495776" w:rsidRDefault="00495776" w:rsidP="009D6EF4">
      <w:pPr>
        <w:pStyle w:val="ListParagraph"/>
        <w:numPr>
          <w:ilvl w:val="0"/>
          <w:numId w:val="18"/>
        </w:numPr>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9D6EF4">
        <w:rPr>
          <w:rFonts w:eastAsiaTheme="minorEastAsia"/>
        </w:rPr>
        <w:t xml:space="preserve"> : Volume de Vente sur l’année </w:t>
      </w:r>
      <m:oMath>
        <m:r>
          <w:rPr>
            <w:rFonts w:ascii="Cambria Math" w:eastAsiaTheme="minorEastAsia" w:hAnsi="Cambria Math"/>
          </w:rPr>
          <m:t>i</m:t>
        </m:r>
      </m:oMath>
    </w:p>
    <w:p w14:paraId="5670DAB0" w14:textId="5CA487E1" w:rsidR="00495776" w:rsidRDefault="00495776" w:rsidP="009D6EF4">
      <w:pPr>
        <w:pStyle w:val="ListParagraph"/>
        <w:numPr>
          <w:ilvl w:val="0"/>
          <w:numId w:val="18"/>
        </w:num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9D6EF4">
        <w:rPr>
          <w:rFonts w:eastAsiaTheme="minorEastAsia"/>
        </w:rPr>
        <w:t xml:space="preserve"> : </w:t>
      </w:r>
      <w:r w:rsidRPr="009D6EF4">
        <w:rPr>
          <w:rFonts w:eastAsiaTheme="minorEastAsia"/>
        </w:rPr>
        <w:t xml:space="preserve">Seuil de l’année </w:t>
      </w:r>
      <m:oMath>
        <m:r>
          <w:rPr>
            <w:rFonts w:ascii="Cambria Math" w:eastAsiaTheme="minorEastAsia" w:hAnsi="Cambria Math"/>
          </w:rPr>
          <m:t>i</m:t>
        </m:r>
      </m:oMath>
    </w:p>
    <w:p w14:paraId="33D3F790" w14:textId="74E752B9" w:rsidR="00495776" w:rsidRDefault="00495776" w:rsidP="009D6EF4">
      <w:pPr>
        <w:pStyle w:val="ListParagraph"/>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D6EF4">
        <w:rPr>
          <w:rFonts w:eastAsiaTheme="minorEastAsia"/>
        </w:rPr>
        <w:t xml:space="preserve"> : </w:t>
      </w:r>
      <w:r w:rsidRPr="009D6EF4">
        <w:rPr>
          <w:rFonts w:eastAsiaTheme="minorEastAsia"/>
        </w:rPr>
        <w:t xml:space="preserve">Forfait de </w:t>
      </w:r>
      <w:r w:rsidRPr="009D6EF4">
        <w:rPr>
          <w:rFonts w:eastAsiaTheme="minorEastAsia"/>
        </w:rPr>
        <w:t xml:space="preserve">l’année </w:t>
      </w:r>
      <m:oMath>
        <m:r>
          <w:rPr>
            <w:rFonts w:ascii="Cambria Math" w:eastAsiaTheme="minorEastAsia" w:hAnsi="Cambria Math"/>
          </w:rPr>
          <m:t>i</m:t>
        </m:r>
      </m:oMath>
    </w:p>
    <w:p w14:paraId="1D41850D" w14:textId="2F66A423" w:rsidR="00495776" w:rsidRPr="00F028B5" w:rsidRDefault="00495776" w:rsidP="009D6EF4">
      <w:pPr>
        <w:pStyle w:val="ListParagraph"/>
        <w:numPr>
          <w:ilvl w:val="0"/>
          <w:numId w:val="18"/>
        </w:numPr>
      </w:pPr>
      <m:oMath>
        <m:r>
          <w:rPr>
            <w:rFonts w:ascii="Cambria Math" w:hAnsi="Cambria Math"/>
          </w:rPr>
          <m:t>c</m:t>
        </m:r>
      </m:oMath>
      <w:r w:rsidRPr="009D6EF4">
        <w:rPr>
          <w:rFonts w:eastAsiaTheme="minorEastAsia"/>
        </w:rPr>
        <w:t> : Coefficient correctif appliqué pour calculer la volume sur lequel repose l’obligation</w:t>
      </w:r>
    </w:p>
    <w:p w14:paraId="1001616D" w14:textId="520CB3A9" w:rsidR="00F028B5" w:rsidRDefault="00F028B5" w:rsidP="00F028B5">
      <w:r>
        <w:t>De plus les obligés ont également une obligation à remplir en termes de CEE précarité dont la formule est la suivante :</w:t>
      </w:r>
    </w:p>
    <w:p w14:paraId="7D0964B9" w14:textId="1F8D737E" w:rsidR="00F028B5" w:rsidRPr="00495776" w:rsidRDefault="00F028B5" w:rsidP="00F028B5">
      <m:oMathPara>
        <m:oMath>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=O</m:t>
          </m:r>
          <m:d>
            <m:dPr>
              <m:ctrlPr>
                <w:rPr>
                  <w:rFonts w:ascii="Cambria Math" w:hAnsi="Cambria Math"/>
                  <w:i/>
                </w:rPr>
              </m:ctrlPr>
            </m:dPr>
            <m:e>
              <m:r>
                <w:rPr>
                  <w:rFonts w:ascii="Cambria Math" w:hAnsi="Cambria Math"/>
                </w:rPr>
                <m:t>2022</m:t>
              </m:r>
            </m:e>
          </m:d>
          <m:r>
            <w:rPr>
              <w:rFonts w:ascii="Cambria Math" w:hAnsi="Cambria Math"/>
            </w:rPr>
            <m:t xml:space="preserve">*0.412+ </m:t>
          </m:r>
          <m:nary>
            <m:naryPr>
              <m:chr m:val="∑"/>
              <m:limLoc m:val="undOvr"/>
              <m:ctrlPr>
                <w:rPr>
                  <w:rFonts w:ascii="Cambria Math" w:hAnsi="Cambria Math"/>
                  <w:i/>
                </w:rPr>
              </m:ctrlPr>
            </m:naryPr>
            <m:sub>
              <m:r>
                <w:rPr>
                  <w:rFonts w:ascii="Cambria Math" w:hAnsi="Cambria Math"/>
                </w:rPr>
                <m:t>i=202</m:t>
              </m:r>
              <m:r>
                <w:rPr>
                  <w:rFonts w:ascii="Cambria Math" w:hAnsi="Cambria Math"/>
                </w:rPr>
                <m:t>3</m:t>
              </m:r>
            </m:sub>
            <m:sup>
              <m:r>
                <w:rPr>
                  <w:rFonts w:ascii="Cambria Math" w:hAnsi="Cambria Math"/>
                </w:rPr>
                <m:t>2025</m:t>
              </m:r>
            </m:sup>
            <m:e>
              <m:r>
                <w:rPr>
                  <w:rFonts w:ascii="Cambria Math" w:hAnsi="Cambria Math"/>
                </w:rPr>
                <m:t>O</m:t>
              </m:r>
              <m:d>
                <m:dPr>
                  <m:ctrlPr>
                    <w:rPr>
                      <w:rFonts w:ascii="Cambria Math" w:hAnsi="Cambria Math"/>
                      <w:i/>
                    </w:rPr>
                  </m:ctrlPr>
                </m:dPr>
                <m:e>
                  <m:r>
                    <w:rPr>
                      <w:rFonts w:ascii="Cambria Math" w:hAnsi="Cambria Math"/>
                    </w:rPr>
                    <m:t>i</m:t>
                  </m:r>
                </m:e>
              </m:d>
              <m:r>
                <w:rPr>
                  <w:rFonts w:ascii="Cambria Math" w:hAnsi="Cambria Math"/>
                </w:rPr>
                <m:t>*0.6220</m:t>
              </m:r>
            </m:e>
          </m:nary>
          <m:r>
            <w:rPr>
              <w:rFonts w:ascii="Cambria Math" w:hAnsi="Cambria Math"/>
            </w:rPr>
            <m:t xml:space="preserve"> </m:t>
          </m:r>
        </m:oMath>
      </m:oMathPara>
    </w:p>
    <w:p w14:paraId="2C0264E4" w14:textId="6563F458" w:rsidR="00F028B5" w:rsidRDefault="00F028B5" w:rsidP="00495776">
      <w:r>
        <w:t>Avec :</w:t>
      </w:r>
    </w:p>
    <w:p w14:paraId="46FCA8AF" w14:textId="33A2AEE7" w:rsidR="00F028B5" w:rsidRDefault="00F028B5" w:rsidP="00F028B5">
      <w:pPr>
        <w:pStyle w:val="ListParagraph"/>
        <w:numPr>
          <w:ilvl w:val="0"/>
          <w:numId w:val="10"/>
        </w:numPr>
      </w:pPr>
      <m:oMath>
        <m:r>
          <w:rPr>
            <w:rFonts w:ascii="Cambria Math" w:hAnsi="Cambria Math"/>
          </w:rPr>
          <m:t>O(i)</m:t>
        </m:r>
      </m:oMath>
      <w:r>
        <w:rPr>
          <w:rFonts w:eastAsiaTheme="minorEastAsia"/>
        </w:rPr>
        <w:t xml:space="preserve"> : Obligation globale </w:t>
      </w:r>
      <w:r w:rsidR="00065A91">
        <w:rPr>
          <w:rFonts w:eastAsiaTheme="minorEastAsia"/>
        </w:rPr>
        <w:t xml:space="preserve">de l’année </w:t>
      </w:r>
      <m:oMath>
        <m:r>
          <w:rPr>
            <w:rFonts w:ascii="Cambria Math" w:eastAsiaTheme="minorEastAsia" w:hAnsi="Cambria Math"/>
          </w:rPr>
          <m:t>i</m:t>
        </m:r>
      </m:oMath>
    </w:p>
    <w:p w14:paraId="16B6996D" w14:textId="7DBEAB14" w:rsidR="009A5DD0" w:rsidRDefault="00065A91" w:rsidP="00495776">
      <w:r>
        <w:t>Les</w:t>
      </w:r>
      <w:r w:rsidR="00495776">
        <w:t xml:space="preserve"> différentes valeurs </w:t>
      </w:r>
      <w:r w:rsidR="00401E08">
        <w:t xml:space="preserve">dépendent du type d’énergie mise à la consommation et </w:t>
      </w:r>
      <w:r w:rsidR="00495776">
        <w:t xml:space="preserve">sont à retrouver dans le tableau en annexe COMPLETER. </w:t>
      </w:r>
    </w:p>
    <w:p w14:paraId="2847E12E" w14:textId="389B4C12" w:rsidR="004A72CF" w:rsidRDefault="004A72CF" w:rsidP="004A72CF">
      <w:pPr>
        <w:ind w:firstLine="708"/>
      </w:pPr>
      <w:r>
        <w:t xml:space="preserve">Grâce à l’achat des CEE par les obligés ceux qui réalisent les opérations d’économie d’énergie peuvent se financer auprès </w:t>
      </w:r>
      <w:r w:rsidR="00636EEF">
        <w:t>des fournisseurs</w:t>
      </w:r>
      <w:r>
        <w:t xml:space="preserve"> d’énergie et ainsi proposer une facture allégée au consommateur.</w:t>
      </w:r>
    </w:p>
    <w:p w14:paraId="20447DAD" w14:textId="77777777" w:rsidR="008A13FB" w:rsidRDefault="008A13FB" w:rsidP="00495776"/>
    <w:p w14:paraId="017486B6" w14:textId="33403A99" w:rsidR="009A5DD0" w:rsidRDefault="009A5DD0" w:rsidP="009A5DD0">
      <w:pPr>
        <w:pStyle w:val="Heading3"/>
        <w:numPr>
          <w:ilvl w:val="2"/>
          <w:numId w:val="12"/>
        </w:numPr>
      </w:pPr>
      <w:bookmarkStart w:id="4" w:name="_Toc211202357"/>
      <w:r>
        <w:t>Bénéfice et contestations</w:t>
      </w:r>
      <w:bookmarkEnd w:id="4"/>
    </w:p>
    <w:p w14:paraId="51BB8847" w14:textId="16B62BF5" w:rsidR="00495776" w:rsidRDefault="00F028B5" w:rsidP="00F028B5">
      <w:r>
        <w:t xml:space="preserve"> </w:t>
      </w:r>
      <w:r w:rsidR="00065A91">
        <w:tab/>
      </w:r>
      <w:r>
        <w:t>Les CEE ont permis de financer énormément de travaux de travaux de rénovation énergétique et en cela de rapprocher la France de ses objectifs de sobriété énergétique.</w:t>
      </w:r>
    </w:p>
    <w:p w14:paraId="3C5E6548" w14:textId="0A1DC400" w:rsidR="00065A91" w:rsidRDefault="00065A91" w:rsidP="00F028B5">
      <w:r>
        <w:tab/>
        <w:t xml:space="preserve">Cependant </w:t>
      </w:r>
      <w:r w:rsidR="004A72CF">
        <w:t xml:space="preserve">les CEE pâtissent des mêmes maux que le secteur de la construction. En effet les obligés lorsqu’il y a malfaçon, ou pire non-réalisation de travaux et donc détournement de l’argent destiné à ceux-ci, n’attaquent généralement pas en justice les entreprises à l’origine de ces troubles car elles sont trop petites et souvent en incapacité de payer les amendes qu’ils lui seront infligées. </w:t>
      </w:r>
    </w:p>
    <w:p w14:paraId="7824A7B4" w14:textId="7CC920DE" w:rsidR="004A72CF" w:rsidRDefault="004A72CF" w:rsidP="00F028B5">
      <w:r>
        <w:tab/>
        <w:t xml:space="preserve">De plus si les CEE sont payés par les entreprises fournisseuses d’énergie, ces dernières répercutent bien évidemment le prix de ces derniers sur la facture des consommateurs. </w:t>
      </w:r>
      <w:r w:rsidR="00636EEF">
        <w:t>Or</w:t>
      </w:r>
      <w:r>
        <w:t xml:space="preserve"> dans un contexte où le pouvoir d’achat est en baisse beaucoup de partis politiques souhaitent faire baisser la facture énergétique des Français mettant en péril le dispositif.</w:t>
      </w:r>
    </w:p>
    <w:p w14:paraId="08C9F38B" w14:textId="77777777" w:rsidR="00495776" w:rsidRDefault="00495776" w:rsidP="00CD57EA">
      <w:pPr>
        <w:ind w:firstLine="360"/>
      </w:pPr>
    </w:p>
    <w:p w14:paraId="25A6AE78" w14:textId="6B824DE3" w:rsidR="00C34BFD" w:rsidRDefault="00C34BFD" w:rsidP="00C34BFD">
      <w:pPr>
        <w:pStyle w:val="Heading2"/>
        <w:numPr>
          <w:ilvl w:val="1"/>
          <w:numId w:val="12"/>
        </w:numPr>
      </w:pPr>
      <w:bookmarkStart w:id="5" w:name="_Toc211202358"/>
      <w:r>
        <w:lastRenderedPageBreak/>
        <w:t>Le marché du CEE</w:t>
      </w:r>
      <w:bookmarkEnd w:id="5"/>
    </w:p>
    <w:p w14:paraId="06C9F267" w14:textId="77777777" w:rsidR="00C34BFD" w:rsidRDefault="00C34BFD" w:rsidP="00C34BFD">
      <w:pPr>
        <w:ind w:firstLine="360"/>
      </w:pPr>
      <w:r>
        <w:t>Le marché des CEE est un marché de gré à gré qui présente des particularités liées à la manière dont sont produits les CEE. On peut distinguer deux marchés : primaire et secondaire.</w:t>
      </w:r>
    </w:p>
    <w:p w14:paraId="75B9FBBB" w14:textId="77777777" w:rsidR="00C34BFD" w:rsidRDefault="00C34BFD" w:rsidP="00C34BFD"/>
    <w:p w14:paraId="7F2FBE12" w14:textId="232BDA37" w:rsidR="007C21DA" w:rsidRDefault="007C21DA" w:rsidP="007C21DA">
      <w:pPr>
        <w:pStyle w:val="Heading3"/>
        <w:numPr>
          <w:ilvl w:val="2"/>
          <w:numId w:val="12"/>
        </w:numPr>
      </w:pPr>
      <w:bookmarkStart w:id="6" w:name="_Toc211202359"/>
      <w:r>
        <w:t>Marché primaire</w:t>
      </w:r>
      <w:bookmarkEnd w:id="6"/>
    </w:p>
    <w:p w14:paraId="30B6630D" w14:textId="5845BAC0" w:rsidR="007C21DA" w:rsidRDefault="00246299" w:rsidP="00246299">
      <w:pPr>
        <w:ind w:firstLine="360"/>
      </w:pPr>
      <w:r>
        <w:t>Le marché primaire constitue une des sources premières de production de CEE. Il s’agit de préfinancement de travau</w:t>
      </w:r>
      <w:r w:rsidR="00EF29BE">
        <w:t>x</w:t>
      </w:r>
      <w:r>
        <w:t xml:space="preserve">. </w:t>
      </w:r>
      <w:r w:rsidR="00EF29BE">
        <w:t>Ce marché est extrêmement risqué pour l’organisme financeur puisqu’il avance de l’argent afin de financer des travaux or les entreprises dans le domaine de la construction ont souvent de très gros problèmes de trésorerie et peuvent disparaître du jour au lendemain. Cependant c’est aussi un levier important pour la réalisation des travaux puisqu’il permet justement une avance de trésorerie pour les installateurs qui en contrepartie revendent le CEE environ 60% moins cher.</w:t>
      </w:r>
    </w:p>
    <w:p w14:paraId="155D9DDB" w14:textId="77777777" w:rsidR="00EF29BE" w:rsidRDefault="00EF29BE" w:rsidP="00EF29BE"/>
    <w:p w14:paraId="4AE9B9A6" w14:textId="1F3D303A" w:rsidR="00EF29BE" w:rsidRDefault="00EF29BE" w:rsidP="00C34BFD">
      <w:pPr>
        <w:pStyle w:val="Heading3"/>
        <w:numPr>
          <w:ilvl w:val="2"/>
          <w:numId w:val="12"/>
        </w:numPr>
      </w:pPr>
      <w:bookmarkStart w:id="7" w:name="_Toc211202360"/>
      <w:r>
        <w:t xml:space="preserve">Marché </w:t>
      </w:r>
      <w:r>
        <w:t>Secondaire</w:t>
      </w:r>
      <w:bookmarkEnd w:id="7"/>
    </w:p>
    <w:p w14:paraId="21E3946A" w14:textId="552EEFCD" w:rsidR="00EF29BE" w:rsidRPr="005D3E52" w:rsidRDefault="00A40388" w:rsidP="00C34BFD">
      <w:pPr>
        <w:ind w:firstLine="360"/>
      </w:pPr>
      <w:r>
        <w:t xml:space="preserve">Le marché secondaire se comporte comme </w:t>
      </w:r>
      <w:r w:rsidR="00CF2EB7">
        <w:t xml:space="preserve">un </w:t>
      </w:r>
      <w:r>
        <w:t>marché</w:t>
      </w:r>
      <w:r w:rsidR="00CF2EB7">
        <w:t xml:space="preserve"> financier classique. Il s’agit de l’échange de CEE finis qui ont été revus par la COFRAC et qui ne présente quasiment aucun risque. On ne peut se limiter qu’à « quasiment » car le COFRAC peut annuler les CEE jusqu’à 10 ans après la réalisation des travaux.</w:t>
      </w:r>
    </w:p>
    <w:p w14:paraId="7122214E" w14:textId="7A11154C" w:rsidR="005D3E52" w:rsidRDefault="00CF2EB7" w:rsidP="00142664">
      <w:pPr>
        <w:ind w:firstLine="360"/>
      </w:pPr>
      <w:r>
        <w:t>OTC Flow est une entreprise</w:t>
      </w:r>
      <w:r w:rsidR="00142664">
        <w:t xml:space="preserve"> fondée à Amsterdam</w:t>
      </w:r>
      <w:r>
        <w:t xml:space="preserve"> </w:t>
      </w:r>
      <w:r w:rsidR="00142664">
        <w:t>qui s’est spécialisée dans le trading de commodités environnementales. Ils traitent une vaste partie des produits des commodités environnementaux : quotas carbones, biofuels et biocarburants.</w:t>
      </w:r>
    </w:p>
    <w:p w14:paraId="782FB39B" w14:textId="7219E3F5" w:rsidR="005A5513" w:rsidRDefault="00142664" w:rsidP="00C34BFD">
      <w:pPr>
        <w:ind w:firstLine="360"/>
      </w:pPr>
      <w:r>
        <w:t xml:space="preserve">Voyant le développement du marché des CEE en France OTC Flow a créé une succursale qui </w:t>
      </w:r>
      <w:r w:rsidR="005A5513">
        <w:t xml:space="preserve">représente désormais une majeure partie du chiffre d’affaires du groupe. </w:t>
      </w:r>
    </w:p>
    <w:p w14:paraId="2F2BE22D" w14:textId="00F2F834" w:rsidR="00142664" w:rsidRDefault="005A5513" w:rsidP="00C34BFD">
      <w:pPr>
        <w:ind w:firstLine="360"/>
      </w:pPr>
      <w:r>
        <w:t>Sur le marché des CEE</w:t>
      </w:r>
      <w:r w:rsidR="00142664">
        <w:t xml:space="preserve"> </w:t>
      </w:r>
      <w:r>
        <w:t>OTC Flow agit en tant que broker autant sur le marché primaire, réalisant la due diligence sur les installateurs et obtenant le préfinancement auprès des obligés</w:t>
      </w:r>
      <w:r w:rsidR="00C34BFD">
        <w:t xml:space="preserve">, que le marché secondaire où il match offre et demandes. </w:t>
      </w:r>
    </w:p>
    <w:p w14:paraId="216B84DD" w14:textId="43AF503C" w:rsidR="00C34BFD" w:rsidRDefault="00C34BFD" w:rsidP="00C34BFD">
      <w:pPr>
        <w:ind w:firstLine="360"/>
      </w:pPr>
      <w:r>
        <w:t xml:space="preserve">Il leur arrive également de prendre des prendre des </w:t>
      </w:r>
      <w:proofErr w:type="spellStart"/>
      <w:r>
        <w:t>trades</w:t>
      </w:r>
      <w:proofErr w:type="spellEnd"/>
      <w:r>
        <w:t xml:space="preserve"> ouverts sans contrepartie où ils assument le risque, c’est sur ces derniers que nous allons nous concentrer.</w:t>
      </w:r>
    </w:p>
    <w:p w14:paraId="01389493" w14:textId="77777777" w:rsidR="00EA597A" w:rsidRPr="005D3E52" w:rsidRDefault="00EA597A" w:rsidP="005D3E52"/>
    <w:p w14:paraId="162AD7F0" w14:textId="4B98546B" w:rsidR="006C340A" w:rsidRDefault="006C340A" w:rsidP="00C34BFD">
      <w:pPr>
        <w:pStyle w:val="Heading2"/>
        <w:numPr>
          <w:ilvl w:val="1"/>
          <w:numId w:val="12"/>
        </w:numPr>
      </w:pPr>
      <w:bookmarkStart w:id="8" w:name="_Toc211202361"/>
      <w:r>
        <w:t>Contexte du stage</w:t>
      </w:r>
      <w:bookmarkEnd w:id="8"/>
    </w:p>
    <w:p w14:paraId="434BB1A8" w14:textId="77777777" w:rsidR="008419D3" w:rsidRDefault="00C34BFD" w:rsidP="008419D3">
      <w:pPr>
        <w:ind w:firstLine="360"/>
      </w:pPr>
      <w:r>
        <w:t xml:space="preserve">Mon stage s’est déroulé au sein de l’équipe d’analystes dirigée par Simon Evanno. Durant </w:t>
      </w:r>
      <w:r w:rsidR="008419D3">
        <w:t>ce stage j’ai eu l’opportunité de travailler sur différentes problématiques dont la réflexion de l’architecture risque de l’entreprise, la visualisation de différentes métriques via un outil de visualisation.</w:t>
      </w:r>
    </w:p>
    <w:p w14:paraId="02339C14" w14:textId="0DFBE044" w:rsidR="008419D3" w:rsidRDefault="008419D3" w:rsidP="008419D3">
      <w:pPr>
        <w:ind w:firstLine="360"/>
      </w:pPr>
      <w:r>
        <w:t xml:space="preserve">Le marché des CEE n’étant pas un marché régulé par l’AMF nous avons beaucoup de libertés </w:t>
      </w:r>
      <w:r w:rsidR="00F65213">
        <w:t>quant</w:t>
      </w:r>
      <w:r>
        <w:t xml:space="preserve"> à nos prises de position sur le marché et avons voulu explorer les possibilités de stratégie de trading sur ce marché. Ce document vous présentera une des stratégies de trading envisagées.</w:t>
      </w:r>
    </w:p>
    <w:p w14:paraId="2B65209A" w14:textId="77777777" w:rsidR="00EA597A" w:rsidRPr="00572966" w:rsidRDefault="00EA597A" w:rsidP="00572966"/>
    <w:p w14:paraId="416B2400" w14:textId="27BAB20B" w:rsidR="005D3E52" w:rsidRDefault="00572966" w:rsidP="00C34BFD">
      <w:pPr>
        <w:pStyle w:val="Heading2"/>
        <w:numPr>
          <w:ilvl w:val="1"/>
          <w:numId w:val="12"/>
        </w:numPr>
      </w:pPr>
      <w:bookmarkStart w:id="9" w:name="_Toc211202362"/>
      <w:r>
        <w:lastRenderedPageBreak/>
        <w:t>Problématique</w:t>
      </w:r>
      <w:bookmarkEnd w:id="9"/>
    </w:p>
    <w:p w14:paraId="65B17D9B" w14:textId="19239579" w:rsidR="00EA597A" w:rsidRDefault="00F65213" w:rsidP="00EA597A">
      <w:r>
        <w:t>Dans le cadre de l’étude de différentes stratégies de trading nous avons envisagé d’implémenter des stratégies de trading en se basant sur la prédiction de séries temporelles.</w:t>
      </w:r>
    </w:p>
    <w:p w14:paraId="39552A2A" w14:textId="3D6DCF67" w:rsidR="00F65213" w:rsidRDefault="00F65213" w:rsidP="00EA597A">
      <w:r>
        <w:t>La problématique est donc la suivante :</w:t>
      </w:r>
    </w:p>
    <w:p w14:paraId="6213261E" w14:textId="16769DD1" w:rsidR="00F65213" w:rsidRDefault="00F65213" w:rsidP="00F65213">
      <w:pPr>
        <w:jc w:val="center"/>
      </w:pPr>
      <w:r>
        <w:t>Les outils de prédiction de séries temporelles permettent-ils de prédire de manière fiable les prix ? Cette prédiction permet-elle ensuite l’implémentation de stratégie de trading bénéfique ?</w:t>
      </w:r>
    </w:p>
    <w:p w14:paraId="79D7C94C" w14:textId="77777777" w:rsidR="00EA597A" w:rsidRPr="00EA597A" w:rsidRDefault="00EA597A" w:rsidP="00EA597A"/>
    <w:p w14:paraId="5B68233D" w14:textId="04EA27E5" w:rsidR="00657DA1" w:rsidRDefault="006C340A" w:rsidP="00C34BFD">
      <w:pPr>
        <w:pStyle w:val="Heading1"/>
        <w:numPr>
          <w:ilvl w:val="0"/>
          <w:numId w:val="12"/>
        </w:numPr>
      </w:pPr>
      <w:bookmarkStart w:id="10" w:name="_Toc211202363"/>
      <w:r>
        <w:t>Prédiction de séries temporelles</w:t>
      </w:r>
      <w:bookmarkEnd w:id="10"/>
    </w:p>
    <w:p w14:paraId="48377326" w14:textId="1A57B840" w:rsidR="006C340A" w:rsidRDefault="006C340A" w:rsidP="00C34BFD">
      <w:pPr>
        <w:pStyle w:val="Heading2"/>
        <w:numPr>
          <w:ilvl w:val="1"/>
          <w:numId w:val="12"/>
        </w:numPr>
      </w:pPr>
      <w:bookmarkStart w:id="11" w:name="_Toc211202364"/>
      <w:r w:rsidRPr="000F757D">
        <w:t>É</w:t>
      </w:r>
      <w:r>
        <w:t>tat de l’art</w:t>
      </w:r>
      <w:bookmarkEnd w:id="11"/>
    </w:p>
    <w:p w14:paraId="37B2D7AA" w14:textId="77777777" w:rsidR="00BC398C" w:rsidRDefault="00C75DE7" w:rsidP="00C75DE7">
      <w:pPr>
        <w:ind w:firstLine="360"/>
      </w:pPr>
      <w:r w:rsidRPr="00C75DE7">
        <w:t xml:space="preserve">La prédiction de séries temporelles a connu une évolution marquée, passant des modèles statistiques linéaires comme les modèles ARIMA, développés dans les années 1970, aux approches neuronales modernes. Les réseaux de neurones classiques ont ensuite permis de capturer des relations non linéaires, ouvrant la voie aux Réseaux de Neurones Récurrents (RNN), capables de modéliser les dépendances temporelles. </w:t>
      </w:r>
    </w:p>
    <w:p w14:paraId="2584DF53" w14:textId="0AF36D40" w:rsidR="00C75DE7" w:rsidRPr="00C75DE7" w:rsidRDefault="00C75DE7" w:rsidP="00C75DE7">
      <w:pPr>
        <w:ind w:firstLine="360"/>
      </w:pPr>
      <w:r w:rsidRPr="00C75DE7">
        <w:t>Cependant, les limites des RNN</w:t>
      </w:r>
      <w:r w:rsidR="00BC398C">
        <w:t xml:space="preserve"> de l’époque </w:t>
      </w:r>
      <w:r w:rsidRPr="00C75DE7">
        <w:t>ont conduit à l’émergence d’architectures avancées telles que le Long Short-</w:t>
      </w:r>
      <w:proofErr w:type="spellStart"/>
      <w:r w:rsidRPr="00C75DE7">
        <w:t>Term</w:t>
      </w:r>
      <w:proofErr w:type="spellEnd"/>
      <w:r w:rsidRPr="00C75DE7">
        <w:t xml:space="preserve"> Memory (LSTM) et le </w:t>
      </w:r>
      <w:proofErr w:type="spellStart"/>
      <w:r w:rsidRPr="00C75DE7">
        <w:t>Gated</w:t>
      </w:r>
      <w:proofErr w:type="spellEnd"/>
      <w:r w:rsidRPr="00C75DE7">
        <w:t xml:space="preserve"> </w:t>
      </w:r>
      <w:proofErr w:type="spellStart"/>
      <w:r w:rsidRPr="00C75DE7">
        <w:t>Recurrent</w:t>
      </w:r>
      <w:proofErr w:type="spellEnd"/>
      <w:r w:rsidRPr="00C75DE7">
        <w:t xml:space="preserve"> Unit (GRU), qui améliorent la gestion de la mémoire à long terme et représentent aujourd’hui des références majeures en prévision séquentielle.</w:t>
      </w:r>
    </w:p>
    <w:p w14:paraId="32F3B07A" w14:textId="54288D36" w:rsidR="005D3E52" w:rsidRDefault="005D3E52" w:rsidP="00C34BFD">
      <w:pPr>
        <w:pStyle w:val="Heading3"/>
        <w:numPr>
          <w:ilvl w:val="2"/>
          <w:numId w:val="12"/>
        </w:numPr>
      </w:pPr>
      <w:bookmarkStart w:id="12" w:name="_Toc211202365"/>
      <w:r>
        <w:t>Modèles de prédiction linéaire</w:t>
      </w:r>
      <w:bookmarkEnd w:id="12"/>
    </w:p>
    <w:p w14:paraId="3038A872" w14:textId="04B89CAF" w:rsidR="005D3E52" w:rsidRDefault="00BC398C" w:rsidP="00953DA6">
      <w:pPr>
        <w:ind w:firstLine="708"/>
      </w:pPr>
      <w:r>
        <w:t xml:space="preserve">Les modèles linéaires </w:t>
      </w:r>
      <w:r w:rsidR="00953DA6">
        <w:t xml:space="preserve">reposent </w:t>
      </w:r>
      <w:r>
        <w:t>sur le principe selon lequel la valeur future d’une variable peut être exprimée comme une combinaison linéaire de ses valeurs passées.</w:t>
      </w:r>
    </w:p>
    <w:p w14:paraId="22D2E128" w14:textId="0B25CA97" w:rsidR="00953DA6" w:rsidRDefault="00953DA6" w:rsidP="00EC7AE5">
      <w:pPr>
        <w:ind w:firstLine="708"/>
      </w:pPr>
      <w:r>
        <w:t>Les fondations du modèle linéaire remontent aux travaux de Yule (1927) et Walker (1931) qui introduisirent respectivement les modèles autorégressifs (AR) et à moyenne mobile (MA) dont les équations sont définies ci-dessous :</w:t>
      </w:r>
    </w:p>
    <w:p w14:paraId="6F32BAFF" w14:textId="77777777" w:rsidR="00D5580D" w:rsidRDefault="00D5580D" w:rsidP="00EC7AE5">
      <w:pPr>
        <w:ind w:firstLine="708"/>
      </w:pPr>
    </w:p>
    <w:p w14:paraId="1137B7EF" w14:textId="0A8A9D02" w:rsidR="00953DA6" w:rsidRPr="00772EE3" w:rsidRDefault="005D4F94" w:rsidP="00772EE3">
      <w:pPr>
        <w:pStyle w:val="ListParagraph"/>
        <w:numPr>
          <w:ilvl w:val="0"/>
          <w:numId w:val="10"/>
        </w:numPr>
        <w:jc w:val="center"/>
        <w:rPr>
          <w:lang w:val="en-GB"/>
        </w:rPr>
      </w:pPr>
      <w:r w:rsidRPr="00772EE3">
        <w:rPr>
          <w:lang w:val="en-GB"/>
        </w:rPr>
        <w:t>AR(p</w:t>
      </w:r>
      <w:proofErr w:type="gramStart"/>
      <w:r w:rsidRPr="00772EE3">
        <w:rPr>
          <w:lang w:val="en-GB"/>
        </w:rPr>
        <w:t>) :</w:t>
      </w:r>
      <w:proofErr w:type="gramEnd"/>
      <w:r w:rsidRPr="00772EE3">
        <w:rPr>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eastAsiaTheme="minorEastAsia" w:hAnsi="Cambria Math"/>
            <w:lang w:val="en-GB"/>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n-GB"/>
              </w:rPr>
              <m:t>=1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lang w:val="en-GB"/>
                  </w:rPr>
                  <m:t>-</m:t>
                </m:r>
                <m:r>
                  <w:rPr>
                    <w:rFonts w:ascii="Cambria Math" w:eastAsiaTheme="minorEastAsia" w:hAnsi="Cambria Math"/>
                  </w:rPr>
                  <m:t>i</m:t>
                </m:r>
              </m:sub>
            </m:sSub>
          </m:e>
        </m:nary>
        <m:r>
          <w:rPr>
            <w:rFonts w:ascii="Cambria Math" w:eastAsiaTheme="minorEastAsia" w:hAnsi="Cambria Math"/>
            <w:lang w:val="en-GB"/>
          </w:rPr>
          <m:t>+c+</m:t>
        </m:r>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t</m:t>
            </m:r>
          </m:sub>
        </m:sSub>
        <m:r>
          <w:rPr>
            <w:rFonts w:ascii="Cambria Math" w:eastAsiaTheme="minorEastAsia" w:hAnsi="Cambria Math"/>
            <w:lang w:val="en-GB"/>
          </w:rPr>
          <m:t xml:space="preserve"> </m:t>
        </m:r>
      </m:oMath>
    </w:p>
    <w:p w14:paraId="1FE26377" w14:textId="2ADDC8B4" w:rsidR="00772EE3" w:rsidRPr="00D5580D" w:rsidRDefault="005D4F94" w:rsidP="00D5580D">
      <w:pPr>
        <w:pStyle w:val="ListParagraph"/>
        <w:numPr>
          <w:ilvl w:val="0"/>
          <w:numId w:val="10"/>
        </w:numPr>
        <w:jc w:val="center"/>
        <w:rPr>
          <w:rFonts w:eastAsiaTheme="minorEastAsia"/>
          <w:lang w:val="en-GB"/>
        </w:rPr>
      </w:pPr>
      <w:r w:rsidRPr="00772EE3">
        <w:t xml:space="preserve">MA(q) :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t</m:t>
            </m:r>
          </m:sub>
        </m:sSub>
        <m:r>
          <w:rPr>
            <w:rFonts w:ascii="Cambria Math" w:hAnsi="Cambria Math"/>
          </w:rPr>
          <m:t>=</m:t>
        </m:r>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rPr>
              <m:t>=</m:t>
            </m:r>
            <m:r>
              <w:rPr>
                <w:rFonts w:ascii="Cambria Math" w:hAnsi="Cambria Math"/>
              </w:rPr>
              <m:t>0</m:t>
            </m:r>
          </m:sub>
          <m:sup>
            <m:r>
              <w:rPr>
                <w:rFonts w:ascii="Cambria Math" w:hAnsi="Cambria Math"/>
                <w:lang w:val="en-GB"/>
              </w:rPr>
              <m:t>q</m:t>
            </m:r>
          </m:sup>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t</m:t>
                </m:r>
                <m:r>
                  <w:rPr>
                    <w:rFonts w:ascii="Cambria Math" w:hAnsi="Cambria Math"/>
                  </w:rPr>
                  <m:t>-</m:t>
                </m:r>
                <m:r>
                  <w:rPr>
                    <w:rFonts w:ascii="Cambria Math" w:hAnsi="Cambria Math"/>
                    <w:lang w:val="en-GB"/>
                  </w:rPr>
                  <m:t>i</m:t>
                </m:r>
              </m:sub>
            </m:sSub>
          </m:e>
        </m:nary>
        <m:r>
          <w:rPr>
            <w:rFonts w:ascii="Cambria Math" w:hAnsi="Cambria Math"/>
          </w:rPr>
          <m:t>+</m:t>
        </m:r>
        <m:r>
          <w:rPr>
            <w:rFonts w:ascii="Cambria Math" w:hAnsi="Cambria Math"/>
            <w:lang w:val="en-GB"/>
          </w:rPr>
          <m:t>μ</m:t>
        </m:r>
      </m:oMath>
    </w:p>
    <w:p w14:paraId="7A2E6BB4" w14:textId="77777777" w:rsidR="00D5580D" w:rsidRDefault="00D5580D" w:rsidP="00772EE3"/>
    <w:p w14:paraId="046675FA" w14:textId="19695D56" w:rsidR="00EA597A" w:rsidRDefault="00772EE3" w:rsidP="00772EE3">
      <w:r>
        <w:t xml:space="preserve">Dans les années 1970 Box et Jenkins ont formalisé et popularisé une famille de modèles </w:t>
      </w:r>
      <w:r w:rsidRPr="00772EE3">
        <w:t>ARIMA</w:t>
      </w:r>
      <w:r>
        <w:t xml:space="preserve"> </w:t>
      </w:r>
      <w:r w:rsidRPr="00772EE3">
        <w:t>(</w:t>
      </w:r>
      <w:proofErr w:type="spellStart"/>
      <w:r w:rsidRPr="00772EE3">
        <w:t>AutoRegressive</w:t>
      </w:r>
      <w:proofErr w:type="spellEnd"/>
      <w:r w:rsidRPr="00772EE3">
        <w:t xml:space="preserve"> Integrated Moving </w:t>
      </w:r>
      <w:proofErr w:type="spellStart"/>
      <w:r w:rsidRPr="00772EE3">
        <w:t>Average</w:t>
      </w:r>
      <w:proofErr w:type="spellEnd"/>
      <w:r w:rsidRPr="00772EE3">
        <w:t>) en proposant une méthodolo</w:t>
      </w:r>
      <w:r>
        <w:t>gie complète.</w:t>
      </w:r>
      <w:r w:rsidR="00D5580D">
        <w:t xml:space="preserve"> </w:t>
      </w:r>
      <w:proofErr w:type="gramStart"/>
      <w:r w:rsidR="00D5580D">
        <w:t>ARIMA(</w:t>
      </w:r>
      <w:proofErr w:type="gramEnd"/>
      <w:r w:rsidR="00D5580D">
        <w:t>p, d, q) combine trois parties :</w:t>
      </w:r>
    </w:p>
    <w:p w14:paraId="0E25021C" w14:textId="591F8F6D" w:rsidR="00D5580D" w:rsidRDefault="00D5580D" w:rsidP="00D5580D">
      <w:pPr>
        <w:pStyle w:val="ListParagraph"/>
        <w:numPr>
          <w:ilvl w:val="0"/>
          <w:numId w:val="16"/>
        </w:numPr>
      </w:pPr>
      <w:r>
        <w:t>Une composante autorégressive (AR) d’ordre p</w:t>
      </w:r>
    </w:p>
    <w:p w14:paraId="41764F93" w14:textId="73614C4B" w:rsidR="00D5580D" w:rsidRDefault="00D5580D" w:rsidP="00D5580D">
      <w:pPr>
        <w:pStyle w:val="ListParagraph"/>
        <w:numPr>
          <w:ilvl w:val="0"/>
          <w:numId w:val="16"/>
        </w:numPr>
      </w:pPr>
      <w:r>
        <w:t>Une composante intégrée (I) d’ordre d, représentant la différenciation de la série pour la rendre stationnaire</w:t>
      </w:r>
    </w:p>
    <w:p w14:paraId="2AA377BC" w14:textId="7EDEA86E" w:rsidR="00D5580D" w:rsidRDefault="00D5580D" w:rsidP="00D5580D">
      <w:pPr>
        <w:pStyle w:val="ListParagraph"/>
        <w:numPr>
          <w:ilvl w:val="0"/>
          <w:numId w:val="16"/>
        </w:numPr>
      </w:pPr>
      <w:r>
        <w:t>Une composante moyenne mobile (MA) d’ordre q</w:t>
      </w:r>
    </w:p>
    <w:p w14:paraId="1B89078E" w14:textId="77777777" w:rsidR="008104B9" w:rsidRDefault="008104B9" w:rsidP="00D5580D"/>
    <w:p w14:paraId="0D5F7A1A" w14:textId="04D5DCEC" w:rsidR="008104B9" w:rsidRDefault="00D5580D" w:rsidP="00D5580D">
      <w:r>
        <w:lastRenderedPageBreak/>
        <w:t>La forme générale d’ARIMA est donné par :</w:t>
      </w:r>
    </w:p>
    <w:p w14:paraId="53AAED0D" w14:textId="38AC399F" w:rsidR="00D5580D" w:rsidRPr="009D6EF4" w:rsidRDefault="008104B9" w:rsidP="00D5580D">
      <w:pPr>
        <w:rPr>
          <w:rFonts w:eastAsiaTheme="minorEastAsia"/>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q</m:t>
              </m:r>
            </m:sub>
          </m:sSub>
          <m:d>
            <m:dPr>
              <m:ctrlPr>
                <w:rPr>
                  <w:rFonts w:ascii="Cambria Math" w:hAnsi="Cambria Math"/>
                  <w:i/>
                </w:rPr>
              </m:ctrlPr>
            </m:dPr>
            <m:e>
              <m:r>
                <w:rPr>
                  <w:rFonts w:ascii="Cambria Math" w:hAnsi="Cambria Math"/>
                </w:rPr>
                <m:t>B</m:t>
              </m:r>
            </m:e>
          </m:d>
          <m:sSub>
            <m:sSubPr>
              <m:ctrlPr>
                <w:rPr>
                  <w:rFonts w:ascii="Cambria Math" w:eastAsiaTheme="minorEastAsia" w:hAnsi="Cambria Math"/>
                  <w:i/>
                </w:rPr>
              </m:ctrlPr>
            </m:sSubPr>
            <m:e>
              <m:r>
                <w:rPr>
                  <w:rFonts w:ascii="Cambria Math" w:hAnsi="Cambria Math"/>
                </w:rPr>
                <m:t>ϵ</m:t>
              </m:r>
              <m:ctrlPr>
                <w:rPr>
                  <w:rFonts w:ascii="Cambria Math" w:hAnsi="Cambria Math"/>
                  <w:i/>
                </w:rPr>
              </m:ctrlPr>
            </m:e>
            <m:sub>
              <m:r>
                <w:rPr>
                  <w:rFonts w:ascii="Cambria Math" w:eastAsiaTheme="minorEastAsia" w:hAnsi="Cambria Math"/>
                </w:rPr>
                <m:t>t</m:t>
              </m:r>
            </m:sub>
          </m:sSub>
        </m:oMath>
      </m:oMathPara>
    </w:p>
    <w:p w14:paraId="339D7F3F" w14:textId="5E342269" w:rsidR="009D6EF4" w:rsidRDefault="009D6EF4" w:rsidP="00D5580D">
      <w:pPr>
        <w:rPr>
          <w:rFonts w:eastAsiaTheme="minorEastAsia"/>
        </w:rPr>
      </w:pPr>
      <w:r>
        <w:rPr>
          <w:rFonts w:eastAsiaTheme="minorEastAsia"/>
        </w:rPr>
        <w:t>Avec :</w:t>
      </w:r>
    </w:p>
    <w:p w14:paraId="05FD59BD" w14:textId="5700BFB7" w:rsidR="009D6EF4" w:rsidRDefault="009D6EF4" w:rsidP="009D6EF4">
      <w:pPr>
        <w:pStyle w:val="ListParagraph"/>
        <w:numPr>
          <w:ilvl w:val="0"/>
          <w:numId w:val="1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m:t>
        </m:r>
      </m:oMath>
      <w:r>
        <w:rPr>
          <w:rFonts w:eastAsiaTheme="minorEastAsia"/>
        </w:rPr>
        <w:t>: valeur observée à l’instant t</w:t>
      </w:r>
    </w:p>
    <w:p w14:paraId="5335A3C0" w14:textId="29BD4D99" w:rsidR="009D6EF4" w:rsidRDefault="009D6EF4" w:rsidP="009D6EF4">
      <w:pPr>
        <w:pStyle w:val="ListParagraph"/>
        <w:numPr>
          <w:ilvl w:val="0"/>
          <w:numId w:val="1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w:r>
        <w:rPr>
          <w:rFonts w:eastAsiaTheme="minorEastAsia"/>
        </w:rPr>
        <w:t> : bruit blanc</w:t>
      </w:r>
    </w:p>
    <w:p w14:paraId="3E7BCF5D" w14:textId="51A0627A" w:rsidR="009D6EF4" w:rsidRDefault="009D6EF4" w:rsidP="009D6EF4">
      <w:pPr>
        <w:pStyle w:val="ListParagraph"/>
        <w:numPr>
          <w:ilvl w:val="0"/>
          <w:numId w:val="17"/>
        </w:numPr>
        <w:rPr>
          <w:rFonts w:eastAsiaTheme="minorEastAsia"/>
        </w:rPr>
      </w:pPr>
      <m:oMath>
        <m:r>
          <w:rPr>
            <w:rFonts w:ascii="Cambria Math" w:eastAsiaTheme="minorEastAsia" w:hAnsi="Cambria Math"/>
          </w:rPr>
          <m:t>B</m:t>
        </m:r>
      </m:oMath>
      <w:r>
        <w:rPr>
          <w:rFonts w:eastAsiaTheme="minorEastAsia"/>
        </w:rPr>
        <w:t xml:space="preserve"> : l’opérateur de retard défini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p>
    <w:p w14:paraId="485C8420" w14:textId="288718FD" w:rsidR="009D6EF4" w:rsidRDefault="009D6EF4" w:rsidP="009D6EF4">
      <w:pPr>
        <w:pStyle w:val="ListParagraph"/>
        <w:numPr>
          <w:ilvl w:val="0"/>
          <w:numId w:val="17"/>
        </w:num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p</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oMath>
      <w:r w:rsidRPr="009D6EF4">
        <w:rPr>
          <w:rFonts w:eastAsiaTheme="minorEastAsia"/>
        </w:rPr>
        <w:t xml:space="preserve"> polynôm</w:t>
      </w:r>
      <w:r>
        <w:rPr>
          <w:rFonts w:eastAsiaTheme="minorEastAsia"/>
        </w:rPr>
        <w:t xml:space="preserve">e autorégressif </w:t>
      </w:r>
    </w:p>
    <w:p w14:paraId="7A427E58" w14:textId="0297C77C" w:rsidR="009D6EF4" w:rsidRDefault="009D6EF4" w:rsidP="009D6EF4">
      <w:pPr>
        <w:pStyle w:val="ListParagraph"/>
        <w:numPr>
          <w:ilvl w:val="0"/>
          <w:numId w:val="17"/>
        </w:num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q</m:t>
            </m:r>
          </m:sup>
        </m:sSub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Pr="009D6EF4">
        <w:rPr>
          <w:rFonts w:eastAsiaTheme="minorEastAsia"/>
        </w:rPr>
        <w:t xml:space="preserve"> polynôm</w:t>
      </w:r>
      <w:r>
        <w:rPr>
          <w:rFonts w:eastAsiaTheme="minorEastAsia"/>
        </w:rPr>
        <w:t>e de moyenne mobile</w:t>
      </w:r>
    </w:p>
    <w:p w14:paraId="29D43266" w14:textId="21741D98" w:rsidR="009D6EF4" w:rsidRDefault="009D6EF4" w:rsidP="009D6EF4">
      <w:pPr>
        <w:pStyle w:val="ListParagraph"/>
        <w:numPr>
          <w:ilvl w:val="0"/>
          <w:numId w:val="17"/>
        </w:numPr>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1-B</m:t>
                </m:r>
              </m:e>
            </m:d>
          </m:e>
          <m:sup>
            <m:r>
              <w:rPr>
                <w:rFonts w:ascii="Cambria Math" w:eastAsiaTheme="minorEastAsia" w:hAnsi="Cambria Math"/>
              </w:rPr>
              <m:t>d</m:t>
            </m:r>
          </m:sup>
        </m:sSup>
      </m:oMath>
      <w:r>
        <w:rPr>
          <w:rFonts w:eastAsiaTheme="minorEastAsia"/>
        </w:rPr>
        <w:t xml:space="preserve"> représente la différenciation d’ordre d appliquée à la série</w:t>
      </w:r>
    </w:p>
    <w:p w14:paraId="7B0B53F4" w14:textId="21A00E56" w:rsidR="009D6EF4" w:rsidRPr="009D6EF4" w:rsidRDefault="00421C80" w:rsidP="00D5580D">
      <w:pPr>
        <w:rPr>
          <w:rFonts w:eastAsiaTheme="minorEastAsia"/>
        </w:rPr>
      </w:pPr>
      <w:r>
        <w:rPr>
          <w:rFonts w:eastAsiaTheme="minorEastAsia"/>
        </w:rPr>
        <w:t xml:space="preserve">Dans le processus </w:t>
      </w:r>
    </w:p>
    <w:p w14:paraId="3B170BCF" w14:textId="77777777" w:rsidR="008104B9" w:rsidRPr="009D6EF4" w:rsidRDefault="008104B9" w:rsidP="00D5580D">
      <w:pPr>
        <w:rPr>
          <w:rFonts w:eastAsiaTheme="minorEastAsia"/>
        </w:rPr>
      </w:pPr>
    </w:p>
    <w:p w14:paraId="065A3386" w14:textId="77777777" w:rsidR="00772EE3" w:rsidRPr="009D6EF4" w:rsidRDefault="00772EE3" w:rsidP="00772EE3">
      <w:pPr>
        <w:pStyle w:val="ListBullet"/>
        <w:numPr>
          <w:ilvl w:val="0"/>
          <w:numId w:val="0"/>
        </w:numPr>
        <w:ind w:left="360" w:hanging="360"/>
      </w:pPr>
    </w:p>
    <w:p w14:paraId="5C39B998" w14:textId="07EEE0F9" w:rsidR="005D3E52" w:rsidRDefault="00572966" w:rsidP="00C34BFD">
      <w:pPr>
        <w:pStyle w:val="Heading3"/>
        <w:numPr>
          <w:ilvl w:val="2"/>
          <w:numId w:val="12"/>
        </w:numPr>
        <w:rPr>
          <w:lang w:val="en-GB"/>
        </w:rPr>
      </w:pPr>
      <w:bookmarkStart w:id="13" w:name="_Toc211202366"/>
      <w:r w:rsidRPr="00837098">
        <w:rPr>
          <w:lang w:val="en-GB"/>
        </w:rPr>
        <w:t>Recurrent</w:t>
      </w:r>
      <w:r w:rsidR="005D3E52" w:rsidRPr="00837098">
        <w:rPr>
          <w:lang w:val="en-GB"/>
        </w:rPr>
        <w:t xml:space="preserve"> Neural Networks (RNN)</w:t>
      </w:r>
      <w:bookmarkEnd w:id="13"/>
    </w:p>
    <w:p w14:paraId="6320D87D" w14:textId="39DAC9D7" w:rsidR="00E33B93" w:rsidRDefault="00E33B93" w:rsidP="008C5839">
      <w:pPr>
        <w:rPr>
          <w:lang w:val="en-GB"/>
        </w:rPr>
      </w:pPr>
      <w:proofErr w:type="spellStart"/>
      <w:r>
        <w:rPr>
          <w:lang w:val="en-GB"/>
        </w:rPr>
        <w:t>Pourquoi</w:t>
      </w:r>
      <w:proofErr w:type="spellEnd"/>
      <w:r>
        <w:rPr>
          <w:lang w:val="en-GB"/>
        </w:rPr>
        <w:t xml:space="preserve"> </w:t>
      </w:r>
      <w:r>
        <w:rPr>
          <w:lang w:val="en-GB"/>
        </w:rPr>
        <w:tab/>
      </w:r>
    </w:p>
    <w:p w14:paraId="66909EDC" w14:textId="48FE6977" w:rsidR="008C5839" w:rsidRDefault="00E33B93" w:rsidP="008C5839">
      <w:pPr>
        <w:rPr>
          <w:lang w:val="en-GB"/>
        </w:rPr>
      </w:pPr>
      <w:r>
        <w:rPr>
          <w:lang w:val="en-GB"/>
        </w:rPr>
        <w:t>Vanishing gradient</w:t>
      </w:r>
    </w:p>
    <w:p w14:paraId="399D2B94" w14:textId="77777777" w:rsidR="00EA597A" w:rsidRPr="008C5839" w:rsidRDefault="00EA597A" w:rsidP="008C5839">
      <w:pPr>
        <w:rPr>
          <w:lang w:val="en-GB"/>
        </w:rPr>
      </w:pPr>
    </w:p>
    <w:p w14:paraId="0309E305" w14:textId="74AA5E15" w:rsidR="005D3E52" w:rsidRDefault="00837098" w:rsidP="00C34BFD">
      <w:pPr>
        <w:pStyle w:val="Heading4"/>
        <w:numPr>
          <w:ilvl w:val="3"/>
          <w:numId w:val="12"/>
        </w:numPr>
        <w:rPr>
          <w:lang w:val="en-GB"/>
        </w:rPr>
      </w:pPr>
      <w:r w:rsidRPr="00837098">
        <w:rPr>
          <w:lang w:val="en-GB"/>
        </w:rPr>
        <w:t>Lo</w:t>
      </w:r>
      <w:r>
        <w:rPr>
          <w:lang w:val="en-GB"/>
        </w:rPr>
        <w:t>ng Short-Term Memory (LSTM)</w:t>
      </w:r>
    </w:p>
    <w:p w14:paraId="7740576A" w14:textId="77777777" w:rsidR="008C5839" w:rsidRDefault="008C5839" w:rsidP="008C5839">
      <w:pPr>
        <w:rPr>
          <w:lang w:val="en-GB"/>
        </w:rPr>
      </w:pPr>
    </w:p>
    <w:p w14:paraId="5EBDBAFB" w14:textId="77777777" w:rsidR="00EA597A" w:rsidRPr="008C5839" w:rsidRDefault="00EA597A" w:rsidP="008C5839">
      <w:pPr>
        <w:rPr>
          <w:lang w:val="en-GB"/>
        </w:rPr>
      </w:pPr>
    </w:p>
    <w:p w14:paraId="073B13BF" w14:textId="6CC9A1C3" w:rsidR="00837098" w:rsidRDefault="00837098" w:rsidP="00C34BFD">
      <w:pPr>
        <w:pStyle w:val="Heading4"/>
        <w:numPr>
          <w:ilvl w:val="3"/>
          <w:numId w:val="12"/>
        </w:numPr>
        <w:rPr>
          <w:lang w:val="en-GB"/>
        </w:rPr>
      </w:pPr>
      <w:r w:rsidRPr="00837098">
        <w:rPr>
          <w:lang w:val="en-GB"/>
        </w:rPr>
        <w:t>Gated Recurrent Unit (GRU)</w:t>
      </w:r>
    </w:p>
    <w:p w14:paraId="44CCD0A9" w14:textId="77777777" w:rsidR="008C5839" w:rsidRDefault="008C5839" w:rsidP="008C5839">
      <w:pPr>
        <w:rPr>
          <w:lang w:val="en-GB"/>
        </w:rPr>
      </w:pPr>
    </w:p>
    <w:p w14:paraId="68E5DE51" w14:textId="77777777" w:rsidR="00EA597A" w:rsidRPr="008C5839" w:rsidRDefault="00EA597A" w:rsidP="008C5839">
      <w:pPr>
        <w:rPr>
          <w:lang w:val="en-GB"/>
        </w:rPr>
      </w:pPr>
    </w:p>
    <w:p w14:paraId="200ED1CE" w14:textId="48764065" w:rsidR="008C5839" w:rsidRDefault="00EA597A" w:rsidP="00C34BFD">
      <w:pPr>
        <w:pStyle w:val="Heading2"/>
        <w:numPr>
          <w:ilvl w:val="1"/>
          <w:numId w:val="12"/>
        </w:numPr>
      </w:pPr>
      <w:bookmarkStart w:id="14" w:name="_Toc211202367"/>
      <w:r>
        <w:t>Méthodologie</w:t>
      </w:r>
      <w:bookmarkEnd w:id="14"/>
    </w:p>
    <w:p w14:paraId="0D431F06" w14:textId="43517D5A" w:rsidR="008C5839" w:rsidRDefault="00EA597A" w:rsidP="00C34BFD">
      <w:pPr>
        <w:pStyle w:val="Heading3"/>
        <w:numPr>
          <w:ilvl w:val="2"/>
          <w:numId w:val="12"/>
        </w:numPr>
      </w:pPr>
      <w:bookmarkStart w:id="15" w:name="_Toc211202368"/>
      <w:r>
        <w:t>Méthodologie</w:t>
      </w:r>
      <w:r w:rsidR="008C5839">
        <w:t xml:space="preserve"> globale</w:t>
      </w:r>
      <w:bookmarkEnd w:id="15"/>
    </w:p>
    <w:p w14:paraId="4435B0FE" w14:textId="77777777" w:rsidR="005D294F" w:rsidRDefault="005D294F" w:rsidP="005D294F"/>
    <w:p w14:paraId="72296E23" w14:textId="77777777" w:rsidR="005D294F" w:rsidRDefault="005D294F" w:rsidP="005D294F"/>
    <w:p w14:paraId="0994BC8B" w14:textId="60B12923" w:rsidR="005D294F" w:rsidRPr="005D294F" w:rsidRDefault="005D294F" w:rsidP="00C34BFD">
      <w:pPr>
        <w:pStyle w:val="Heading3"/>
        <w:numPr>
          <w:ilvl w:val="2"/>
          <w:numId w:val="12"/>
        </w:numPr>
      </w:pPr>
      <w:bookmarkStart w:id="16" w:name="_Toc211202369"/>
      <w:r>
        <w:t>Données</w:t>
      </w:r>
      <w:bookmarkEnd w:id="16"/>
    </w:p>
    <w:p w14:paraId="0CF5F8FD" w14:textId="77777777" w:rsidR="008C5839" w:rsidRDefault="008C5839" w:rsidP="008C5839"/>
    <w:p w14:paraId="7FCC1034" w14:textId="77777777" w:rsidR="00EA597A" w:rsidRPr="008C5839" w:rsidRDefault="00EA597A" w:rsidP="008C5839"/>
    <w:p w14:paraId="29F784D3" w14:textId="5D7BEAE2" w:rsidR="008C5839" w:rsidRDefault="008C5839" w:rsidP="00C34BFD">
      <w:pPr>
        <w:pStyle w:val="Heading3"/>
        <w:numPr>
          <w:ilvl w:val="2"/>
          <w:numId w:val="12"/>
        </w:numPr>
      </w:pPr>
      <w:bookmarkStart w:id="17" w:name="_Toc211202370"/>
      <w:r>
        <w:t>ARIMA</w:t>
      </w:r>
      <w:bookmarkEnd w:id="17"/>
    </w:p>
    <w:p w14:paraId="4F6B9876" w14:textId="77777777" w:rsidR="008C5839" w:rsidRDefault="008C5839" w:rsidP="008C5839"/>
    <w:p w14:paraId="78134AAA" w14:textId="77777777" w:rsidR="00EA597A" w:rsidRPr="008C5839" w:rsidRDefault="00EA597A" w:rsidP="008C5839"/>
    <w:p w14:paraId="17AF5903" w14:textId="7EFC15D7" w:rsidR="008C5839" w:rsidRDefault="008C5839" w:rsidP="00C34BFD">
      <w:pPr>
        <w:pStyle w:val="Heading3"/>
        <w:numPr>
          <w:ilvl w:val="2"/>
          <w:numId w:val="12"/>
        </w:numPr>
      </w:pPr>
      <w:bookmarkStart w:id="18" w:name="_Toc211202371"/>
      <w:r>
        <w:lastRenderedPageBreak/>
        <w:t>GRU</w:t>
      </w:r>
      <w:bookmarkEnd w:id="18"/>
    </w:p>
    <w:p w14:paraId="32523835" w14:textId="77777777" w:rsidR="008C5839" w:rsidRDefault="008C5839" w:rsidP="008C5839"/>
    <w:p w14:paraId="25B0A1E1" w14:textId="77777777" w:rsidR="00EA597A" w:rsidRPr="008C5839" w:rsidRDefault="00EA597A" w:rsidP="008C5839"/>
    <w:p w14:paraId="3CF69112" w14:textId="278E2DE4" w:rsidR="008C5839" w:rsidRDefault="008C5839" w:rsidP="00C34BFD">
      <w:pPr>
        <w:pStyle w:val="Heading3"/>
        <w:numPr>
          <w:ilvl w:val="2"/>
          <w:numId w:val="12"/>
        </w:numPr>
      </w:pPr>
      <w:bookmarkStart w:id="19" w:name="_Toc211202372"/>
      <w:r>
        <w:t>LSTM</w:t>
      </w:r>
      <w:bookmarkEnd w:id="19"/>
    </w:p>
    <w:p w14:paraId="35E95337" w14:textId="77777777" w:rsidR="00EA597A" w:rsidRDefault="00EA597A" w:rsidP="00EA597A"/>
    <w:p w14:paraId="138E346F" w14:textId="77777777" w:rsidR="00EA597A" w:rsidRPr="00EA597A" w:rsidRDefault="00EA597A" w:rsidP="00EA597A"/>
    <w:p w14:paraId="78113D43" w14:textId="3DCEDBC7" w:rsidR="00EA597A" w:rsidRDefault="00EA597A" w:rsidP="00C34BFD">
      <w:pPr>
        <w:pStyle w:val="Heading2"/>
        <w:numPr>
          <w:ilvl w:val="1"/>
          <w:numId w:val="12"/>
        </w:numPr>
      </w:pPr>
      <w:bookmarkStart w:id="20" w:name="_Toc211202373"/>
      <w:r>
        <w:t>Résultats</w:t>
      </w:r>
      <w:bookmarkEnd w:id="20"/>
    </w:p>
    <w:p w14:paraId="769E272C" w14:textId="3C62D52E" w:rsidR="00EA597A" w:rsidRDefault="00EA597A" w:rsidP="00EA597A"/>
    <w:p w14:paraId="741A2C85" w14:textId="77777777" w:rsidR="00EA597A" w:rsidRPr="00EA597A" w:rsidRDefault="00EA597A" w:rsidP="00EA597A"/>
    <w:p w14:paraId="286837E9" w14:textId="2179760A" w:rsidR="00EA597A" w:rsidRDefault="00EA597A" w:rsidP="00C34BFD">
      <w:pPr>
        <w:pStyle w:val="Heading1"/>
        <w:numPr>
          <w:ilvl w:val="0"/>
          <w:numId w:val="12"/>
        </w:numPr>
      </w:pPr>
      <w:bookmarkStart w:id="21" w:name="_Toc211202374"/>
      <w:r>
        <w:t>Stratégie de trading</w:t>
      </w:r>
      <w:bookmarkEnd w:id="21"/>
    </w:p>
    <w:p w14:paraId="684090D5" w14:textId="4F670234" w:rsidR="00EA597A" w:rsidRDefault="00952E4E" w:rsidP="00C34BFD">
      <w:pPr>
        <w:pStyle w:val="Heading2"/>
        <w:numPr>
          <w:ilvl w:val="1"/>
          <w:numId w:val="12"/>
        </w:numPr>
      </w:pPr>
      <w:bookmarkStart w:id="22" w:name="_Toc211202375"/>
      <w:r>
        <w:t>Construction du signal</w:t>
      </w:r>
      <w:bookmarkEnd w:id="22"/>
    </w:p>
    <w:p w14:paraId="79E3E803" w14:textId="77777777" w:rsidR="00EA597A" w:rsidRDefault="00EA597A" w:rsidP="00EA597A"/>
    <w:p w14:paraId="24B93801" w14:textId="77777777" w:rsidR="00EA597A" w:rsidRPr="00EA597A" w:rsidRDefault="00EA597A" w:rsidP="00EA597A"/>
    <w:p w14:paraId="2C2B5147" w14:textId="62FD181D" w:rsidR="00EA597A" w:rsidRDefault="00EA597A" w:rsidP="00C34BFD">
      <w:pPr>
        <w:pStyle w:val="Heading2"/>
        <w:numPr>
          <w:ilvl w:val="1"/>
          <w:numId w:val="12"/>
        </w:numPr>
      </w:pPr>
      <w:bookmarkStart w:id="23" w:name="_Toc211202376"/>
      <w:proofErr w:type="spellStart"/>
      <w:r>
        <w:t>Backtest</w:t>
      </w:r>
      <w:bookmarkEnd w:id="23"/>
      <w:proofErr w:type="spellEnd"/>
    </w:p>
    <w:p w14:paraId="7A82B25E" w14:textId="77777777" w:rsidR="00EA597A" w:rsidRDefault="00EA597A" w:rsidP="00EA597A"/>
    <w:p w14:paraId="504DFEB9" w14:textId="77777777" w:rsidR="00EA597A" w:rsidRPr="00EA597A" w:rsidRDefault="00EA597A" w:rsidP="00EA597A"/>
    <w:p w14:paraId="36D770F9" w14:textId="08FDCF2A" w:rsidR="00EA597A" w:rsidRDefault="00EA597A" w:rsidP="00C34BFD">
      <w:pPr>
        <w:pStyle w:val="Heading2"/>
        <w:numPr>
          <w:ilvl w:val="1"/>
          <w:numId w:val="12"/>
        </w:numPr>
      </w:pPr>
      <w:bookmarkStart w:id="24" w:name="_Toc211202377"/>
      <w:r>
        <w:t>Résultats</w:t>
      </w:r>
      <w:bookmarkEnd w:id="24"/>
    </w:p>
    <w:p w14:paraId="767C2029" w14:textId="77777777" w:rsidR="00EA597A" w:rsidRDefault="00EA597A" w:rsidP="00EA597A"/>
    <w:p w14:paraId="4565ACFC" w14:textId="77777777" w:rsidR="00EA597A" w:rsidRPr="00EA597A" w:rsidRDefault="00EA597A" w:rsidP="00EA597A"/>
    <w:p w14:paraId="1702616F" w14:textId="496C5D1A" w:rsidR="00EA597A" w:rsidRDefault="00EA597A" w:rsidP="00C34BFD">
      <w:pPr>
        <w:pStyle w:val="Heading1"/>
        <w:numPr>
          <w:ilvl w:val="0"/>
          <w:numId w:val="12"/>
        </w:numPr>
      </w:pPr>
      <w:bookmarkStart w:id="25" w:name="_Toc211202378"/>
      <w:r>
        <w:t>Conclusion</w:t>
      </w:r>
      <w:bookmarkEnd w:id="25"/>
    </w:p>
    <w:p w14:paraId="73DBF473" w14:textId="77777777" w:rsidR="00EA597A" w:rsidRDefault="00EA597A" w:rsidP="00EA597A"/>
    <w:p w14:paraId="57BDFDD4" w14:textId="77777777" w:rsidR="00EA597A" w:rsidRPr="00EA597A" w:rsidRDefault="00EA597A" w:rsidP="00EA597A"/>
    <w:p w14:paraId="5160B019" w14:textId="48D7C428" w:rsidR="00EA597A" w:rsidRDefault="00EA597A" w:rsidP="00C34BFD">
      <w:pPr>
        <w:pStyle w:val="Heading1"/>
        <w:numPr>
          <w:ilvl w:val="0"/>
          <w:numId w:val="12"/>
        </w:numPr>
      </w:pPr>
      <w:bookmarkStart w:id="26" w:name="_Toc211202379"/>
      <w:r>
        <w:t>Bibliographie</w:t>
      </w:r>
      <w:bookmarkEnd w:id="26"/>
    </w:p>
    <w:p w14:paraId="05194ABE" w14:textId="77777777" w:rsidR="00EA597A" w:rsidRDefault="00EA597A" w:rsidP="00EA597A"/>
    <w:p w14:paraId="789B7059" w14:textId="77777777" w:rsidR="00EA597A" w:rsidRPr="00EA597A" w:rsidRDefault="00EA597A" w:rsidP="00EA597A"/>
    <w:p w14:paraId="61149D5F" w14:textId="75C93C8A" w:rsidR="005D294F" w:rsidRDefault="005D294F" w:rsidP="00EA597A"/>
    <w:p w14:paraId="442474F1" w14:textId="77777777" w:rsidR="005D294F" w:rsidRDefault="005D294F">
      <w:pPr>
        <w:spacing w:before="0" w:after="160"/>
        <w:jc w:val="left"/>
      </w:pPr>
      <w:r>
        <w:br w:type="page"/>
      </w:r>
    </w:p>
    <w:p w14:paraId="45A7104D" w14:textId="77777777" w:rsidR="005D294F" w:rsidRDefault="005D294F" w:rsidP="00C34BFD">
      <w:pPr>
        <w:pStyle w:val="Heading1"/>
        <w:numPr>
          <w:ilvl w:val="0"/>
          <w:numId w:val="12"/>
        </w:numPr>
      </w:pPr>
      <w:bookmarkStart w:id="27" w:name="_Toc211202380"/>
      <w:r>
        <w:lastRenderedPageBreak/>
        <w:t>Annexe</w:t>
      </w:r>
      <w:bookmarkEnd w:id="27"/>
    </w:p>
    <w:p w14:paraId="35293024" w14:textId="77777777" w:rsidR="005D294F" w:rsidRDefault="005D294F" w:rsidP="00C34BFD">
      <w:pPr>
        <w:pStyle w:val="ListParagraph"/>
        <w:numPr>
          <w:ilvl w:val="0"/>
          <w:numId w:val="12"/>
        </w:numPr>
      </w:pPr>
      <w:r w:rsidRPr="00495776">
        <w:drawing>
          <wp:inline distT="0" distB="0" distL="0" distR="0" wp14:anchorId="1B24868C" wp14:editId="634A64BA">
            <wp:extent cx="5760720" cy="5787390"/>
            <wp:effectExtent l="0" t="0" r="0" b="3810"/>
            <wp:docPr id="152670428" name="Picture 1" descr="A white sheet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0428" name="Picture 1" descr="A white sheet with numbers and numbers&#10;&#10;AI-generated content may be incorrect."/>
                    <pic:cNvPicPr/>
                  </pic:nvPicPr>
                  <pic:blipFill>
                    <a:blip r:embed="rId8"/>
                    <a:stretch>
                      <a:fillRect/>
                    </a:stretch>
                  </pic:blipFill>
                  <pic:spPr>
                    <a:xfrm>
                      <a:off x="0" y="0"/>
                      <a:ext cx="5760720" cy="5787390"/>
                    </a:xfrm>
                    <a:prstGeom prst="rect">
                      <a:avLst/>
                    </a:prstGeom>
                  </pic:spPr>
                </pic:pic>
              </a:graphicData>
            </a:graphic>
          </wp:inline>
        </w:drawing>
      </w:r>
    </w:p>
    <w:p w14:paraId="0828AA93" w14:textId="77777777" w:rsidR="005D294F" w:rsidRPr="005D3E52" w:rsidRDefault="005D294F" w:rsidP="00C34BFD">
      <w:pPr>
        <w:pStyle w:val="ListParagraph"/>
        <w:numPr>
          <w:ilvl w:val="0"/>
          <w:numId w:val="12"/>
        </w:numPr>
      </w:pPr>
      <w:r w:rsidRPr="00E75DBF">
        <w:t>https://www.ecologie.gouv.fr/sites/default/files/documents/Note%20de%20Calcul%20obligation%20P5.pdf</w:t>
      </w:r>
    </w:p>
    <w:p w14:paraId="28C3ACCF" w14:textId="77777777" w:rsidR="00EA597A" w:rsidRDefault="00EA597A" w:rsidP="00EA597A"/>
    <w:p w14:paraId="1249D7F3" w14:textId="77777777" w:rsidR="00EA597A" w:rsidRPr="00EA597A" w:rsidRDefault="00EA597A" w:rsidP="00EA597A"/>
    <w:p w14:paraId="2300A070" w14:textId="77777777" w:rsidR="00EA597A" w:rsidRDefault="00EA597A" w:rsidP="00EA597A"/>
    <w:p w14:paraId="7E7A59E4" w14:textId="77777777" w:rsidR="00EA597A" w:rsidRPr="00EA597A" w:rsidRDefault="00EA597A" w:rsidP="00EA597A"/>
    <w:p w14:paraId="1D2193AF" w14:textId="77777777" w:rsidR="00EA597A" w:rsidRPr="00EA597A" w:rsidRDefault="00EA597A" w:rsidP="00EA597A"/>
    <w:p w14:paraId="554236E3" w14:textId="77777777" w:rsidR="00EA597A" w:rsidRPr="00EA597A" w:rsidRDefault="00EA597A" w:rsidP="00EA597A"/>
    <w:p w14:paraId="6182F581" w14:textId="77777777" w:rsidR="00EA597A" w:rsidRPr="00EA597A" w:rsidRDefault="00EA597A" w:rsidP="00EA597A"/>
    <w:p w14:paraId="78BFC368" w14:textId="77777777" w:rsidR="008C5839" w:rsidRPr="008C5839" w:rsidRDefault="008C5839" w:rsidP="008C5839"/>
    <w:sectPr w:rsidR="008C5839" w:rsidRPr="008C5839" w:rsidSect="00BC398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CDBA6" w14:textId="77777777" w:rsidR="006278A0" w:rsidRDefault="006278A0" w:rsidP="00243509">
      <w:pPr>
        <w:spacing w:before="0" w:after="0" w:line="240" w:lineRule="auto"/>
      </w:pPr>
      <w:r>
        <w:separator/>
      </w:r>
    </w:p>
  </w:endnote>
  <w:endnote w:type="continuationSeparator" w:id="0">
    <w:p w14:paraId="59CA0338" w14:textId="77777777" w:rsidR="006278A0" w:rsidRDefault="006278A0" w:rsidP="00243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45581" w14:textId="77777777" w:rsidR="00243509" w:rsidRPr="00243509" w:rsidRDefault="00243509">
    <w:pPr>
      <w:pStyle w:val="Footer"/>
      <w:jc w:val="center"/>
      <w:rPr>
        <w:caps/>
      </w:rPr>
    </w:pPr>
    <w:r w:rsidRPr="00243509">
      <w:rPr>
        <w:caps/>
      </w:rPr>
      <w:fldChar w:fldCharType="begin"/>
    </w:r>
    <w:r w:rsidRPr="00243509">
      <w:rPr>
        <w:caps/>
      </w:rPr>
      <w:instrText>PAGE   \* MERGEFORMAT</w:instrText>
    </w:r>
    <w:r w:rsidRPr="00243509">
      <w:rPr>
        <w:caps/>
      </w:rPr>
      <w:fldChar w:fldCharType="separate"/>
    </w:r>
    <w:r w:rsidRPr="00243509">
      <w:rPr>
        <w:caps/>
      </w:rPr>
      <w:t>2</w:t>
    </w:r>
    <w:r w:rsidRPr="00243509">
      <w:rPr>
        <w:caps/>
      </w:rPr>
      <w:fldChar w:fldCharType="end"/>
    </w:r>
  </w:p>
  <w:p w14:paraId="44B566A6" w14:textId="77777777" w:rsidR="00243509" w:rsidRDefault="00243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0E7C0" w14:textId="77777777" w:rsidR="006278A0" w:rsidRDefault="006278A0" w:rsidP="00243509">
      <w:pPr>
        <w:spacing w:before="0" w:after="0" w:line="240" w:lineRule="auto"/>
      </w:pPr>
      <w:r>
        <w:separator/>
      </w:r>
    </w:p>
  </w:footnote>
  <w:footnote w:type="continuationSeparator" w:id="0">
    <w:p w14:paraId="3E90F3F0" w14:textId="77777777" w:rsidR="006278A0" w:rsidRDefault="006278A0" w:rsidP="002435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F570E" w14:textId="3E2DACA0" w:rsidR="00243509" w:rsidRDefault="00243509">
    <w:pPr>
      <w:pStyle w:val="Header"/>
    </w:pPr>
    <w:r>
      <w:t>MS FGR</w:t>
    </w:r>
    <w:r>
      <w:ptab w:relativeTo="margin" w:alignment="center" w:leader="none"/>
    </w:r>
    <w:r>
      <w:t>Hugo Briec</w:t>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C7A9C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C08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82F21"/>
    <w:multiLevelType w:val="hybridMultilevel"/>
    <w:tmpl w:val="77CEB89C"/>
    <w:lvl w:ilvl="0" w:tplc="A5E4A6C8">
      <w:start w:val="1"/>
      <w:numFmt w:val="decimal"/>
      <w:lvlText w:val="%1.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0B3F27D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CD1EC9"/>
    <w:multiLevelType w:val="hybridMultilevel"/>
    <w:tmpl w:val="79041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E467B3"/>
    <w:multiLevelType w:val="hybridMultilevel"/>
    <w:tmpl w:val="25A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22F9B"/>
    <w:multiLevelType w:val="multilevel"/>
    <w:tmpl w:val="F20C37F2"/>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8D963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4F057A"/>
    <w:multiLevelType w:val="hybridMultilevel"/>
    <w:tmpl w:val="B470E2A0"/>
    <w:lvl w:ilvl="0" w:tplc="8458BB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9F042A"/>
    <w:multiLevelType w:val="hybridMultilevel"/>
    <w:tmpl w:val="55C4A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832D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B77FC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99775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EE19D3"/>
    <w:multiLevelType w:val="hybridMultilevel"/>
    <w:tmpl w:val="1B029DDA"/>
    <w:lvl w:ilvl="0" w:tplc="F06E57D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9720FD"/>
    <w:multiLevelType w:val="hybridMultilevel"/>
    <w:tmpl w:val="A322C7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62077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1D22AA"/>
    <w:multiLevelType w:val="hybridMultilevel"/>
    <w:tmpl w:val="3BAC8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F11C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327357">
    <w:abstractNumId w:val="8"/>
  </w:num>
  <w:num w:numId="2" w16cid:durableId="1500123229">
    <w:abstractNumId w:val="2"/>
  </w:num>
  <w:num w:numId="3" w16cid:durableId="1615792440">
    <w:abstractNumId w:val="15"/>
  </w:num>
  <w:num w:numId="4" w16cid:durableId="2081322605">
    <w:abstractNumId w:val="3"/>
  </w:num>
  <w:num w:numId="5" w16cid:durableId="1508444923">
    <w:abstractNumId w:val="6"/>
  </w:num>
  <w:num w:numId="6" w16cid:durableId="755828152">
    <w:abstractNumId w:val="5"/>
  </w:num>
  <w:num w:numId="7" w16cid:durableId="901260000">
    <w:abstractNumId w:val="12"/>
  </w:num>
  <w:num w:numId="8" w16cid:durableId="1122840967">
    <w:abstractNumId w:val="14"/>
  </w:num>
  <w:num w:numId="9" w16cid:durableId="2026201962">
    <w:abstractNumId w:val="11"/>
  </w:num>
  <w:num w:numId="10" w16cid:durableId="394595734">
    <w:abstractNumId w:val="13"/>
  </w:num>
  <w:num w:numId="11" w16cid:durableId="850267450">
    <w:abstractNumId w:val="1"/>
  </w:num>
  <w:num w:numId="12" w16cid:durableId="1006175916">
    <w:abstractNumId w:val="7"/>
  </w:num>
  <w:num w:numId="13" w16cid:durableId="1404790362">
    <w:abstractNumId w:val="10"/>
  </w:num>
  <w:num w:numId="14" w16cid:durableId="1034232204">
    <w:abstractNumId w:val="17"/>
  </w:num>
  <w:num w:numId="15" w16cid:durableId="1471749240">
    <w:abstractNumId w:val="0"/>
  </w:num>
  <w:num w:numId="16" w16cid:durableId="2007244665">
    <w:abstractNumId w:val="9"/>
  </w:num>
  <w:num w:numId="17" w16cid:durableId="1126119397">
    <w:abstractNumId w:val="4"/>
  </w:num>
  <w:num w:numId="18" w16cid:durableId="1340346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AA"/>
    <w:rsid w:val="00065A91"/>
    <w:rsid w:val="000F757D"/>
    <w:rsid w:val="00142664"/>
    <w:rsid w:val="001C6EF9"/>
    <w:rsid w:val="00205EC9"/>
    <w:rsid w:val="00243509"/>
    <w:rsid w:val="00246299"/>
    <w:rsid w:val="00272264"/>
    <w:rsid w:val="002B4ADC"/>
    <w:rsid w:val="002B4B9D"/>
    <w:rsid w:val="00364ADC"/>
    <w:rsid w:val="00401E08"/>
    <w:rsid w:val="00421638"/>
    <w:rsid w:val="00421C80"/>
    <w:rsid w:val="00440CA7"/>
    <w:rsid w:val="0046190E"/>
    <w:rsid w:val="00495776"/>
    <w:rsid w:val="004A72CF"/>
    <w:rsid w:val="00572966"/>
    <w:rsid w:val="005A5513"/>
    <w:rsid w:val="005D294F"/>
    <w:rsid w:val="005D3E52"/>
    <w:rsid w:val="005D4F94"/>
    <w:rsid w:val="006107CC"/>
    <w:rsid w:val="006278A0"/>
    <w:rsid w:val="00636EEF"/>
    <w:rsid w:val="00657DA1"/>
    <w:rsid w:val="006B68B0"/>
    <w:rsid w:val="006C06AA"/>
    <w:rsid w:val="006C340A"/>
    <w:rsid w:val="006C527B"/>
    <w:rsid w:val="007636A2"/>
    <w:rsid w:val="00772EE3"/>
    <w:rsid w:val="007C21DA"/>
    <w:rsid w:val="008104B9"/>
    <w:rsid w:val="00822C12"/>
    <w:rsid w:val="00837098"/>
    <w:rsid w:val="008419D3"/>
    <w:rsid w:val="008A13FB"/>
    <w:rsid w:val="008C5839"/>
    <w:rsid w:val="008E2D22"/>
    <w:rsid w:val="00952E4E"/>
    <w:rsid w:val="00953DA6"/>
    <w:rsid w:val="009A5DD0"/>
    <w:rsid w:val="009B4BE1"/>
    <w:rsid w:val="009D6EF4"/>
    <w:rsid w:val="00A40388"/>
    <w:rsid w:val="00BC398C"/>
    <w:rsid w:val="00C34BFD"/>
    <w:rsid w:val="00C75DE7"/>
    <w:rsid w:val="00C86770"/>
    <w:rsid w:val="00CA2DE3"/>
    <w:rsid w:val="00CD57EA"/>
    <w:rsid w:val="00CF2EB7"/>
    <w:rsid w:val="00D5580D"/>
    <w:rsid w:val="00D80B67"/>
    <w:rsid w:val="00E33B93"/>
    <w:rsid w:val="00E75DBF"/>
    <w:rsid w:val="00EA597A"/>
    <w:rsid w:val="00EC7AE5"/>
    <w:rsid w:val="00EF29BE"/>
    <w:rsid w:val="00F028B5"/>
    <w:rsid w:val="00F61F8D"/>
    <w:rsid w:val="00F652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9EB3"/>
  <w15:chartTrackingRefBased/>
  <w15:docId w15:val="{13089EBF-A073-4F8D-A8A3-22D37CA8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EA"/>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7636A2"/>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657DA1"/>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657DA1"/>
    <w:pPr>
      <w:keepNext/>
      <w:keepLines/>
      <w:spacing w:before="160" w:after="80"/>
      <w:outlineLvl w:val="2"/>
    </w:pPr>
    <w:rPr>
      <w:rFonts w:eastAsiaTheme="majorEastAsia" w:cstheme="majorBidi"/>
      <w:i/>
      <w:color w:val="000000" w:themeColor="text1"/>
      <w:sz w:val="28"/>
      <w:szCs w:val="28"/>
    </w:rPr>
  </w:style>
  <w:style w:type="paragraph" w:styleId="Heading4">
    <w:name w:val="heading 4"/>
    <w:basedOn w:val="Normal"/>
    <w:next w:val="Normal"/>
    <w:link w:val="Heading4Char"/>
    <w:uiPriority w:val="9"/>
    <w:unhideWhenUsed/>
    <w:qFormat/>
    <w:rsid w:val="00657DA1"/>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6C0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09"/>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657DA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7DA1"/>
    <w:rPr>
      <w:rFonts w:ascii="Times New Roman" w:eastAsiaTheme="majorEastAsia" w:hAnsi="Times New Roman" w:cstheme="majorBidi"/>
      <w:i/>
      <w:color w:val="000000" w:themeColor="text1"/>
      <w:sz w:val="28"/>
      <w:szCs w:val="28"/>
    </w:rPr>
  </w:style>
  <w:style w:type="character" w:customStyle="1" w:styleId="Heading4Char">
    <w:name w:val="Heading 4 Char"/>
    <w:basedOn w:val="DefaultParagraphFont"/>
    <w:link w:val="Heading4"/>
    <w:uiPriority w:val="9"/>
    <w:rsid w:val="00657DA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6C0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6AA"/>
    <w:rPr>
      <w:rFonts w:eastAsiaTheme="majorEastAsia" w:cstheme="majorBidi"/>
      <w:color w:val="272727" w:themeColor="text1" w:themeTint="D8"/>
    </w:rPr>
  </w:style>
  <w:style w:type="paragraph" w:styleId="Title">
    <w:name w:val="Title"/>
    <w:aliases w:val="Heading3"/>
    <w:basedOn w:val="Normal"/>
    <w:next w:val="Normal"/>
    <w:link w:val="TitleChar"/>
    <w:uiPriority w:val="10"/>
    <w:qFormat/>
    <w:rsid w:val="00243509"/>
    <w:pPr>
      <w:spacing w:after="80" w:line="240" w:lineRule="auto"/>
      <w:ind w:left="1416"/>
      <w:contextualSpacing/>
    </w:pPr>
    <w:rPr>
      <w:rFonts w:eastAsiaTheme="majorEastAsia" w:cstheme="majorBidi"/>
      <w:i/>
      <w:color w:val="000000" w:themeColor="text1"/>
      <w:spacing w:val="-10"/>
      <w:kern w:val="28"/>
      <w:sz w:val="28"/>
      <w:szCs w:val="56"/>
    </w:rPr>
  </w:style>
  <w:style w:type="character" w:customStyle="1" w:styleId="TitleChar">
    <w:name w:val="Title Char"/>
    <w:aliases w:val="Heading3 Char"/>
    <w:basedOn w:val="DefaultParagraphFont"/>
    <w:link w:val="Title"/>
    <w:uiPriority w:val="10"/>
    <w:rsid w:val="00243509"/>
    <w:rPr>
      <w:rFonts w:ascii="Times New Roman" w:eastAsiaTheme="majorEastAsia" w:hAnsi="Times New Roman" w:cstheme="majorBidi"/>
      <w:i/>
      <w:color w:val="000000" w:themeColor="text1"/>
      <w:spacing w:val="-10"/>
      <w:kern w:val="28"/>
      <w:sz w:val="28"/>
      <w:szCs w:val="56"/>
    </w:rPr>
  </w:style>
  <w:style w:type="paragraph" w:styleId="Subtitle">
    <w:name w:val="Subtitle"/>
    <w:basedOn w:val="Normal"/>
    <w:next w:val="Normal"/>
    <w:link w:val="SubtitleChar"/>
    <w:uiPriority w:val="11"/>
    <w:qFormat/>
    <w:rsid w:val="006C0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6AA"/>
    <w:pPr>
      <w:spacing w:before="160"/>
      <w:jc w:val="center"/>
    </w:pPr>
    <w:rPr>
      <w:i/>
      <w:iCs/>
      <w:color w:val="404040" w:themeColor="text1" w:themeTint="BF"/>
    </w:rPr>
  </w:style>
  <w:style w:type="character" w:customStyle="1" w:styleId="QuoteChar">
    <w:name w:val="Quote Char"/>
    <w:basedOn w:val="DefaultParagraphFont"/>
    <w:link w:val="Quote"/>
    <w:uiPriority w:val="29"/>
    <w:rsid w:val="006C06AA"/>
    <w:rPr>
      <w:i/>
      <w:iCs/>
      <w:color w:val="404040" w:themeColor="text1" w:themeTint="BF"/>
    </w:rPr>
  </w:style>
  <w:style w:type="paragraph" w:styleId="ListParagraph">
    <w:name w:val="List Paragraph"/>
    <w:basedOn w:val="Normal"/>
    <w:uiPriority w:val="34"/>
    <w:qFormat/>
    <w:rsid w:val="006C06AA"/>
    <w:pPr>
      <w:ind w:left="720"/>
      <w:contextualSpacing/>
    </w:pPr>
  </w:style>
  <w:style w:type="character" w:styleId="IntenseEmphasis">
    <w:name w:val="Intense Emphasis"/>
    <w:basedOn w:val="DefaultParagraphFont"/>
    <w:uiPriority w:val="21"/>
    <w:qFormat/>
    <w:rsid w:val="006C06AA"/>
    <w:rPr>
      <w:i/>
      <w:iCs/>
      <w:color w:val="0F4761" w:themeColor="accent1" w:themeShade="BF"/>
    </w:rPr>
  </w:style>
  <w:style w:type="paragraph" w:styleId="IntenseQuote">
    <w:name w:val="Intense Quote"/>
    <w:basedOn w:val="Normal"/>
    <w:next w:val="Normal"/>
    <w:link w:val="IntenseQuoteChar"/>
    <w:uiPriority w:val="30"/>
    <w:qFormat/>
    <w:rsid w:val="006C0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6AA"/>
    <w:rPr>
      <w:i/>
      <w:iCs/>
      <w:color w:val="0F4761" w:themeColor="accent1" w:themeShade="BF"/>
    </w:rPr>
  </w:style>
  <w:style w:type="character" w:styleId="IntenseReference">
    <w:name w:val="Intense Reference"/>
    <w:basedOn w:val="DefaultParagraphFont"/>
    <w:uiPriority w:val="32"/>
    <w:qFormat/>
    <w:rsid w:val="006C06AA"/>
    <w:rPr>
      <w:b/>
      <w:bCs/>
      <w:smallCaps/>
      <w:color w:val="0F4761" w:themeColor="accent1" w:themeShade="BF"/>
      <w:spacing w:val="5"/>
    </w:rPr>
  </w:style>
  <w:style w:type="paragraph" w:styleId="TOCHeading">
    <w:name w:val="TOC Heading"/>
    <w:basedOn w:val="Heading1"/>
    <w:next w:val="Normal"/>
    <w:uiPriority w:val="39"/>
    <w:unhideWhenUsed/>
    <w:qFormat/>
    <w:rsid w:val="00243509"/>
    <w:pPr>
      <w:spacing w:before="240" w:after="0"/>
      <w:outlineLvl w:val="9"/>
    </w:pPr>
    <w:rPr>
      <w:rFonts w:asciiTheme="majorHAnsi" w:hAnsiTheme="majorHAnsi"/>
      <w:b w:val="0"/>
      <w:color w:val="0F4761" w:themeColor="accent1" w:themeShade="BF"/>
      <w:kern w:val="0"/>
      <w:sz w:val="32"/>
      <w:szCs w:val="32"/>
      <w:lang w:eastAsia="fr-FR"/>
      <w14:ligatures w14:val="none"/>
    </w:rPr>
  </w:style>
  <w:style w:type="paragraph" w:styleId="TOC1">
    <w:name w:val="toc 1"/>
    <w:basedOn w:val="Normal"/>
    <w:next w:val="Normal"/>
    <w:autoRedefine/>
    <w:uiPriority w:val="39"/>
    <w:unhideWhenUsed/>
    <w:rsid w:val="00243509"/>
    <w:pPr>
      <w:spacing w:after="100"/>
    </w:pPr>
  </w:style>
  <w:style w:type="paragraph" w:styleId="TOC2">
    <w:name w:val="toc 2"/>
    <w:basedOn w:val="Normal"/>
    <w:next w:val="Normal"/>
    <w:autoRedefine/>
    <w:uiPriority w:val="39"/>
    <w:unhideWhenUsed/>
    <w:rsid w:val="00243509"/>
    <w:pPr>
      <w:spacing w:after="100"/>
      <w:ind w:left="240"/>
    </w:pPr>
  </w:style>
  <w:style w:type="paragraph" w:styleId="TOC3">
    <w:name w:val="toc 3"/>
    <w:basedOn w:val="Normal"/>
    <w:next w:val="Normal"/>
    <w:autoRedefine/>
    <w:uiPriority w:val="39"/>
    <w:unhideWhenUsed/>
    <w:rsid w:val="00243509"/>
    <w:pPr>
      <w:spacing w:after="100"/>
      <w:ind w:left="480"/>
    </w:pPr>
  </w:style>
  <w:style w:type="character" w:styleId="Hyperlink">
    <w:name w:val="Hyperlink"/>
    <w:basedOn w:val="DefaultParagraphFont"/>
    <w:uiPriority w:val="99"/>
    <w:unhideWhenUsed/>
    <w:rsid w:val="00243509"/>
    <w:rPr>
      <w:color w:val="467886" w:themeColor="hyperlink"/>
      <w:u w:val="single"/>
    </w:rPr>
  </w:style>
  <w:style w:type="paragraph" w:styleId="Header">
    <w:name w:val="header"/>
    <w:basedOn w:val="Normal"/>
    <w:link w:val="HeaderChar"/>
    <w:uiPriority w:val="99"/>
    <w:unhideWhenUsed/>
    <w:rsid w:val="0024350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43509"/>
    <w:rPr>
      <w:rFonts w:ascii="Times New Roman" w:hAnsi="Times New Roman"/>
      <w:sz w:val="24"/>
    </w:rPr>
  </w:style>
  <w:style w:type="paragraph" w:styleId="Footer">
    <w:name w:val="footer"/>
    <w:basedOn w:val="Normal"/>
    <w:link w:val="FooterChar"/>
    <w:uiPriority w:val="99"/>
    <w:unhideWhenUsed/>
    <w:rsid w:val="0024350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43509"/>
    <w:rPr>
      <w:rFonts w:ascii="Times New Roman" w:hAnsi="Times New Roman"/>
      <w:sz w:val="24"/>
    </w:rPr>
  </w:style>
  <w:style w:type="character" w:styleId="PlaceholderText">
    <w:name w:val="Placeholder Text"/>
    <w:basedOn w:val="DefaultParagraphFont"/>
    <w:uiPriority w:val="99"/>
    <w:semiHidden/>
    <w:rsid w:val="00495776"/>
    <w:rPr>
      <w:color w:val="666666"/>
    </w:rPr>
  </w:style>
  <w:style w:type="paragraph" w:styleId="ListBullet">
    <w:name w:val="List Bullet"/>
    <w:basedOn w:val="Normal"/>
    <w:uiPriority w:val="99"/>
    <w:unhideWhenUsed/>
    <w:rsid w:val="00F65213"/>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1D94-EAA4-45BD-9453-6473D6C2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1988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Briec</dc:creator>
  <cp:keywords/>
  <dc:description/>
  <cp:lastModifiedBy>Hugo Briec</cp:lastModifiedBy>
  <cp:revision>2</cp:revision>
  <dcterms:created xsi:type="dcterms:W3CDTF">2025-10-12T23:01:00Z</dcterms:created>
  <dcterms:modified xsi:type="dcterms:W3CDTF">2025-10-12T23:01:00Z</dcterms:modified>
</cp:coreProperties>
</file>