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sr-Latn-R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pregled dogadjaja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p>
      <w:pPr>
        <w:sectPr>
          <w:footerReference w:type="default" r:id="rId3"/>
          <w:type w:val="nextPage"/>
          <w:pgSz w:w="11906" w:h="16838"/>
          <w:pgMar w:left="1080" w:right="1080" w:gutter="0" w:header="0" w:top="1440" w:footer="720" w:bottom="1440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rPr>
          <w:lang w:eastAsia="ko-KR"/>
        </w:rPr>
      </w:pPr>
      <w:r>
        <w:rPr>
          <w:lang w:eastAsia="ko-KR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Glavninaslov"/>
        <w:numPr>
          <w:ilvl w:val="0"/>
          <w:numId w:val="4"/>
        </w:numPr>
        <w:bidi w:val="0"/>
        <w:rPr>
          <w:lang w:val="en-US"/>
        </w:rPr>
      </w:pPr>
      <w:r>
        <w:rPr>
          <w:lang w:val="en-US"/>
        </w:rPr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en-US"/>
        </w:rPr>
        <w:t>&lt;tekst&gt;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/>
      </w:r>
    </w:p>
    <w:p>
      <w:pPr>
        <w:pStyle w:val="Glavninaslov"/>
        <w:numPr>
          <w:ilvl w:val="0"/>
          <w:numId w:val="4"/>
        </w:numPr>
        <w:bidi w:val="0"/>
        <w:ind w:left="0" w:hanging="0"/>
        <w:rPr>
          <w:lang w:val="sr-Latn-RS"/>
        </w:rPr>
      </w:pPr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sr-Latn-RS"/>
        </w:rPr>
        <w:t>pregled događaja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 korisnici sistema (uključujući korisnike koji sajt posećuju bez registracije)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imaju pregled svih događaja koji su najavljeni da se održe.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2" w:name="_Toc7035"/>
      <w:r>
        <w:rPr>
          <w:lang w:val="sr-Latn-RS"/>
        </w:rPr>
        <w:t xml:space="preserve">Korisnik </w:t>
      </w:r>
      <w:r>
        <w:rPr>
          <w:lang w:val="sr-Latn-RS"/>
        </w:rPr>
        <w:t>pregleda</w:t>
      </w:r>
      <w:r>
        <w:rPr>
          <w:lang w:val="sr-Latn-RS"/>
        </w:rPr>
        <w:t xml:space="preserve"> </w:t>
      </w:r>
      <w:bookmarkEnd w:id="2"/>
      <w:r>
        <w:rPr>
          <w:lang w:val="sr-Latn-RS"/>
        </w:rPr>
        <w:t>događaj</w:t>
      </w:r>
      <w:r>
        <w:rPr>
          <w:lang w:val="sr-Latn-RS"/>
        </w:rPr>
        <w:t>e</w:t>
      </w:r>
    </w:p>
    <w:p>
      <w:pPr>
        <w:pStyle w:val="Tekst"/>
        <w:numPr>
          <w:ilvl w:val="0"/>
          <w:numId w:val="6"/>
        </w:numPr>
        <w:bidi w:val="0"/>
        <w:rPr>
          <w:lang w:val="en-US"/>
        </w:rPr>
      </w:pPr>
      <w:r>
        <w:rPr>
          <w:lang w:val="sr-Latn-RS"/>
        </w:rPr>
        <w:t xml:space="preserve">Korisnik </w:t>
      </w:r>
      <w:r>
        <w:rPr>
          <w:lang w:val="sr-Latn-RS"/>
        </w:rPr>
        <w:t>pregleda događaje klikom na dugme „Pregled dogđaja“.</w:t>
      </w:r>
    </w:p>
    <w:p>
      <w:pPr>
        <w:pStyle w:val="Tekst"/>
        <w:numPr>
          <w:ilvl w:val="0"/>
          <w:numId w:val="6"/>
        </w:numPr>
        <w:bidi w:val="0"/>
        <w:rPr>
          <w:lang w:val="en-US"/>
        </w:rPr>
      </w:pPr>
      <w:r>
        <w:rPr>
          <w:lang w:val="sr-Latn-RS"/>
        </w:rPr>
        <w:t>K</w:t>
      </w:r>
      <w:r>
        <w:rPr>
          <w:lang w:val="sr-Latn-RS"/>
        </w:rPr>
        <w:t>orisnik može da produži listu klikom na strelicu „</w:t>
      </w:r>
      <w:r>
        <w:rPr>
          <w:rFonts w:eastAsia="Calibri" w:cs="Calibri" w:ascii="Calibri" w:hAnsi="Calibri"/>
          <w:lang w:val="sr-Latn-RS"/>
        </w:rPr>
        <w:t>↓</w:t>
      </w:r>
      <w:r>
        <w:rPr>
          <w:rFonts w:eastAsia="맑은 고딕" w:cs=""/>
          <w:lang w:val="sr-Latn-RS"/>
        </w:rPr>
        <w:t>“.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kst"/>
        <w:bidi w:val="0"/>
        <w:rPr>
          <w:lang w:val="en-US"/>
        </w:rPr>
      </w:pPr>
      <w:r>
        <w:rPr/>
        <w:t>Posebni zahtevi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Postojanje bar jednog događaja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3" w:name="_GoBack"/>
      <w:bookmarkEnd w:id="3"/>
      <w:r>
        <w:rPr>
          <w:lang w:val="sr-Latn-RS"/>
        </w:rPr>
        <w:t>Nema</w:t>
      </w:r>
    </w:p>
    <w:sectPr>
      <w:footerReference w:type="default" r:id="rId4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kern w:val="0"/>
              <w:sz w:val="20"/>
              <w:szCs w:val="20"/>
              <w:lang w:val="en-US"/>
            </w:rPr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kern w:val="0"/>
              <w:sz w:val="20"/>
              <w:szCs w:val="20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29435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288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3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35pt;margin-top:0pt;width:143.95pt;height:12.05pt;mso-wrap-style:non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LibreOffice/7.2.4.1$Windows_X86_64 LibreOffice_project/27d75539669ac387bb498e35313b970b7fe9c4f9</Application>
  <AppVersion>15.0000</AppVersion>
  <Pages>5</Pages>
  <Words>187</Words>
  <Characters>1128</Characters>
  <CharactersWithSpaces>1282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2022-03-24T22:36:56Z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