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ind/>
        <w:jc w:val="center"/>
        <w:rPr/>
      </w:pPr>
      <w:r>
        <w:rPr>
          <w:b/>
          <w:bCs/>
        </w:rPr>
        <w:t xml:space="preserve">ML4 - Kompresija ML modela</w:t>
      </w:r>
      <w:r/>
    </w:p>
    <w:p>
      <w:pPr>
        <w:pBdr/>
        <w:spacing w:after="120"/>
        <w:ind/>
        <w:jc w:val="center"/>
        <w:rPr>
          <w:b/>
          <w:bCs/>
          <w:highlight w:val="none"/>
        </w:rPr>
      </w:pPr>
      <w:r>
        <w:rPr>
          <w:b/>
          <w:bCs/>
        </w:rPr>
        <w:t xml:space="preserve">Kontrolna točka 1</w:t>
      </w:r>
      <w:r>
        <w:rPr>
          <w:b/>
          <w:bCs/>
          <w:highlight w:val="none"/>
        </w:rPr>
      </w:r>
      <w:r>
        <w:rPr>
          <w:b/>
          <w:bCs/>
          <w:highlight w:val="none"/>
        </w:rPr>
      </w:r>
    </w:p>
    <w:p w14:paraId="1F4644AB">
      <w:pPr>
        <w:pBdr/>
        <w:spacing w:after="120"/>
        <w:ind/>
        <w:rPr/>
      </w:pPr>
      <w:r/>
      <w:r/>
    </w:p>
    <w:p w14:paraId="7398393C">
      <w:pPr>
        <w:pBdr/>
        <w:spacing w:after="120"/>
        <w:ind/>
        <w:rPr/>
      </w:pPr>
      <w:r/>
      <w:r/>
    </w:p>
    <w:p w14:paraId="29921D8A">
      <w:pPr>
        <w:pBdr/>
        <w:spacing w:after="120"/>
        <w:ind/>
        <w:rPr/>
      </w:pPr>
      <w:r/>
      <w:r/>
    </w:p>
    <w:p w14:paraId="1517C39E">
      <w:pPr>
        <w:pBdr/>
        <w:spacing w:after="120"/>
        <w:ind/>
        <w:rPr/>
      </w:pPr>
      <w:r/>
      <w:r/>
    </w:p>
    <w:p w14:paraId="7883F088">
      <w:pPr>
        <w:pBdr/>
        <w:spacing w:after="120"/>
        <w:ind/>
        <w:rPr/>
      </w:pPr>
      <w:r/>
      <w:r/>
    </w:p>
    <w:p w14:paraId="3880F1AA">
      <w:pPr>
        <w:pBdr/>
        <w:spacing w:after="120"/>
        <w:ind/>
        <w:rPr/>
      </w:pPr>
      <w:r/>
      <w:r/>
    </w:p>
    <w:p w14:paraId="334638E6">
      <w:pPr>
        <w:pBdr/>
        <w:spacing w:after="120"/>
        <w:ind/>
        <w:rPr/>
      </w:pPr>
      <w:r/>
      <w:r/>
    </w:p>
    <w:p w14:paraId="673706D9">
      <w:pPr>
        <w:pBdr/>
        <w:spacing w:after="120"/>
        <w:ind/>
        <w:rPr/>
      </w:pPr>
      <w:r/>
      <w:r/>
    </w:p>
    <w:p w14:paraId="2FD160F7">
      <w:pPr>
        <w:pBdr/>
        <w:spacing w:after="120"/>
        <w:ind/>
        <w:rPr/>
      </w:pPr>
      <w:r/>
      <w:r/>
    </w:p>
    <w:p w14:paraId="6FB64D4E">
      <w:pPr>
        <w:pBdr/>
        <w:spacing w:after="120"/>
        <w:ind/>
        <w:rPr/>
      </w:pPr>
      <w:r/>
      <w:r/>
    </w:p>
    <w:p w14:paraId="72993AF2">
      <w:pPr>
        <w:pBdr/>
        <w:spacing w:after="120"/>
        <w:ind/>
        <w:rPr/>
      </w:pPr>
      <w:r>
        <w:rPr>
          <w:b/>
          <w:bCs/>
          <w:highlight w:val="none"/>
        </w:rPr>
      </w:r>
      <w:r>
        <w:rPr>
          <w:b/>
          <w:bCs/>
          <w:highlight w:val="none"/>
        </w:rPr>
      </w:r>
      <w:r/>
    </w:p>
    <w:p>
      <w:pPr>
        <w:pBdr/>
        <w:spacing w:after="120"/>
        <w:ind/>
        <w:rPr/>
      </w:pPr>
      <w:r/>
      <w:r/>
    </w:p>
    <w:p>
      <w:pPr>
        <w:pBdr/>
        <w:spacing w:after="240" w:before="240"/>
        <w:ind/>
        <w:jc w:val="center"/>
        <w:rPr/>
      </w:pPr>
      <w:r>
        <w:rPr>
          <w:b/>
          <w:bCs/>
          <w:sz w:val="36"/>
          <w:szCs w:val="36"/>
        </w:rPr>
        <w:t xml:space="preserve">Kompresija konvolucijskih neuronskih mreža</w:t>
      </w:r>
      <w:r/>
    </w:p>
    <w:p>
      <w:pPr>
        <w:pBdr/>
        <w:spacing w:after="120" w:before="120"/>
        <w:ind/>
        <w:jc w:val="center"/>
        <w:rPr/>
      </w:pPr>
      <w:r>
        <w:rPr>
          <w:b/>
          <w:bCs/>
          <w:sz w:val="28"/>
          <w:szCs w:val="28"/>
        </w:rPr>
        <w:t xml:space="preserve">Pruning i kvantizacija na skupu podataka Fruits-360</w:t>
      </w:r>
      <w:r/>
    </w:p>
    <w:p>
      <w:pPr>
        <w:pBdr/>
        <w:spacing w:after="120"/>
        <w:ind/>
        <w:rPr/>
      </w:pPr>
      <w:r/>
      <w:r/>
    </w:p>
    <w:p>
      <w:pPr>
        <w:pBdr/>
        <w:spacing w:after="60" w:before="60"/>
        <w:ind/>
        <w:jc w:val="center"/>
        <w:rPr/>
      </w:pPr>
      <w:r>
        <w:rPr>
          <w:sz w:val="24"/>
          <w:szCs w:val="24"/>
        </w:rPr>
        <w:t xml:space="preserve">Arhitektura CNN-a</w:t>
      </w:r>
      <w:r/>
    </w:p>
    <w:p>
      <w:pPr>
        <w:pBdr/>
        <w:spacing w:after="60" w:before="60"/>
        <w:ind/>
        <w:jc w:val="center"/>
        <w:rPr/>
      </w:pPr>
      <w:r>
        <w:rPr>
          <w:sz w:val="24"/>
          <w:szCs w:val="24"/>
        </w:rPr>
        <w:t xml:space="preserve">Treniranje modela</w:t>
      </w:r>
      <w:r/>
    </w:p>
    <w:p>
      <w:pPr>
        <w:pBdr/>
        <w:spacing w:after="60" w:before="60"/>
        <w:ind/>
        <w:jc w:val="center"/>
        <w:rPr/>
      </w:pPr>
      <w:r>
        <w:rPr>
          <w:sz w:val="24"/>
          <w:szCs w:val="24"/>
        </w:rPr>
        <w:t xml:space="preserve">Pruning težina</w:t>
      </w:r>
      <w:r/>
    </w:p>
    <w:p>
      <w:pPr>
        <w:pBdr/>
        <w:spacing w:after="60" w:before="60"/>
        <w:ind/>
        <w:jc w:val="center"/>
        <w:rPr/>
      </w:pPr>
      <w:r>
        <w:rPr>
          <w:sz w:val="24"/>
          <w:szCs w:val="24"/>
        </w:rPr>
        <w:t xml:space="preserve">Post-training kvantizacija</w:t>
      </w:r>
      <w:r/>
    </w:p>
    <w:p w14:paraId="01F15B83">
      <w:pPr>
        <w:pBdr/>
        <w:spacing w:after="120"/>
        <w:ind/>
        <w:rPr/>
      </w:pPr>
      <w:r/>
      <w:r/>
    </w:p>
    <w:p w14:paraId="787F682C">
      <w:pPr>
        <w:pBdr/>
        <w:spacing w:after="120"/>
        <w:ind/>
        <w:rPr/>
      </w:pPr>
      <w:r/>
      <w:r/>
    </w:p>
    <w:p w14:paraId="60BB2032">
      <w:pPr>
        <w:pBdr/>
        <w:spacing w:after="120"/>
        <w:ind/>
        <w:rPr/>
      </w:pPr>
      <w:r/>
      <w:r/>
    </w:p>
    <w:p w14:paraId="68301FE1">
      <w:pPr>
        <w:pBdr/>
        <w:spacing w:after="120"/>
        <w:ind/>
        <w:rPr/>
      </w:pPr>
      <w:r/>
      <w:r/>
    </w:p>
    <w:p w14:paraId="4603679D">
      <w:pPr>
        <w:pBdr/>
        <w:spacing w:after="120"/>
        <w:ind/>
        <w:rPr/>
      </w:pPr>
      <w:r/>
      <w:r/>
    </w:p>
    <w:p w14:paraId="2A069908">
      <w:pPr>
        <w:pBdr/>
        <w:spacing w:after="120"/>
        <w:ind/>
        <w:rPr/>
      </w:pPr>
      <w:r/>
      <w:r/>
    </w:p>
    <w:p w14:paraId="370856B6">
      <w:pPr>
        <w:pBdr/>
        <w:spacing w:after="120"/>
        <w:ind/>
        <w:rPr/>
      </w:pPr>
      <w:r/>
      <w:r/>
    </w:p>
    <w:p w14:paraId="5D9D6E81">
      <w:pPr>
        <w:pBdr/>
        <w:spacing w:after="120"/>
        <w:ind/>
        <w:rPr/>
      </w:pPr>
      <w:r/>
      <w:r/>
    </w:p>
    <w:p w14:paraId="23200B93">
      <w:pPr>
        <w:pBdr/>
        <w:spacing w:after="120"/>
        <w:ind/>
        <w:rPr/>
      </w:pPr>
      <w:r/>
      <w:r/>
    </w:p>
    <w:p w14:paraId="52A2EB58">
      <w:pPr>
        <w:pBdr/>
        <w:spacing w:after="120"/>
        <w:ind/>
        <w:rPr/>
      </w:pPr>
      <w:r/>
      <w:r/>
    </w:p>
    <w:p w14:paraId="7FB2B51C">
      <w:pPr>
        <w:pBdr/>
        <w:spacing w:after="120"/>
        <w:ind/>
        <w:rPr/>
      </w:pPr>
      <w:r/>
      <w:r/>
    </w:p>
    <w:p w14:paraId="788136AB">
      <w:pPr>
        <w:pBdr/>
        <w:spacing w:after="120"/>
        <w:ind/>
        <w:rPr/>
      </w:pPr>
      <w:r/>
      <w:r/>
    </w:p>
    <w:p>
      <w:pPr>
        <w:pBdr/>
        <w:spacing w:after="120"/>
        <w:ind/>
        <w:rPr/>
      </w:pPr>
      <w:r/>
      <w:r/>
    </w:p>
    <w:p>
      <w:pPr>
        <w:pBdr/>
        <w:spacing w:after="60" w:before="60"/>
        <w:ind/>
        <w:jc w:val="center"/>
        <w:rPr/>
      </w:pPr>
      <w:r>
        <w:rPr>
          <w:sz w:val="24"/>
          <w:szCs w:val="24"/>
        </w:rPr>
        <w:t xml:space="preserve">Sveučilište u Rijeci, Tehnički fakultet</w:t>
      </w:r>
      <w:r/>
    </w:p>
    <w:p>
      <w:pPr>
        <w:pBdr/>
        <w:spacing w:after="60" w:before="60"/>
        <w:ind/>
        <w:jc w:val="center"/>
        <w:rPr/>
      </w:pPr>
      <w:r>
        <w:rPr>
          <w:sz w:val="24"/>
          <w:szCs w:val="24"/>
        </w:rPr>
        <w:t xml:space="preserve">svibanj 2026.</w:t>
      </w:r>
      <w:r/>
    </w:p>
    <w:p>
      <w:pPr>
        <w:pBdr/>
        <w:spacing/>
        <w:ind/>
        <w:rPr/>
      </w:pPr>
      <w:r>
        <w:br w:type="page" w:clear="all"/>
      </w:r>
      <w:r/>
    </w:p>
    <w:p>
      <w:pPr>
        <w:pStyle w:val="893"/>
        <w:pBdr/>
        <w:spacing/>
        <w:ind/>
        <w:rPr/>
      </w:pPr>
      <w:r>
        <w:t xml:space="preserve">1. UVOD</w:t>
      </w:r>
      <w:r/>
    </w:p>
    <w:p>
      <w:pPr>
        <w:pBdr/>
        <w:spacing w:after="120"/>
        <w:ind/>
        <w:rPr/>
      </w:pPr>
      <w:r>
        <w:t xml:space="preserve">Cilj projekta je implementirati i evaluirati tehnike kompresije dubokih neuronskih mreža koje se obrađuju u seminarskom radu Li, Li i Meng [1]. Polazna točka je konvolucijska neur</w:t>
      </w:r>
      <w:r>
        <w:t xml:space="preserve">onska mreža istrenirana na skupu podataka Fruits-360, a kompresija se postiže primjenom tehnika iz spomenutog rada: porezivanje težina (eng. pruning) i post-training kvantizacija.</w:t>
      </w:r>
      <w:r/>
    </w:p>
    <w:p>
      <w:pPr>
        <w:pBdr/>
        <w:spacing w:after="120"/>
        <w:ind/>
        <w:rPr/>
      </w:pPr>
      <w:r>
        <w:t xml:space="preserve">Cijeli projekt namjerno je implementiran isključivo u biblioteci NumPy, bez korištenja PyTorcha</w:t>
      </w:r>
      <w:r>
        <w:rPr>
          <w:lang w:val="hr-HR"/>
        </w:rPr>
        <w:t xml:space="preserve"> ili </w:t>
      </w:r>
      <w:r>
        <w:t xml:space="preserve">TensorFlowa</w:t>
      </w:r>
      <w:r>
        <w:t xml:space="preserve">. Razlog tomu je jasna i transparentna izvedba svakog matematičkog ko</w:t>
      </w:r>
      <w:r>
        <w:t xml:space="preserve">raka: forward i backward prolaz, izračun gradijenta, primjena pruning maske i kvantizacijska transformacija FP32 → INT8 → FP32. Ovaj pristup je sporiji od standardnih biblioteka, ali omogućuje izravno povezivanje koda s jednadžbama iz seminarskog rada [1].</w:t>
      </w:r>
      <w:r/>
    </w:p>
    <w:p>
      <w:pPr>
        <w:pBdr/>
        <w:spacing w:after="120"/>
        <w:ind/>
        <w:rPr/>
      </w:pPr>
      <w:r>
        <w:t xml:space="preserve">Projekt je podijeljen među četiri člana tima:</w:t>
      </w:r>
      <w:r/>
    </w:p>
    <w:p>
      <w:pPr>
        <w:pStyle w:val="885"/>
        <w:numPr>
          <w:ilvl w:val="0"/>
          <w:numId w:val="2"/>
        </w:numPr>
        <w:pBdr/>
        <w:spacing/>
        <w:ind/>
        <w:rPr/>
      </w:pPr>
      <w:r>
        <w:t xml:space="preserve">Luka Capan — definicija arhitekture SimpleCNN modela (slojevi, forward i backward prolaz, sučelje za ostale dijelove projekta).</w:t>
      </w:r>
      <w:r/>
    </w:p>
    <w:p>
      <w:pPr>
        <w:pStyle w:val="885"/>
        <w:numPr>
          <w:ilvl w:val="0"/>
          <w:numId w:val="2"/>
        </w:numPr>
        <w:pBdr/>
        <w:spacing/>
        <w:ind/>
        <w:rPr/>
      </w:pPr>
      <w:r>
        <w:t xml:space="preserve">B</w:t>
      </w:r>
      <w:r>
        <w:t xml:space="preserve">orna Budić</w:t>
      </w:r>
      <w:r>
        <w:t xml:space="preserve"> — implementacija petlje treniranja, funkcije gubitka cross-entropy, optimizatora SGD s momentumom te spremanja i učitavanja modela.</w:t>
      </w:r>
      <w:r>
        <w:rPr>
          <w:rFonts w:ascii="Times New Roman" w:hAnsi="Times New Roman" w:eastAsia="Times New Roman" w:cs="Times New Roman"/>
          <w:sz w:val="24"/>
        </w:rPr>
      </w:r>
      <w:r/>
    </w:p>
    <w:p w14:paraId="3B6FE1BF">
      <w:pPr>
        <w:pStyle w:val="885"/>
        <w:numPr>
          <w:ilvl w:val="0"/>
          <w:numId w:val="2"/>
        </w:numPr>
        <w:pBdr/>
        <w:spacing/>
        <w:ind/>
        <w:rPr/>
      </w:pPr>
      <w:r>
        <w:t xml:space="preserve">Silvia </w:t>
      </w:r>
      <w:r>
        <w:t xml:space="preserve">Petrović</w:t>
      </w:r>
      <w:r>
        <w:t xml:space="preserve"> — implementacija pruninga (globalnog i per-layer) te fine-tuninga s zamrznutom maskom.</w:t>
      </w:r>
      <w:r/>
    </w:p>
    <w:p>
      <w:pPr>
        <w:pStyle w:val="885"/>
        <w:numPr>
          <w:ilvl w:val="0"/>
          <w:numId w:val="2"/>
        </w:numPr>
        <w:pBdr/>
        <w:spacing/>
        <w:ind/>
        <w:rPr/>
      </w:pPr>
      <w:r>
        <w:t xml:space="preserve">J</w:t>
      </w:r>
      <w:r>
        <w:t xml:space="preserve">akov Dragičević</w:t>
      </w:r>
      <w:r>
        <w:t xml:space="preserve"> — implementacija post-training kvantizacije prema Algoritmu 1 iz seminara  [1].</w:t>
      </w:r>
      <w:r/>
    </w:p>
    <w:p w14:paraId="19AEEEEB">
      <w:pPr>
        <w:pBdr/>
        <w:spacing/>
        <w:ind w:firstLine="0" w:left="720"/>
        <w:rPr/>
      </w:pPr>
      <w:r>
        <w:rPr>
          <w:highlight w:val="none"/>
        </w:rPr>
      </w:r>
      <w:r>
        <w:rPr>
          <w:highlight w:val="none"/>
        </w:rPr>
      </w:r>
      <w:r/>
    </w:p>
    <w:p>
      <w:pPr>
        <w:pBdr/>
        <w:spacing w:after="120"/>
        <w:ind/>
        <w:rPr/>
      </w:pPr>
      <w:r>
        <w:t xml:space="preserve">Glavni zajednički modul je main.py, koji povezuje sva četiri dijela u jedinstvenu cjevovodnu radnju (training → pruning → kvantizacija → usporedba).</w:t>
      </w:r>
      <w:r/>
    </w:p>
    <w:p>
      <w:pPr>
        <w:pStyle w:val="893"/>
        <w:pBdr/>
        <w:spacing/>
        <w:ind/>
        <w:rPr/>
      </w:pPr>
      <w:r>
        <w:t xml:space="preserve">2. METODE</w:t>
      </w:r>
      <w:r/>
    </w:p>
    <w:p>
      <w:pPr>
        <w:pStyle w:val="894"/>
        <w:pBdr/>
        <w:spacing/>
        <w:ind/>
        <w:rPr/>
      </w:pPr>
      <w:r>
        <w:t xml:space="preserve">2.1 Arhitektura CNN modela</w:t>
      </w:r>
      <w:r/>
    </w:p>
    <w:p>
      <w:pPr>
        <w:pBdr/>
        <w:spacing w:after="120"/>
        <w:ind/>
        <w:rPr/>
      </w:pPr>
      <w:r>
        <w:t xml:space="preserve">Arhitektura SimpleCNN sastoji se od dva konvolucijska bloka, ravnanja i dva potpuno povezana sloja, slično tipičnoj klasifikacijskoj CNN strukturi iz seminara [1]:</w:t>
      </w:r>
      <w:r/>
    </w:p>
    <w:p>
      <w:pPr>
        <w:pStyle w:val="885"/>
        <w:numPr>
          <w:ilvl w:val="0"/>
          <w:numId w:val="2"/>
        </w:numPr>
        <w:pBdr/>
        <w:spacing/>
        <w:ind/>
        <w:rPr/>
      </w:pPr>
      <w:r>
        <w:t xml:space="preserve">Conv1: 8 filtera, 3×3 jezgra, padding 1 → ReLU → MaxPool 2×2</w:t>
      </w:r>
      <w:r/>
    </w:p>
    <w:p>
      <w:pPr>
        <w:pStyle w:val="885"/>
        <w:numPr>
          <w:ilvl w:val="0"/>
          <w:numId w:val="2"/>
        </w:numPr>
        <w:pBdr/>
        <w:spacing/>
        <w:ind/>
        <w:rPr/>
      </w:pPr>
      <w:r>
        <w:t xml:space="preserve">Conv2: 16 filtera, 3×3 jezgra, padding 1 → ReLU → MaxPool 2×2</w:t>
      </w:r>
      <w:r/>
    </w:p>
    <w:p>
      <w:pPr>
        <w:pStyle w:val="885"/>
        <w:numPr>
          <w:ilvl w:val="0"/>
          <w:numId w:val="2"/>
        </w:numPr>
        <w:pBdr/>
        <w:spacing/>
        <w:ind/>
        <w:rPr/>
      </w:pPr>
      <w:r>
        <w:t xml:space="preserve">Flatten: (N, 16, 25, 25) → (N, 10000)</w:t>
      </w:r>
      <w:r/>
    </w:p>
    <w:p>
      <w:pPr>
        <w:pStyle w:val="885"/>
        <w:numPr>
          <w:ilvl w:val="0"/>
          <w:numId w:val="2"/>
        </w:numPr>
        <w:pBdr/>
        <w:spacing/>
        <w:ind/>
        <w:rPr/>
      </w:pPr>
      <w:r>
        <w:t xml:space="preserve">FC1: 10000 → 128, ReLU</w:t>
      </w:r>
      <w:r/>
    </w:p>
    <w:p>
      <w:pPr>
        <w:pStyle w:val="885"/>
        <w:numPr>
          <w:ilvl w:val="0"/>
          <w:numId w:val="2"/>
        </w:numPr>
        <w:pBdr/>
        <w:spacing/>
        <w:ind/>
        <w:rPr/>
      </w:pPr>
      <w:r>
        <w:t xml:space="preserve">FC2: 128 → broj_klasa, Softmax</w:t>
      </w:r>
      <w:r/>
    </w:p>
    <w:p w14:paraId="2B9E4E17">
      <w:pPr>
        <w:pBdr/>
        <w:spacing/>
        <w:ind w:firstLine="0" w:left="720"/>
        <w:rPr/>
      </w:pPr>
      <w:r>
        <w:rPr>
          <w:highlight w:val="none"/>
        </w:rPr>
      </w:r>
      <w:r>
        <w:rPr>
          <w:highlight w:val="none"/>
        </w:rPr>
      </w:r>
      <w:r/>
    </w:p>
    <w:p>
      <w:pPr>
        <w:pBdr/>
        <w:spacing w:after="120"/>
        <w:ind/>
        <w:rPr/>
      </w:pPr>
      <w:r>
        <w:t xml:space="preserve">Ukupan broj učeničkih parametara iznosi približno 1.3 milijuna. Sloj FC1 nosi najveći dio parametara (oko 1.28M), što je važna informacija za sljedeće faze projekta jer je upravo on glavni cilj kompresije.</w:t>
      </w:r>
      <w:r/>
    </w:p>
    <w:p>
      <w:pPr>
        <w:pBdr/>
        <w:spacing w:after="120"/>
        <w:ind/>
        <w:rPr>
          <w:highlight w:val="none"/>
        </w:rPr>
      </w:pPr>
      <w:r>
        <w:t xml:space="preserve">Svaki sloj implementira metode forward(x) i backward(d_out), a Conv i FC slojevi dodatno izlažu atribute filters/weights, biases, d_filters/d_weights i d_biases. To je sučelje na koje se oslanjaju ostatak tima</w:t>
      </w:r>
      <w:r>
        <w:t xml:space="preserve"> — primjerice, pruning skripta detektira tip sloja preko hasattr(layer, 'filters'). Težine su inicijalizirane He inicijalizacijom (faktor √(2/fan_in)), što je standardni izbor za ReLU mreže i pokazalo se ključnim za stabilan početak treniranja.</w:t>
      </w:r>
      <w:r>
        <w:rPr>
          <w:highlight w:val="none"/>
        </w:rPr>
      </w:r>
      <w:r>
        <w:rPr>
          <w:highlight w:val="none"/>
        </w:rPr>
      </w:r>
    </w:p>
    <w:p w14:paraId="755333A1">
      <w:pPr>
        <w:pBdr/>
        <w:spacing w:after="120"/>
        <w:ind/>
        <w:rPr/>
      </w:pPr>
      <w:r/>
      <w:r/>
    </w:p>
    <w:p w14:paraId="2555C512">
      <w:pPr>
        <w:pBdr/>
        <w:spacing w:after="120"/>
        <w:ind/>
        <w:rPr/>
      </w:pPr>
      <w:r/>
      <w:r/>
    </w:p>
    <w:p w14:paraId="59FCA284">
      <w:pPr>
        <w:pBdr/>
        <w:spacing w:after="120"/>
        <w:ind/>
        <w:rPr/>
      </w:pPr>
      <w:r/>
      <w:r/>
    </w:p>
    <w:p w14:paraId="448156D6">
      <w:pPr>
        <w:pBdr/>
        <w:spacing w:after="120"/>
        <w:ind/>
        <w:rPr/>
      </w:pPr>
      <w:r>
        <w:rPr>
          <w:highlight w:val="none"/>
        </w:rPr>
      </w:r>
      <w:r>
        <w:rPr>
          <w:highlight w:val="none"/>
        </w:rPr>
      </w:r>
      <w:r/>
    </w:p>
    <w:p>
      <w:pPr>
        <w:pStyle w:val="894"/>
        <w:pBdr/>
        <w:spacing/>
        <w:ind/>
        <w:rPr/>
      </w:pPr>
      <w:r>
        <w:t xml:space="preserve">2.2 Treniranje modela</w:t>
      </w:r>
      <w:r/>
    </w:p>
    <w:p>
      <w:pPr>
        <w:pBdr/>
        <w:spacing w:after="120"/>
        <w:ind/>
        <w:rPr/>
      </w:pPr>
      <w:r>
        <w:t xml:space="preserve">Model je istreniran pomoću funkcije gubitka multi-class cross-entropy i optimizatora </w:t>
      </w:r>
      <w:r>
        <w:t xml:space="preserve">SGD s momentumom (µ = 0.9). Cross-entropy kažnjava model kada pravoj klasi dodjeljuje malu vjerojatnost; gradijent kombinacije softmax+cross-entropy zatvorenog je oblika d_probs = probs - one_hot(y), što je matematički jednostavno i numerički stabilno [5].</w:t>
      </w:r>
      <w:r/>
    </w:p>
    <w:p>
      <w:pPr>
        <w:pBdr/>
        <w:shd w:val="clear" w:color="auto" w:fill="f2f2f2"/>
        <w:spacing w:after="80"/>
        <w:ind/>
        <w:rPr/>
      </w:pPr>
      <w:r>
        <w:rPr>
          <w:rFonts w:ascii="Consolas" w:hAnsi="Consolas" w:eastAsia="Consolas" w:cs="Consolas"/>
          <w:sz w:val="18"/>
          <w:szCs w:val="18"/>
        </w:rPr>
        <w:t xml:space="preserve">velocity = momentum * velocity − learning_rate * gradient</w:t>
      </w:r>
      <w:r/>
    </w:p>
    <w:p>
      <w:pPr>
        <w:pBdr/>
        <w:shd w:val="clear" w:color="auto" w:fill="f2f2f2"/>
        <w:spacing w:after="80"/>
        <w:ind/>
        <w:rPr/>
      </w:pPr>
      <w:r>
        <w:rPr>
          <w:rFonts w:ascii="Consolas" w:hAnsi="Consolas" w:eastAsia="Consolas" w:cs="Consolas"/>
          <w:sz w:val="18"/>
          <w:szCs w:val="18"/>
        </w:rPr>
        <w:t xml:space="preserve">weight   = weight + velocity</w:t>
      </w:r>
      <w:r/>
    </w:p>
    <w:p>
      <w:pPr>
        <w:pBdr/>
        <w:spacing w:after="120"/>
        <w:ind/>
        <w:rPr/>
      </w:pPr>
      <w:r>
        <w:t xml:space="preserve">Implement</w:t>
      </w:r>
      <w:r>
        <w:t xml:space="preserve">iran je path-based loader koji ne učitava cijeli dataset u RAM odjednom, već samo putanje slika, dok se same slike učitavaju u mini-batchevima — sličan ideji DataLoadera iz PyTorcha [6]. Najbolji model prema test točnosti sprema se u models/cnn_fruits.npz.</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80"/>
        <w:gridCol w:w="6480"/>
      </w:tblGrid>
      <w:tr>
        <w:trPr>
          <w:tblHeader/>
        </w:trPr>
        <w:tc>
          <w:tcPr>
            <w:shd w:val="clear" w:color="auto" w:fill="d9e2f3"/>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880" w:type="dxa"/>
          </w:tcPr>
          <w:p>
            <w:pPr>
              <w:pBdr/>
              <w:spacing/>
              <w:ind/>
              <w:rPr/>
            </w:pPr>
            <w:r>
              <w:rPr>
                <w:b/>
                <w:bCs/>
              </w:rPr>
              <w:t xml:space="preserve">Postavka</w:t>
            </w:r>
            <w:r/>
          </w:p>
        </w:tc>
        <w:tc>
          <w:tcPr>
            <w:shd w:val="clear" w:color="auto" w:fill="d9e2f3"/>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6480" w:type="dxa"/>
          </w:tcPr>
          <w:p>
            <w:pPr>
              <w:pBdr/>
              <w:spacing/>
              <w:ind/>
              <w:rPr/>
            </w:pPr>
            <w:r>
              <w:rPr>
                <w:b/>
                <w:bCs/>
              </w:rPr>
              <w:t xml:space="preserve">Vrijednost</w:t>
            </w:r>
            <w:r/>
          </w:p>
        </w:tc>
      </w:tr>
      <w:tr>
        <w:trPr/>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880" w:type="dxa"/>
          </w:tcPr>
          <w:p>
            <w:pPr>
              <w:pBdr/>
              <w:spacing/>
              <w:ind/>
              <w:rPr/>
            </w:pPr>
            <w:r>
              <w:rPr>
                <w:b w:val="0"/>
                <w:bCs w:val="0"/>
              </w:rPr>
              <w:t xml:space="preserve">Dataset</w:t>
            </w:r>
            <w:r/>
          </w:p>
        </w:tc>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6480" w:type="dxa"/>
          </w:tcPr>
          <w:p>
            <w:pPr>
              <w:pBdr/>
              <w:spacing/>
              <w:ind/>
              <w:rPr/>
            </w:pPr>
            <w:r>
              <w:rPr>
                <w:b w:val="0"/>
                <w:bCs w:val="0"/>
              </w:rPr>
              <w:t xml:space="preserve">Fruits-360, 100×100 varijanta, 261 klasa</w:t>
            </w:r>
            <w:r/>
          </w:p>
        </w:tc>
      </w:tr>
      <w:tr>
        <w:trPr/>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880" w:type="dxa"/>
          </w:tcPr>
          <w:p>
            <w:pPr>
              <w:pBdr/>
              <w:spacing/>
              <w:ind/>
              <w:rPr/>
            </w:pPr>
            <w:r>
              <w:rPr>
                <w:b w:val="0"/>
                <w:bCs w:val="0"/>
              </w:rPr>
              <w:t xml:space="preserve">Loss</w:t>
            </w:r>
            <w:r/>
          </w:p>
        </w:tc>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6480" w:type="dxa"/>
          </w:tcPr>
          <w:p>
            <w:pPr>
              <w:pBdr/>
              <w:spacing/>
              <w:ind/>
              <w:rPr/>
            </w:pPr>
            <w:r>
              <w:rPr>
                <w:b w:val="0"/>
                <w:bCs w:val="0"/>
              </w:rPr>
              <w:t xml:space="preserve">multi-class cross-entropy</w:t>
            </w:r>
            <w:r/>
          </w:p>
        </w:tc>
      </w:tr>
      <w:tr>
        <w:trPr/>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880" w:type="dxa"/>
          </w:tcPr>
          <w:p>
            <w:pPr>
              <w:pBdr/>
              <w:spacing/>
              <w:ind/>
              <w:rPr/>
            </w:pPr>
            <w:r>
              <w:rPr>
                <w:b w:val="0"/>
                <w:bCs w:val="0"/>
              </w:rPr>
              <w:t xml:space="preserve">Optimizer</w:t>
            </w:r>
            <w:r/>
          </w:p>
        </w:tc>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6480" w:type="dxa"/>
          </w:tcPr>
          <w:p>
            <w:pPr>
              <w:pBdr/>
              <w:spacing/>
              <w:ind/>
              <w:rPr/>
            </w:pPr>
            <w:r>
              <w:rPr>
                <w:b w:val="0"/>
                <w:bCs w:val="0"/>
              </w:rPr>
              <w:t xml:space="preserve">SGD s momentumom</w:t>
            </w:r>
            <w:r/>
          </w:p>
        </w:tc>
      </w:tr>
      <w:tr>
        <w:trPr/>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880" w:type="dxa"/>
          </w:tcPr>
          <w:p>
            <w:pPr>
              <w:pBdr/>
              <w:spacing/>
              <w:ind/>
              <w:rPr/>
            </w:pPr>
            <w:r>
              <w:rPr>
                <w:b w:val="0"/>
                <w:bCs w:val="0"/>
              </w:rPr>
              <w:t xml:space="preserve">Learning rate</w:t>
            </w:r>
            <w:r/>
          </w:p>
        </w:tc>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6480" w:type="dxa"/>
          </w:tcPr>
          <w:p>
            <w:pPr>
              <w:pBdr/>
              <w:spacing/>
              <w:ind/>
              <w:rPr/>
            </w:pPr>
            <w:r>
              <w:rPr>
                <w:b w:val="0"/>
                <w:bCs w:val="0"/>
              </w:rPr>
              <w:t xml:space="preserve">0.01</w:t>
            </w:r>
            <w:r/>
          </w:p>
        </w:tc>
      </w:tr>
      <w:tr>
        <w:trPr/>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880" w:type="dxa"/>
          </w:tcPr>
          <w:p>
            <w:pPr>
              <w:pBdr/>
              <w:spacing/>
              <w:ind/>
              <w:rPr/>
            </w:pPr>
            <w:r>
              <w:rPr>
                <w:b w:val="0"/>
                <w:bCs w:val="0"/>
              </w:rPr>
              <w:t xml:space="preserve">Momentum</w:t>
            </w:r>
            <w:r/>
          </w:p>
        </w:tc>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6480" w:type="dxa"/>
          </w:tcPr>
          <w:p>
            <w:pPr>
              <w:pBdr/>
              <w:spacing/>
              <w:ind/>
              <w:rPr/>
            </w:pPr>
            <w:r>
              <w:rPr>
                <w:b w:val="0"/>
                <w:bCs w:val="0"/>
              </w:rPr>
              <w:t xml:space="preserve">0.9</w:t>
            </w:r>
            <w:r/>
          </w:p>
        </w:tc>
      </w:tr>
      <w:tr>
        <w:trPr/>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880" w:type="dxa"/>
          </w:tcPr>
          <w:p>
            <w:pPr>
              <w:pBdr/>
              <w:spacing/>
              <w:ind/>
              <w:rPr/>
            </w:pPr>
            <w:r>
              <w:rPr>
                <w:b w:val="0"/>
                <w:bCs w:val="0"/>
              </w:rPr>
              <w:t xml:space="preserve">Batch size</w:t>
            </w:r>
            <w:r/>
          </w:p>
        </w:tc>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6480" w:type="dxa"/>
          </w:tcPr>
          <w:p>
            <w:pPr>
              <w:pBdr/>
              <w:spacing/>
              <w:ind/>
              <w:rPr/>
            </w:pPr>
            <w:r>
              <w:rPr>
                <w:b w:val="0"/>
                <w:bCs w:val="0"/>
              </w:rPr>
              <w:t xml:space="preserve">32</w:t>
            </w:r>
            <w:r/>
          </w:p>
        </w:tc>
      </w:tr>
      <w:tr>
        <w:trPr/>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880" w:type="dxa"/>
          </w:tcPr>
          <w:p>
            <w:pPr>
              <w:pBdr/>
              <w:spacing/>
              <w:ind/>
              <w:rPr/>
            </w:pPr>
            <w:r>
              <w:rPr>
                <w:b w:val="0"/>
                <w:bCs w:val="0"/>
              </w:rPr>
              <w:t xml:space="preserve">Default epohe</w:t>
            </w:r>
            <w:r/>
          </w:p>
        </w:tc>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6480" w:type="dxa"/>
          </w:tcPr>
          <w:p>
            <w:pPr>
              <w:pBdr/>
              <w:spacing/>
              <w:ind/>
              <w:rPr/>
            </w:pPr>
            <w:r>
              <w:rPr>
                <w:b w:val="0"/>
                <w:bCs w:val="0"/>
              </w:rPr>
              <w:t xml:space="preserve">10</w:t>
            </w:r>
            <w:r/>
          </w:p>
        </w:tc>
      </w:tr>
      <w:tr>
        <w:trPr/>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880" w:type="dxa"/>
          </w:tcPr>
          <w:p>
            <w:pPr>
              <w:pBdr/>
              <w:spacing/>
              <w:ind/>
              <w:rPr/>
            </w:pPr>
            <w:r>
              <w:rPr>
                <w:b w:val="0"/>
                <w:bCs w:val="0"/>
              </w:rPr>
              <w:t xml:space="preserve">Random seed</w:t>
            </w:r>
            <w:r/>
          </w:p>
        </w:tc>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6480" w:type="dxa"/>
          </w:tcPr>
          <w:p>
            <w:pPr>
              <w:pBdr/>
              <w:spacing/>
              <w:ind/>
              <w:rPr/>
            </w:pPr>
            <w:r>
              <w:rPr>
                <w:b w:val="0"/>
                <w:bCs w:val="0"/>
              </w:rPr>
              <w:t xml:space="preserve">42</w:t>
            </w:r>
            <w:r/>
          </w:p>
        </w:tc>
      </w:tr>
      <w:tr>
        <w:trPr/>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880" w:type="dxa"/>
          </w:tcPr>
          <w:p>
            <w:pPr>
              <w:pBdr/>
              <w:spacing/>
              <w:ind/>
              <w:rPr/>
            </w:pPr>
            <w:r>
              <w:rPr>
                <w:b w:val="0"/>
                <w:bCs w:val="0"/>
              </w:rPr>
              <w:t xml:space="preserve">Save path</w:t>
            </w:r>
            <w:r/>
          </w:p>
        </w:tc>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6480" w:type="dxa"/>
          </w:tcPr>
          <w:p>
            <w:pPr>
              <w:pBdr/>
              <w:spacing/>
              <w:ind/>
              <w:rPr/>
            </w:pPr>
            <w:r>
              <w:rPr>
                <w:b w:val="0"/>
                <w:bCs w:val="0"/>
              </w:rPr>
              <w:t xml:space="preserve">models/cnn_fruits.npz</w:t>
            </w:r>
            <w:r/>
          </w:p>
        </w:tc>
      </w:tr>
    </w:tbl>
    <w:p>
      <w:pPr>
        <w:pBdr/>
        <w:spacing w:after="120"/>
        <w:ind/>
        <w:rPr/>
      </w:pPr>
      <w:r/>
      <w:r/>
    </w:p>
    <w:p>
      <w:pPr>
        <w:pStyle w:val="894"/>
        <w:pBdr/>
        <w:spacing/>
        <w:ind/>
        <w:rPr/>
      </w:pPr>
      <w:r>
        <w:t xml:space="preserve">2.3 Pruning težina</w:t>
      </w:r>
      <w:r/>
    </w:p>
    <w:p>
      <w:pPr>
        <w:pBdr/>
        <w:spacing w:after="120"/>
        <w:ind/>
        <w:rPr/>
      </w:pPr>
      <w:r>
        <w:t xml:space="preserve">Implementirana su dva pristupa nestrukturiranog pruninga prema paradigmi train–prune–retrain Han et al. te Poglavlju 2.2 seminara [1]:</w:t>
      </w:r>
      <w:r/>
    </w:p>
    <w:p>
      <w:pPr>
        <w:pStyle w:val="885"/>
        <w:numPr>
          <w:ilvl w:val="0"/>
          <w:numId w:val="2"/>
        </w:numPr>
        <w:pBdr/>
        <w:spacing/>
        <w:ind/>
        <w:rPr/>
      </w:pPr>
      <w:r>
        <w:t xml:space="preserve">Globalni pruning — skupljaju se apsolutne vrijednosti težina iz svih slojeva u jedan vektor, sortiraju po veličini i uklanja se zadani postotak najmanjih težina kroz cijelu mrežu [2].</w:t>
      </w:r>
      <w:r/>
    </w:p>
    <w:p>
      <w:pPr>
        <w:pStyle w:val="885"/>
        <w:numPr>
          <w:ilvl w:val="0"/>
          <w:numId w:val="2"/>
        </w:numPr>
        <w:pBdr/>
        <w:spacing/>
        <w:ind/>
        <w:rPr/>
      </w:pPr>
      <w:r>
        <w:t xml:space="preserve">Per-layer pruning — težine se sortiraju i uklanjaju nezavisno unutar svakog sloja, pa svaki sloj gubi isti postotak.</w:t>
      </w:r>
      <w:r/>
    </w:p>
    <w:p>
      <w:pPr>
        <w:pBdr/>
        <w:spacing w:after="120"/>
        <w:ind/>
        <w:rPr/>
      </w:pPr>
      <w:r>
        <w:t xml:space="preserve">Za pohranjivanje informacije o uklonjenim težinama koriste se binarne maske (1 za zadržane, 0 za pruned</w:t>
      </w:r>
      <w:r>
        <w:t xml:space="preserve">). Nakon pruninga model se fine-tunea kratko vrijeme, pri čemu se maske ponovno primjenjuju nakon svakog optimizatorskog koraka kako bi pruned težine ostale točno nula. To je važno jer bi inače gradijentno ažuriranje moglo iznova aktivirati uklonjene veze.</w:t>
      </w:r>
      <w:r/>
    </w:p>
    <w:p>
      <w:pPr>
        <w:pBdr/>
        <w:spacing w:after="120"/>
        <w:ind/>
        <w:rPr>
          <w:highlight w:val="none"/>
        </w:rPr>
      </w:pPr>
      <w:r>
        <w:t xml:space="preserve">U inicijalnim ispitivanjima testirani su pruning iznosi od 20%, 50% i 80%, uz obje strategije. G</w:t>
      </w:r>
      <w:r>
        <w:t xml:space="preserve">lobalni pruning konzistentno je nadmašio per-layer pristup, što je u skladu s opažanjima u literaturi [2]: globalni pristup omogućuje da osjetljivi slojevi (poput zadnjeg FC sloja) zadrže više težina, dok manje važni slojevi mogu biti agresivnije porezani.</w:t>
      </w:r>
      <w:r>
        <w:rPr>
          <w:highlight w:val="none"/>
        </w:rPr>
      </w:r>
      <w:r>
        <w:rPr>
          <w:highlight w:val="none"/>
        </w:rPr>
      </w:r>
    </w:p>
    <w:p w14:paraId="48623845">
      <w:pPr>
        <w:pBdr/>
        <w:spacing w:after="120"/>
        <w:ind/>
        <w:rPr/>
      </w:pPr>
      <w:r/>
      <w:r/>
    </w:p>
    <w:p w14:paraId="236F95E9">
      <w:pPr>
        <w:pBdr/>
        <w:spacing w:after="120"/>
        <w:ind/>
        <w:rPr/>
      </w:pPr>
      <w:r/>
      <w:r/>
    </w:p>
    <w:p w14:paraId="41449250">
      <w:pPr>
        <w:pBdr/>
        <w:spacing w:after="120"/>
        <w:ind/>
        <w:rPr/>
      </w:pPr>
      <w:r>
        <w:rPr>
          <w:highlight w:val="none"/>
        </w:rPr>
      </w:r>
      <w:r>
        <w:rPr>
          <w:highlight w:val="none"/>
        </w:rPr>
      </w:r>
      <w:r/>
    </w:p>
    <w:p>
      <w:pPr>
        <w:pStyle w:val="894"/>
        <w:pBdr/>
        <w:spacing/>
        <w:ind/>
        <w:rPr/>
      </w:pPr>
      <w:r>
        <w:t xml:space="preserve">2.4 Post-training kvantizacija</w:t>
      </w:r>
      <w:r/>
    </w:p>
    <w:p>
      <w:pPr>
        <w:pBdr/>
        <w:spacing w:after="120"/>
        <w:ind/>
        <w:rPr/>
      </w:pPr>
      <w:r>
        <w:t xml:space="preserve">Implementiran je simetrični i asimetrični INT8 PTQ prema Algoritmu 1 i jednadžbama (1)-(5) iz seminara [1]. Za svaki sloj zasebno izračunavaju se parametri kvantizacije iz raspona težina [R_min, R_max]:</w:t>
      </w:r>
      <w:r/>
    </w:p>
    <w:p>
      <w:pPr>
        <w:pBdr/>
        <w:shd w:val="clear" w:color="auto" w:fill="f2f2f2"/>
        <w:spacing w:after="80"/>
        <w:ind/>
        <w:rPr/>
      </w:pPr>
      <w:r>
        <w:rPr>
          <w:rFonts w:ascii="Consolas" w:hAnsi="Consolas" w:eastAsia="Consolas" w:cs="Consolas"/>
          <w:sz w:val="18"/>
          <w:szCs w:val="18"/>
        </w:rPr>
        <w:t xml:space="preserve">S = (R_max − R_min) / (Q_max − Q_min)            (1)</w:t>
      </w:r>
      <w:r/>
    </w:p>
    <w:p>
      <w:pPr>
        <w:pBdr/>
        <w:shd w:val="clear" w:color="auto" w:fill="f2f2f2"/>
        <w:spacing w:after="80"/>
        <w:ind/>
        <w:rPr/>
      </w:pPr>
      <w:r>
        <w:rPr>
          <w:rFonts w:ascii="Consolas" w:hAnsi="Consolas" w:eastAsia="Consolas" w:cs="Consolas"/>
          <w:sz w:val="18"/>
          <w:szCs w:val="18"/>
        </w:rPr>
        <w:t xml:space="preserve">Z = Q_max − R_max / S                           (2)</w:t>
      </w:r>
      <w:r/>
    </w:p>
    <w:p>
      <w:pPr>
        <w:pBdr/>
        <w:shd w:val="clear" w:color="auto" w:fill="f2f2f2"/>
        <w:spacing w:after="80"/>
        <w:ind/>
        <w:rPr/>
      </w:pPr>
      <w:r>
        <w:rPr>
          <w:rFonts w:ascii="Consolas" w:hAnsi="Consolas" w:eastAsia="Consolas" w:cs="Consolas"/>
          <w:sz w:val="18"/>
          <w:szCs w:val="18"/>
        </w:rPr>
        <w:t xml:space="preserve">Q = round(R / S + Z),    Q ∈ [−128, 127]         (3)</w:t>
      </w:r>
      <w:r/>
    </w:p>
    <w:p>
      <w:pPr>
        <w:pBdr/>
        <w:shd w:val="clear" w:color="auto" w:fill="f2f2f2"/>
        <w:spacing w:after="80"/>
        <w:ind/>
        <w:rPr/>
      </w:pPr>
      <w:r>
        <w:rPr>
          <w:rFonts w:ascii="Consolas" w:hAnsi="Consolas" w:eastAsia="Consolas" w:cs="Consolas"/>
          <w:sz w:val="18"/>
          <w:szCs w:val="18"/>
        </w:rPr>
        <w:t xml:space="preserve">R̂ = (Q − Z) · S                                 (4)</w:t>
      </w:r>
      <w:r/>
    </w:p>
    <w:p>
      <w:pPr>
        <w:pBdr/>
        <w:spacing w:after="120"/>
        <w:ind/>
        <w:rPr/>
      </w:pPr>
      <w:r>
        <w:t xml:space="preserve">Težine se konvertiraju u INT8 prema jednadžbi (3) i odmah vraćaju u FP32 prema jednadžbi (4). Ovaj round-trip čini točno onaj utjecaj na model koji bi imala stvarna INT8 infe</w:t>
      </w:r>
      <w:r>
        <w:t xml:space="preserve">rencija na hardveru, dok i dalje koristi FP32 aritmetiku u forward prolazu — što je nužno za pure NumPy implementaciju [1]. Asimetrični način korišten je kao default jer bolje pokriva neuravnoteženu distribuciju težina (npr. kad je R_min daleko od −R_max).</w:t>
      </w:r>
      <w:r/>
    </w:p>
    <w:p>
      <w:pPr>
        <w:pBdr/>
        <w:spacing w:after="120"/>
        <w:ind/>
        <w:rPr/>
      </w:pPr>
      <w:r>
        <w:t xml:space="preserve">U praktičnom deploymentu, sprema li se model s INT8 težinama (1 bajt po težini) umjesto FP32 (4 bajta po težini), teoretsko smanjenje veličine je točno 4×.</w:t>
      </w:r>
      <w:r/>
    </w:p>
    <w:p>
      <w:pPr>
        <w:pStyle w:val="894"/>
        <w:pBdr/>
        <w:spacing/>
        <w:ind/>
        <w:rPr/>
      </w:pPr>
      <w:r>
        <w:t xml:space="preserve">2.5 Eksperimentalni postav</w:t>
      </w:r>
      <w:r/>
    </w:p>
    <w:p>
      <w:pPr>
        <w:pBdr/>
        <w:spacing w:after="120"/>
        <w:ind/>
        <w:rPr/>
      </w:pPr>
      <w:r>
        <w:t xml:space="preserve">Cjeloviti pipeline pokreće se pomoću main.py i izvodi tri faze sukcesivno:</w:t>
      </w:r>
      <w:r/>
    </w:p>
    <w:p>
      <w:pPr>
        <w:pStyle w:val="885"/>
        <w:numPr>
          <w:ilvl w:val="0"/>
          <w:numId w:val="2"/>
        </w:numPr>
        <w:pBdr/>
        <w:spacing/>
        <w:ind/>
        <w:rPr/>
      </w:pPr>
      <w:r>
        <w:t xml:space="preserve">Faza 1 — Treniranje: SimpleCNN se trenira 10 epoha s lr = 0.01 i batch size 32; najbolji checkpoint (najviša test točnost) se sprema.</w:t>
      </w:r>
      <w:r/>
    </w:p>
    <w:p>
      <w:pPr>
        <w:pStyle w:val="885"/>
        <w:numPr>
          <w:ilvl w:val="0"/>
          <w:numId w:val="2"/>
        </w:numPr>
        <w:pBdr/>
        <w:spacing/>
        <w:ind/>
        <w:rPr/>
      </w:pPr>
      <w:r>
        <w:t xml:space="preserve">Faza 2 — Pruning: Učitava se najbolji checkpoint, primjenjuje globalni L1 pruning s 50% rijetkosti, slijedi 3 epohe fine-tuninga s lr = 0.001 uz zamrznutu masku.</w:t>
      </w:r>
      <w:r/>
    </w:p>
    <w:p>
      <w:pPr>
        <w:pStyle w:val="885"/>
        <w:numPr>
          <w:ilvl w:val="0"/>
          <w:numId w:val="2"/>
        </w:numPr>
        <w:pBdr/>
        <w:spacing/>
        <w:ind/>
        <w:rPr/>
      </w:pPr>
      <w:r>
        <w:t xml:space="preserve">Faza 3 — Kvantizacija: Učitava se ponovno originalni checkpoint (ne pruned) i primjenjuje asimetrični INT8 PTQ sloj po sloj.</w:t>
      </w:r>
      <w:r/>
    </w:p>
    <w:p>
      <w:pPr>
        <w:pBdr/>
        <w:spacing w:after="120"/>
        <w:ind/>
        <w:rPr/>
      </w:pPr>
      <w:r>
        <w:t xml:space="preserve">Korišten je ful</w:t>
      </w:r>
      <w:r>
        <w:t xml:space="preserve">l Fruits-360 dataset uz max_per_class = 100 (zbog CPU-only NumPy izvedbe), što daje približno 26 000 slika za treniranje i 13 000 za testiranje. Ukupno trajanje cijelog pipelinea bilo je oko 3 sata i 30 minuta na referentnom laptopu (16 GB RAM, bez GPU-a).</w:t>
      </w:r>
      <w:r/>
    </w:p>
    <w:p>
      <w:pPr>
        <w:pStyle w:val="893"/>
        <w:pBdr/>
        <w:spacing/>
        <w:ind/>
        <w:rPr/>
      </w:pPr>
      <w:r>
        <w:t xml:space="preserve">3. REZULTATI</w:t>
      </w:r>
      <w:r/>
    </w:p>
    <w:p>
      <w:pPr>
        <w:pBdr/>
        <w:spacing w:after="120"/>
        <w:ind/>
        <w:rPr/>
      </w:pPr>
      <w:r>
        <w:t xml:space="preserve">Tablica 1 prikazuje konačne rezultate cjelovitog pipelinea izmjerene na test skupu Fruits-360 (261 klasa, 10 epoha treniranja, 100 slika po klasi):</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40"/>
        <w:gridCol w:w="2240"/>
        <w:gridCol w:w="2240"/>
        <w:gridCol w:w="2240"/>
      </w:tblGrid>
      <w:tr>
        <w:trPr>
          <w:tblHeader/>
        </w:trPr>
        <w:tc>
          <w:tcPr>
            <w:shd w:val="clear" w:color="auto" w:fill="d9e2f3"/>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640" w:type="dxa"/>
          </w:tcPr>
          <w:p>
            <w:pPr>
              <w:pBdr/>
              <w:spacing/>
              <w:ind/>
              <w:jc w:val="left"/>
              <w:rPr/>
            </w:pPr>
            <w:r>
              <w:rPr>
                <w:b/>
                <w:bCs/>
              </w:rPr>
              <w:t xml:space="preserve">Metrika</w:t>
            </w:r>
            <w:r/>
          </w:p>
        </w:tc>
        <w:tc>
          <w:tcPr>
            <w:shd w:val="clear" w:color="auto" w:fill="d9e2f3"/>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240" w:type="dxa"/>
          </w:tcPr>
          <w:p>
            <w:pPr>
              <w:pBdr/>
              <w:spacing/>
              <w:ind/>
              <w:jc w:val="center"/>
              <w:rPr/>
            </w:pPr>
            <w:r>
              <w:rPr>
                <w:b/>
                <w:bCs/>
              </w:rPr>
              <w:t xml:space="preserve">Originalni</w:t>
            </w:r>
            <w:r/>
          </w:p>
        </w:tc>
        <w:tc>
          <w:tcPr>
            <w:shd w:val="clear" w:color="auto" w:fill="d9e2f3"/>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240" w:type="dxa"/>
          </w:tcPr>
          <w:p>
            <w:pPr>
              <w:pBdr/>
              <w:spacing/>
              <w:ind/>
              <w:jc w:val="center"/>
              <w:rPr/>
            </w:pPr>
            <w:r>
              <w:rPr>
                <w:b/>
                <w:bCs/>
              </w:rPr>
              <w:t xml:space="preserve">Pruning (50%)</w:t>
            </w:r>
            <w:r/>
          </w:p>
        </w:tc>
        <w:tc>
          <w:tcPr>
            <w:shd w:val="clear" w:color="auto" w:fill="d9e2f3"/>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240" w:type="dxa"/>
          </w:tcPr>
          <w:p>
            <w:pPr>
              <w:pBdr/>
              <w:spacing/>
              <w:ind/>
              <w:jc w:val="center"/>
              <w:rPr/>
            </w:pPr>
            <w:r>
              <w:rPr>
                <w:b/>
                <w:bCs/>
              </w:rPr>
              <w:t xml:space="preserve">Kvantizacija</w:t>
            </w:r>
            <w:r/>
          </w:p>
        </w:tc>
      </w:tr>
      <w:tr>
        <w:trPr/>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640" w:type="dxa"/>
          </w:tcPr>
          <w:p>
            <w:pPr>
              <w:pBdr/>
              <w:spacing/>
              <w:ind/>
              <w:jc w:val="left"/>
              <w:rPr/>
            </w:pPr>
            <w:r>
              <w:rPr>
                <w:b w:val="0"/>
                <w:bCs w:val="0"/>
              </w:rPr>
              <w:t xml:space="preserve">Top-1 točnost (%)</w:t>
            </w:r>
            <w:r/>
          </w:p>
        </w:tc>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240" w:type="dxa"/>
          </w:tcPr>
          <w:p>
            <w:pPr>
              <w:pBdr/>
              <w:spacing/>
              <w:ind/>
              <w:jc w:val="center"/>
              <w:rPr/>
            </w:pPr>
            <w:r>
              <w:rPr>
                <w:b w:val="0"/>
                <w:bCs w:val="0"/>
              </w:rPr>
              <w:t xml:space="preserve">69.88</w:t>
            </w:r>
            <w:r/>
          </w:p>
        </w:tc>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240" w:type="dxa"/>
          </w:tcPr>
          <w:p>
            <w:pPr>
              <w:pBdr/>
              <w:spacing/>
              <w:ind/>
              <w:jc w:val="center"/>
              <w:rPr/>
            </w:pPr>
            <w:r>
              <w:rPr>
                <w:b w:val="0"/>
                <w:bCs w:val="0"/>
              </w:rPr>
              <w:t xml:space="preserve">69.95</w:t>
            </w:r>
            <w:r/>
          </w:p>
        </w:tc>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240" w:type="dxa"/>
          </w:tcPr>
          <w:p>
            <w:pPr>
              <w:pBdr/>
              <w:spacing/>
              <w:ind/>
              <w:jc w:val="center"/>
              <w:rPr/>
            </w:pPr>
            <w:r>
              <w:rPr>
                <w:b w:val="0"/>
                <w:bCs w:val="0"/>
              </w:rPr>
              <w:t xml:space="preserve">69.92</w:t>
            </w:r>
            <w:r/>
          </w:p>
        </w:tc>
      </w:tr>
      <w:tr>
        <w:trPr/>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640" w:type="dxa"/>
          </w:tcPr>
          <w:p>
            <w:pPr>
              <w:pBdr/>
              <w:spacing/>
              <w:ind/>
              <w:jc w:val="left"/>
              <w:rPr/>
            </w:pPr>
            <w:r>
              <w:rPr>
                <w:b w:val="0"/>
                <w:bCs w:val="0"/>
              </w:rPr>
              <w:t xml:space="preserve">Veličina modela (KB)</w:t>
            </w:r>
            <w:r/>
          </w:p>
        </w:tc>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240" w:type="dxa"/>
          </w:tcPr>
          <w:p>
            <w:pPr>
              <w:pBdr/>
              <w:spacing/>
              <w:ind/>
              <w:jc w:val="center"/>
              <w:rPr/>
            </w:pPr>
            <w:r>
              <w:rPr>
                <w:b w:val="0"/>
                <w:bCs w:val="0"/>
              </w:rPr>
              <w:t xml:space="preserve">10 275.60</w:t>
            </w:r>
            <w:r/>
          </w:p>
        </w:tc>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240" w:type="dxa"/>
          </w:tcPr>
          <w:p>
            <w:pPr>
              <w:pBdr/>
              <w:spacing/>
              <w:ind/>
              <w:jc w:val="center"/>
              <w:rPr/>
            </w:pPr>
            <w:r>
              <w:rPr>
                <w:b w:val="0"/>
                <w:bCs w:val="0"/>
              </w:rPr>
              <w:t xml:space="preserve">10 275.60</w:t>
            </w:r>
            <w:r/>
          </w:p>
        </w:tc>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240" w:type="dxa"/>
          </w:tcPr>
          <w:p>
            <w:pPr>
              <w:pBdr/>
              <w:spacing/>
              <w:ind/>
              <w:jc w:val="center"/>
              <w:rPr/>
            </w:pPr>
            <w:r>
              <w:rPr>
                <w:b w:val="0"/>
                <w:bCs w:val="0"/>
              </w:rPr>
              <w:t xml:space="preserve">5 139.75</w:t>
            </w:r>
            <w:r/>
          </w:p>
        </w:tc>
      </w:tr>
      <w:tr>
        <w:trPr/>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640" w:type="dxa"/>
          </w:tcPr>
          <w:p>
            <w:pPr>
              <w:pBdr/>
              <w:spacing/>
              <w:ind/>
              <w:jc w:val="left"/>
              <w:rPr/>
            </w:pPr>
            <w:r>
              <w:rPr>
                <w:b w:val="0"/>
                <w:bCs w:val="0"/>
              </w:rPr>
              <w:t xml:space="preserve">Inferencija (ms)</w:t>
            </w:r>
            <w:r/>
          </w:p>
        </w:tc>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240" w:type="dxa"/>
          </w:tcPr>
          <w:p>
            <w:pPr>
              <w:pBdr/>
              <w:spacing/>
              <w:ind/>
              <w:jc w:val="center"/>
              <w:rPr/>
            </w:pPr>
            <w:r>
              <w:rPr>
                <w:b w:val="0"/>
                <w:bCs w:val="0"/>
              </w:rPr>
              <w:t xml:space="preserve">81.75</w:t>
            </w:r>
            <w:r/>
          </w:p>
        </w:tc>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240" w:type="dxa"/>
          </w:tcPr>
          <w:p>
            <w:pPr>
              <w:pBdr/>
              <w:spacing/>
              <w:ind/>
              <w:jc w:val="center"/>
              <w:rPr/>
            </w:pPr>
            <w:r>
              <w:rPr>
                <w:b w:val="0"/>
                <w:bCs w:val="0"/>
              </w:rPr>
              <w:t xml:space="preserve">81.83</w:t>
            </w:r>
            <w:r/>
          </w:p>
        </w:tc>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240" w:type="dxa"/>
          </w:tcPr>
          <w:p>
            <w:pPr>
              <w:pBdr/>
              <w:spacing/>
              <w:ind/>
              <w:jc w:val="center"/>
              <w:rPr/>
            </w:pPr>
            <w:r>
              <w:rPr>
                <w:b w:val="0"/>
                <w:bCs w:val="0"/>
              </w:rPr>
              <w:t xml:space="preserve">69.75</w:t>
            </w:r>
            <w:r/>
          </w:p>
        </w:tc>
      </w:tr>
      <w:tr>
        <w:trPr/>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640" w:type="dxa"/>
          </w:tcPr>
          <w:p>
            <w:pPr>
              <w:pBdr/>
              <w:spacing/>
              <w:ind/>
              <w:jc w:val="left"/>
              <w:rPr/>
            </w:pPr>
            <w:r>
              <w:rPr>
                <w:b w:val="0"/>
                <w:bCs w:val="0"/>
              </w:rPr>
              <w:t xml:space="preserve">Rijetkost / Sparsity (%)</w:t>
            </w:r>
            <w:r/>
          </w:p>
        </w:tc>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240" w:type="dxa"/>
          </w:tcPr>
          <w:p>
            <w:pPr>
              <w:pBdr/>
              <w:spacing/>
              <w:ind/>
              <w:jc w:val="center"/>
              <w:rPr/>
            </w:pPr>
            <w:r>
              <w:rPr>
                <w:b w:val="0"/>
                <w:bCs w:val="0"/>
              </w:rPr>
              <w:t xml:space="preserve">0.00</w:t>
            </w:r>
            <w:r/>
          </w:p>
        </w:tc>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240" w:type="dxa"/>
          </w:tcPr>
          <w:p>
            <w:pPr>
              <w:pBdr/>
              <w:spacing/>
              <w:ind/>
              <w:jc w:val="center"/>
              <w:rPr/>
            </w:pPr>
            <w:r>
              <w:rPr>
                <w:b w:val="0"/>
                <w:bCs w:val="0"/>
              </w:rPr>
              <w:t xml:space="preserve">50.00</w:t>
            </w:r>
            <w:r/>
          </w:p>
        </w:tc>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240" w:type="dxa"/>
          </w:tcPr>
          <w:p>
            <w:pPr>
              <w:pBdr/>
              <w:spacing/>
              <w:ind/>
              <w:jc w:val="center"/>
              <w:rPr/>
            </w:pPr>
            <w:r>
              <w:rPr>
                <w:b w:val="0"/>
                <w:bCs w:val="0"/>
              </w:rPr>
              <w:t xml:space="preserve">0.00</w:t>
            </w:r>
            <w:r/>
          </w:p>
        </w:tc>
      </w:tr>
      <w:tr>
        <w:trPr/>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640" w:type="dxa"/>
          </w:tcPr>
          <w:p>
            <w:pPr>
              <w:pBdr/>
              <w:spacing/>
              <w:ind/>
              <w:jc w:val="left"/>
              <w:rPr/>
            </w:pPr>
            <w:r>
              <w:rPr>
                <w:b w:val="0"/>
                <w:bCs w:val="0"/>
              </w:rPr>
              <w:t xml:space="preserve">Promjena točnosti (%)</w:t>
            </w:r>
            <w:r/>
          </w:p>
        </w:tc>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240" w:type="dxa"/>
          </w:tcPr>
          <w:p>
            <w:pPr>
              <w:pBdr/>
              <w:spacing/>
              <w:ind/>
              <w:jc w:val="center"/>
              <w:rPr/>
            </w:pPr>
            <w:r>
              <w:rPr>
                <w:b w:val="0"/>
                <w:bCs w:val="0"/>
              </w:rPr>
              <w:t xml:space="preserve">—</w:t>
            </w:r>
            <w:r/>
          </w:p>
        </w:tc>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240" w:type="dxa"/>
          </w:tcPr>
          <w:p>
            <w:pPr>
              <w:pBdr/>
              <w:spacing/>
              <w:ind/>
              <w:jc w:val="center"/>
              <w:rPr/>
            </w:pPr>
            <w:r>
              <w:rPr>
                <w:b w:val="0"/>
                <w:bCs w:val="0"/>
              </w:rPr>
              <w:t xml:space="preserve">+0.07</w:t>
            </w:r>
            <w:r/>
          </w:p>
        </w:tc>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240" w:type="dxa"/>
          </w:tcPr>
          <w:p>
            <w:pPr>
              <w:pBdr/>
              <w:spacing/>
              <w:ind/>
              <w:jc w:val="center"/>
              <w:rPr/>
            </w:pPr>
            <w:r>
              <w:rPr>
                <w:b w:val="0"/>
                <w:bCs w:val="0"/>
              </w:rPr>
              <w:t xml:space="preserve">+0.04</w:t>
            </w:r>
            <w:r/>
          </w:p>
        </w:tc>
      </w:tr>
      <w:tr>
        <w:trPr/>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640" w:type="dxa"/>
          </w:tcPr>
          <w:p>
            <w:pPr>
              <w:pBdr/>
              <w:spacing/>
              <w:ind/>
              <w:jc w:val="left"/>
              <w:rPr/>
            </w:pPr>
            <w:r>
              <w:rPr>
                <w:b w:val="0"/>
                <w:bCs w:val="0"/>
              </w:rPr>
              <w:t xml:space="preserve">Ubrzanje (×)</w:t>
            </w:r>
            <w:r/>
          </w:p>
        </w:tc>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240" w:type="dxa"/>
          </w:tcPr>
          <w:p>
            <w:pPr>
              <w:pBdr/>
              <w:spacing/>
              <w:ind/>
              <w:jc w:val="center"/>
              <w:rPr/>
            </w:pPr>
            <w:r>
              <w:rPr>
                <w:b w:val="0"/>
                <w:bCs w:val="0"/>
              </w:rPr>
              <w:t xml:space="preserve">—</w:t>
            </w:r>
            <w:r/>
          </w:p>
        </w:tc>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240" w:type="dxa"/>
          </w:tcPr>
          <w:p>
            <w:pPr>
              <w:pBdr/>
              <w:spacing/>
              <w:ind/>
              <w:jc w:val="center"/>
              <w:rPr/>
            </w:pPr>
            <w:r>
              <w:rPr>
                <w:b w:val="0"/>
                <w:bCs w:val="0"/>
              </w:rPr>
              <w:t xml:space="preserve">1.00×</w:t>
            </w:r>
            <w:r/>
          </w:p>
        </w:tc>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240" w:type="dxa"/>
          </w:tcPr>
          <w:p>
            <w:pPr>
              <w:pBdr/>
              <w:spacing/>
              <w:ind/>
              <w:jc w:val="center"/>
              <w:rPr/>
            </w:pPr>
            <w:r>
              <w:rPr>
                <w:b w:val="0"/>
                <w:bCs w:val="0"/>
              </w:rPr>
              <w:t xml:space="preserve">1.17×</w:t>
            </w:r>
            <w:r/>
          </w:p>
        </w:tc>
      </w:tr>
      <w:tr>
        <w:trPr/>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640" w:type="dxa"/>
          </w:tcPr>
          <w:p>
            <w:pPr>
              <w:pBdr/>
              <w:spacing/>
              <w:ind/>
              <w:jc w:val="left"/>
              <w:rPr/>
            </w:pPr>
            <w:r>
              <w:rPr>
                <w:b w:val="0"/>
                <w:bCs w:val="0"/>
              </w:rPr>
              <w:t xml:space="preserve">Teor. smanjenje veličine</w:t>
            </w:r>
            <w:r/>
          </w:p>
        </w:tc>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240" w:type="dxa"/>
          </w:tcPr>
          <w:p>
            <w:pPr>
              <w:pBdr/>
              <w:spacing/>
              <w:ind/>
              <w:jc w:val="center"/>
              <w:rPr/>
            </w:pPr>
            <w:r>
              <w:rPr>
                <w:b w:val="0"/>
                <w:bCs w:val="0"/>
              </w:rPr>
              <w:t xml:space="preserve">—</w:t>
            </w:r>
            <w:r/>
          </w:p>
        </w:tc>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240" w:type="dxa"/>
          </w:tcPr>
          <w:p>
            <w:pPr>
              <w:pBdr/>
              <w:spacing/>
              <w:ind/>
              <w:jc w:val="center"/>
              <w:rPr/>
            </w:pPr>
            <w:r>
              <w:rPr>
                <w:b w:val="0"/>
                <w:bCs w:val="0"/>
              </w:rPr>
              <w:t xml:space="preserve">—</w:t>
            </w:r>
            <w:r/>
          </w:p>
        </w:tc>
        <w:tc>
          <w:tcPr>
            <w:tcBorders>
              <w:top w:val="single" w:color="999999" w:sz="4" w:space="0"/>
              <w:left w:val="single" w:color="999999" w:sz="4" w:space="0"/>
              <w:bottom w:val="single" w:color="999999" w:sz="4" w:space="0"/>
              <w:right w:val="single" w:color="999999" w:sz="4" w:space="0"/>
            </w:tcBorders>
            <w:tcMar>
              <w:left w:w="120" w:type="dxa"/>
              <w:top w:w="80" w:type="dxa"/>
              <w:right w:w="120" w:type="dxa"/>
              <w:bottom w:w="80" w:type="dxa"/>
            </w:tcMar>
            <w:tcW w:w="2240" w:type="dxa"/>
          </w:tcPr>
          <w:p>
            <w:pPr>
              <w:pBdr/>
              <w:spacing/>
              <w:ind/>
              <w:jc w:val="center"/>
              <w:rPr/>
            </w:pPr>
            <w:r>
              <w:rPr>
                <w:b w:val="0"/>
                <w:bCs w:val="0"/>
              </w:rPr>
              <w:t xml:space="preserve">75.0%</w:t>
            </w:r>
            <w:r/>
          </w:p>
        </w:tc>
      </w:tr>
    </w:tbl>
    <w:p>
      <w:pPr>
        <w:pBdr/>
        <w:spacing w:after="120"/>
        <w:ind/>
        <w:rPr/>
      </w:pPr>
      <w:r/>
      <w:r/>
    </w:p>
    <w:p>
      <w:pPr>
        <w:pBdr/>
        <w:spacing w:after="120"/>
        <w:ind/>
        <w:jc w:val="center"/>
        <w:rPr/>
      </w:pPr>
      <w:r>
        <w:rPr>
          <w:i/>
          <w:iCs/>
          <w:sz w:val="20"/>
          <w:szCs w:val="20"/>
        </w:rPr>
        <w:t xml:space="preserve">Tablica 1. Usporedba originalnog, pruned i kvantiziranog modela.</w:t>
      </w:r>
      <w:r/>
    </w:p>
    <w:p w14:paraId="4AD4894A">
      <w:pPr>
        <w:pStyle w:val="894"/>
        <w:pBdr/>
        <w:spacing/>
        <w:ind/>
        <w:rPr/>
      </w:pPr>
      <w:r>
        <w:rPr>
          <w:highlight w:val="none"/>
        </w:rPr>
      </w:r>
      <w:r>
        <w:rPr>
          <w:highlight w:val="none"/>
        </w:rPr>
      </w:r>
      <w:r/>
    </w:p>
    <w:p>
      <w:pPr>
        <w:pStyle w:val="894"/>
        <w:pBdr/>
        <w:spacing/>
        <w:ind/>
        <w:rPr>
          <w:highlight w:val="none"/>
        </w:rPr>
      </w:pPr>
      <w:r>
        <w:t xml:space="preserve">3.1 Analiza rezultata</w:t>
      </w:r>
      <w:r>
        <w:rPr>
          <w:highlight w:val="none"/>
        </w:rPr>
      </w:r>
      <w:r>
        <w:rPr>
          <w:highlight w:val="none"/>
        </w:rPr>
      </w:r>
    </w:p>
    <w:p>
      <w:pPr>
        <w:pBdr/>
        <w:spacing w:after="120"/>
        <w:ind/>
        <w:rPr/>
      </w:pPr>
      <w:r>
        <w:rPr>
          <w:b/>
          <w:bCs/>
        </w:rPr>
        <w:t xml:space="preserve">Treniranje</w:t>
      </w:r>
      <w:r/>
    </w:p>
    <w:p>
      <w:pPr>
        <w:pBdr/>
        <w:spacing w:after="120"/>
        <w:ind/>
        <w:rPr/>
      </w:pPr>
      <w:r>
        <w:t xml:space="preserve">Originalni SimpleCNN model dosegao je test točnost 69.88% na 261 klasi nakon 10 epoha. Gubitak na treningu pao je s 1.87 (epoha 1) na 0.0003 (epoha 10), što uk</w:t>
      </w:r>
      <w:r>
        <w:t xml:space="preserve">azuje na to da model gotovo savršeno pamti trening skup. Razlika između trening i test točnosti (≈30 postotnih bodova) sugerira određeni overfitting, ali za pure NumPy implementaciju bez data augmentationa i bez dropout regularizacije ovo je očekivano [1].</w:t>
      </w:r>
      <w:r/>
    </w:p>
    <w:p>
      <w:pPr>
        <w:pBdr/>
        <w:spacing w:after="120"/>
        <w:ind/>
        <w:rPr/>
      </w:pPr>
      <w:r>
        <w:rPr>
          <w:b/>
          <w:bCs/>
        </w:rPr>
        <w:t xml:space="preserve">Pruning</w:t>
      </w:r>
      <w:r/>
    </w:p>
    <w:p>
      <w:pPr>
        <w:pBdr/>
        <w:spacing w:after="120"/>
        <w:ind/>
        <w:rPr/>
      </w:pPr>
      <w:r>
        <w:t xml:space="preserve">Uklanjanje 50% težina globalnim pruningom rezultiralo je</w:t>
      </w:r>
      <w:r>
        <w:t xml:space="preserve"> gotovo neprimjetnim padom točnosti — već prije fine-tuninga model je zadržao 69.85% (samo 0.03% pada). Nakon 3 epohe fine-tuninga točnost je porasla na 69.95%, što je čak neznatno bolje od originalnog modela. Ova pojava — gdje pruning djeluje kao oblik re</w:t>
      </w:r>
      <w:r>
        <w:t xml:space="preserve">gularizacije i poboljšava generalizaciju — opažena je i u izvornom Han et al. radu te u seminaru [1]. Rezultati dodatno pokazuju da globalni pruning konzistentno nadmašuje per-layer pristup pri svim razinama rijetkosti.</w:t>
      </w:r>
      <w:r/>
    </w:p>
    <w:p>
      <w:pPr>
        <w:pBdr/>
        <w:spacing w:after="120"/>
        <w:ind/>
        <w:rPr/>
      </w:pPr>
      <w:r>
        <w:t xml:space="preserve">Mjereno ubrzanje inferencije iznosi 1.00</w:t>
      </w:r>
      <w:r>
        <w:t xml:space="preserve">× (bez ubrzanja), što je očekivano: NumPy implementacija ne koristi rijetke matrične operacije, pa nule u težinama i dalje sudjeluju u množenju. U stvarnoj hardware-aware implementaciji s rijetkim BLAS rutinama, 50% pruning bi donio mjerljivo ubrzanje [1].</w:t>
      </w:r>
      <w:r/>
    </w:p>
    <w:p>
      <w:pPr>
        <w:pBdr/>
        <w:spacing w:after="120"/>
        <w:ind/>
        <w:rPr/>
      </w:pPr>
      <w:r>
        <w:rPr>
          <w:b/>
          <w:bCs/>
        </w:rPr>
        <w:t xml:space="preserve">Kvantizacija</w:t>
      </w:r>
      <w:r/>
    </w:p>
    <w:p>
      <w:pPr>
        <w:pBdr/>
        <w:spacing w:after="120"/>
        <w:ind/>
        <w:rPr/>
      </w:pPr>
      <w:r>
        <w:t xml:space="preserve">INT8 PTQ rezultirala je padom točnosti od samo 0.04% (69.88% → 69.92% — </w:t>
      </w:r>
      <w:r>
        <w:rPr>
          <w:lang w:val="hr-HR"/>
        </w:rPr>
        <w:t xml:space="preserve">unutar šuma mjerenja</w:t>
      </w:r>
      <w:r>
        <w:t xml:space="preserve">). Teoretska veličina modela smanjila se s 5135.8 KB (FP32) na 1284.0 KB (INT8), što je točno 4× smanjenje predviđeno jednadžbama (1)-(4) iz seminara [1]. Inferencija je u praksi ubrzana za 1.17×, što proizlazi iz reduciranog dinamičkog raspona težina.</w:t>
      </w:r>
      <w:r/>
    </w:p>
    <w:p>
      <w:pPr>
        <w:pBdr/>
        <w:spacing w:after="120"/>
        <w:ind/>
        <w:rPr/>
      </w:pPr>
      <w:r>
        <w:t xml:space="preserve">Prosječna greška kvantizacije po sloju (srednja apsolutna razlika između originalnih i dequantiziranih težina) ostala je ispod 0.003 za sve slojeve, što potvrđuje da je 256-razinska INT8 rešetka dovoljno fina za distribucije težina opažene u ovom modelu.</w:t>
      </w:r>
      <w:r/>
    </w:p>
    <w:p>
      <w:pPr>
        <w:pBdr/>
        <w:spacing w:after="120"/>
        <w:ind/>
        <w:rPr/>
      </w:pPr>
      <w:r>
        <w:rPr>
          <w:b/>
          <w:bCs/>
        </w:rPr>
        <w:t xml:space="preserve">Usporedba tehnika</w:t>
      </w:r>
      <w:r/>
    </w:p>
    <w:p>
      <w:pPr>
        <w:pBdr/>
        <w:spacing w:after="120"/>
        <w:ind/>
        <w:rPr>
          <w:highlight w:val="none"/>
        </w:rPr>
      </w:pPr>
      <w:r>
        <w:t xml:space="preserve">Obje tehnike postižu svoj cilj kompresije uz zanemariv gubitak točnosti. Kvantizacija je jednostavnija za primjenu (ne zahtijeva fine-tuning</w:t>
      </w:r>
      <w:r>
        <w:t xml:space="preserve">) i daje zagarantirano 4× smanjenje veličine, što je čini praktičnijim izborom za deployment. Pruning zahtijeva korak fine-tuninga, ali se može kombinirati s kvantizacijom za dodatnu kompresiju — što je smjer naveden kao buduće istraživanje u seminaru [1].</w:t>
      </w:r>
      <w:r>
        <w:rPr>
          <w:highlight w:val="none"/>
        </w:rPr>
      </w:r>
      <w:r>
        <w:rPr>
          <w:highlight w:val="none"/>
        </w:rPr>
      </w:r>
    </w:p>
    <w:p w14:paraId="2A5D3F9B">
      <w:pPr>
        <w:pBdr/>
        <w:spacing w:after="120"/>
        <w:ind/>
        <w:rPr/>
      </w:pPr>
      <w:r/>
      <w:r/>
    </w:p>
    <w:p w14:paraId="76C6DAE3">
      <w:pPr>
        <w:pBdr/>
        <w:spacing w:after="120"/>
        <w:ind/>
        <w:rPr/>
      </w:pPr>
      <w:r/>
      <w:r/>
    </w:p>
    <w:p w14:paraId="1E85B984">
      <w:pPr>
        <w:pBdr/>
        <w:spacing w:after="120"/>
        <w:ind/>
        <w:rPr/>
      </w:pPr>
      <w:r/>
      <w:r/>
    </w:p>
    <w:p w14:paraId="182561E0">
      <w:pPr>
        <w:pBdr/>
        <w:spacing w:after="120"/>
        <w:ind/>
        <w:rPr/>
      </w:pPr>
      <w:r/>
      <w:r/>
    </w:p>
    <w:p w14:paraId="41DDFF8E">
      <w:pPr>
        <w:pBdr/>
        <w:spacing w:after="120"/>
        <w:ind/>
        <w:rPr/>
      </w:pPr>
      <w:r/>
      <w:r/>
    </w:p>
    <w:p w14:paraId="3DABFFC8">
      <w:pPr>
        <w:pBdr/>
        <w:spacing w:after="120"/>
        <w:ind/>
        <w:rPr/>
      </w:pPr>
      <w:r/>
      <w:r/>
    </w:p>
    <w:p w14:paraId="13B03CDF">
      <w:pPr>
        <w:pBdr/>
        <w:spacing w:after="120"/>
        <w:ind/>
        <w:rPr/>
      </w:pPr>
      <w:r/>
      <w:r/>
    </w:p>
    <w:p w14:paraId="5AE913E9">
      <w:pPr>
        <w:pBdr/>
        <w:spacing w:after="120"/>
        <w:ind/>
        <w:rPr/>
      </w:pPr>
      <w:r/>
      <w:r/>
    </w:p>
    <w:p w14:paraId="0619479E">
      <w:pPr>
        <w:pBdr/>
        <w:spacing w:after="120"/>
        <w:ind/>
        <w:rPr/>
      </w:pPr>
      <w:r/>
      <w:r/>
    </w:p>
    <w:p w14:paraId="2D620D89">
      <w:pPr>
        <w:pBdr/>
        <w:spacing w:after="120"/>
        <w:ind/>
        <w:rPr/>
      </w:pPr>
      <w:r>
        <w:rPr>
          <w:highlight w:val="none"/>
        </w:rPr>
      </w:r>
      <w:r>
        <w:rPr>
          <w:highlight w:val="none"/>
        </w:rPr>
      </w:r>
      <w:r/>
    </w:p>
    <w:p>
      <w:pPr>
        <w:pStyle w:val="893"/>
        <w:pBdr/>
        <w:spacing/>
        <w:ind/>
        <w:rPr/>
      </w:pPr>
      <w:r>
        <w:t xml:space="preserve">4. SLJEDEĆI KORACI — MILESTONE 2</w:t>
      </w:r>
      <w:r/>
    </w:p>
    <w:p>
      <w:pPr>
        <w:pBdr/>
        <w:spacing w:after="120"/>
        <w:ind/>
        <w:rPr/>
      </w:pPr>
      <w:r>
        <w:t xml:space="preserve">U sljedećoj fazi projekta planiramo proširiti rezultate prve kontrolne točke u nekoliko smjerova, pri čemu se svi smjerovi izravno oslanjaju na koncepte i preporuke iz seminarskog rada [1]:</w:t>
      </w:r>
      <w:r/>
    </w:p>
    <w:p>
      <w:pPr>
        <w:pStyle w:val="894"/>
        <w:pBdr/>
        <w:spacing/>
        <w:ind/>
        <w:rPr/>
      </w:pPr>
      <w:r>
        <w:t xml:space="preserve">4.1 Kombinacija pruninga i kvantizacije</w:t>
      </w:r>
      <w:r/>
    </w:p>
    <w:p>
      <w:pPr>
        <w:pBdr/>
        <w:spacing w:after="120"/>
        <w:ind/>
        <w:rPr/>
      </w:pPr>
      <w:r>
        <w:t xml:space="preserve">Trenutno su pruning i kvantizacija primijenjeni nezavisno na isti originalni model. Seminar [1] eksplicitno predlaže njihovu kombinaciju kao smjer budućeg istraživanja. Cilj je primijeniti kvantizaciju nakon pruninga (pipeline: original → pruning</w:t>
      </w:r>
      <w:r>
        <w:t xml:space="preserve"> → fine-tune → kvantizacija → finalna evaluacija) i izmjeriti dodatno smanjenje veličine i potencijalni gubitak točnosti. Očekuje se da kombinirani pristup može postići ~8× smanjenje veličine modela (50% pruning + 4× INT8) uz ukupan pad točnosti unutar 1%.</w:t>
      </w:r>
      <w:r/>
    </w:p>
    <w:p>
      <w:pPr>
        <w:pStyle w:val="894"/>
        <w:pBdr/>
        <w:spacing/>
        <w:ind/>
        <w:rPr/>
      </w:pPr>
      <w:r>
        <w:t xml:space="preserve">4.2 Razine pruninga i kvantizacije</w:t>
      </w:r>
      <w:r/>
    </w:p>
    <w:p>
      <w:pPr>
        <w:pBdr/>
        <w:spacing w:after="120"/>
        <w:ind/>
        <w:rPr/>
      </w:pPr>
      <w:r>
        <w:t xml:space="preserve">Silvija je u inicijalnom ispitivanju testirala 20%, 50% i 80% pruninga; u sljedećoj fazi rezultati će biti uključeni u zajednički pipeline kako bi se utvrdila optimalna točka kompromisa između rij</w:t>
      </w:r>
      <w:r>
        <w:t xml:space="preserve">etkosti i točnosti. Slično, za kvantizaciju planiramo usporediti simetričnu i asimetričnu varijantu (Jakov podržava obje) te eventualno isprobati nižu razinu (npr. INT4) kako bi se ispitala granica gdje kvantizacija počinje značajno degradirati točnost.</w:t>
      </w:r>
      <w:r/>
    </w:p>
    <w:p>
      <w:pPr>
        <w:pStyle w:val="894"/>
        <w:pBdr/>
        <w:spacing/>
        <w:ind/>
        <w:rPr/>
      </w:pPr>
      <w:r>
        <w:t xml:space="preserve">4.3 Strukturirani pruning</w:t>
      </w:r>
      <w:r/>
    </w:p>
    <w:p>
      <w:pPr>
        <w:pBdr/>
        <w:spacing w:after="120"/>
        <w:ind/>
        <w:rPr/>
      </w:pPr>
      <w:r>
        <w:t xml:space="preserve">Trenutno koristimo nestrukturirani L1 pruning, što omogućuje kompresiju do bilo koje razine, ali ne donosi ubrzanje na standardnom hardveru bez rijetkih BLAS rutina [1]. Seminar (Poglavlje 2.1) detaljno opisuje struktur</w:t>
      </w:r>
      <w:r>
        <w:t xml:space="preserve">irani pruning po cijelim kanalima/filterima, što bi u našoj implementaciji značilo stvarno smanjenje broja konvolucija u forward prolazu — i mjerljivo ubrzanje. Ovo je tehnički izazovnije jer mijenja oblike tenzora kroz mrežu, ali je vrijedno istraživanja.</w:t>
      </w:r>
      <w:r/>
    </w:p>
    <w:p>
      <w:pPr>
        <w:pStyle w:val="894"/>
        <w:pBdr/>
        <w:spacing/>
        <w:ind/>
        <w:rPr/>
      </w:pPr>
      <w:r>
        <w:t xml:space="preserve">4.4 Mjerne metrike i evaluacija</w:t>
      </w:r>
      <w:r/>
    </w:p>
    <w:p>
      <w:pPr>
        <w:pBdr/>
        <w:spacing w:after="120"/>
        <w:ind/>
        <w:rPr/>
      </w:pPr>
      <w:r>
        <w:t xml:space="preserve">Trenutni izvještaj prati top-1 točnost, veličinu modela, vrijeme inferencije i rijetkost. U sljedećoj fazi planiramo dodati:</w:t>
      </w:r>
      <w:r/>
    </w:p>
    <w:p>
      <w:pPr>
        <w:pStyle w:val="885"/>
        <w:numPr>
          <w:ilvl w:val="0"/>
          <w:numId w:val="2"/>
        </w:numPr>
        <w:pBdr/>
        <w:spacing/>
        <w:ind/>
        <w:rPr/>
      </w:pPr>
      <w:r>
        <w:t xml:space="preserve">Top-5 točnost — relevantnija metrika za dataset s velikim brojem vizualno sličnih klasa (npr. različite sorte jabuka).</w:t>
      </w:r>
      <w:r/>
    </w:p>
    <w:p>
      <w:pPr>
        <w:pStyle w:val="885"/>
        <w:numPr>
          <w:ilvl w:val="0"/>
          <w:numId w:val="2"/>
        </w:numPr>
        <w:pBdr/>
        <w:spacing/>
        <w:ind/>
        <w:rPr/>
      </w:pPr>
      <w:r>
        <w:t xml:space="preserve">Mjeru kvantizacijske greške po sloju — proširenje analize iz Poglavlja 3.2 seminara [1].</w:t>
      </w:r>
      <w:r/>
    </w:p>
    <w:p>
      <w:pPr>
        <w:pStyle w:val="885"/>
        <w:numPr>
          <w:ilvl w:val="0"/>
          <w:numId w:val="2"/>
        </w:numPr>
        <w:pBdr/>
        <w:spacing/>
        <w:ind/>
        <w:rPr/>
      </w:pPr>
      <w:r>
        <w:t xml:space="preserve">Krivulju trade-off pruning amount vs. accuracy — vizualizacija koja jasno pokazuje optimalnu točku.</w:t>
      </w:r>
      <w:r/>
    </w:p>
    <w:p>
      <w:pPr>
        <w:pStyle w:val="885"/>
        <w:numPr>
          <w:ilvl w:val="0"/>
          <w:numId w:val="2"/>
        </w:numPr>
        <w:pBdr/>
        <w:spacing/>
        <w:ind/>
        <w:rPr/>
      </w:pPr>
      <w:r>
        <w:t xml:space="preserve">Statistike po klasama — koje klase najviše stradaju od kompresije.</w:t>
      </w:r>
      <w:r/>
    </w:p>
    <w:p w14:paraId="7F16DCD0">
      <w:pPr>
        <w:pStyle w:val="893"/>
        <w:pBdr/>
        <w:spacing/>
        <w:ind/>
        <w:rPr/>
      </w:pPr>
      <w:r/>
      <w:r/>
    </w:p>
    <w:p w14:paraId="6EF9A610">
      <w:pPr>
        <w:pStyle w:val="893"/>
        <w:pBdr/>
        <w:spacing/>
        <w:ind/>
        <w:rPr/>
      </w:pPr>
      <w:r/>
      <w:r/>
    </w:p>
    <w:p w14:paraId="238FEF64">
      <w:pPr>
        <w:pStyle w:val="893"/>
        <w:pBdr/>
        <w:spacing/>
        <w:ind/>
        <w:rPr/>
      </w:pPr>
      <w:r/>
      <w:r/>
    </w:p>
    <w:p w14:paraId="1B32928F">
      <w:pPr>
        <w:pStyle w:val="893"/>
        <w:pBdr/>
        <w:spacing/>
        <w:ind/>
        <w:rPr/>
      </w:pPr>
      <w:r>
        <w:rPr>
          <w:highlight w:val="none"/>
        </w:rPr>
      </w:r>
      <w:r>
        <w:rPr>
          <w:highlight w:val="none"/>
        </w:rPr>
      </w:r>
      <w:r/>
    </w:p>
    <w:p>
      <w:pPr>
        <w:pStyle w:val="893"/>
        <w:pBdr/>
        <w:spacing/>
        <w:ind/>
        <w:rPr>
          <w:highlight w:val="none"/>
        </w:rPr>
      </w:pPr>
      <w:r>
        <w:t xml:space="preserve">5. ZAKLJUČAK</w:t>
      </w:r>
      <w:r>
        <w:rPr>
          <w:highlight w:val="none"/>
        </w:rPr>
      </w:r>
      <w:r>
        <w:rPr>
          <w:highlight w:val="none"/>
        </w:rPr>
      </w:r>
    </w:p>
    <w:p>
      <w:pPr>
        <w:pBdr/>
        <w:spacing w:after="120"/>
        <w:ind/>
        <w:rPr/>
      </w:pPr>
      <w:r>
        <w:t xml:space="preserve">Do prve kontr</w:t>
      </w:r>
      <w:r>
        <w:t xml:space="preserve">olne točke svi članovi tima završili su svoje pojedinačne dijelove projekta i uspješno ih integrirali u zajednički pipeline. Originalni SimpleCNN model trenira se stabilno i postiže 69.88% test točnosti na 261-klasnom Fruits-360 datasetu. Globalni L1 pruni</w:t>
      </w:r>
      <w:r>
        <w:t xml:space="preserve">ng s 50% rijetkosti smanjuje broj aktivnih težina za pola uz čak neznatno poboljšanje točnosti (+0.07%). Post-training INT8 kvantizacija postiže teoretsko 4× smanjenje veličine modela uz pad točnosti od samo 0.04% i mjerljivo ubrzanje inferencije od 1.17×.</w:t>
      </w:r>
      <w:r/>
    </w:p>
    <w:p>
      <w:pPr>
        <w:pBdr/>
        <w:spacing w:after="120"/>
        <w:ind/>
        <w:rPr/>
      </w:pPr>
      <w:r>
        <w:t xml:space="preserve">Glavni </w:t>
      </w:r>
      <w:r>
        <w:t xml:space="preserve">rezultat ove kontrolne točke nije samo konačna točnost nego stabilan, modulariziran, čisto-NumPy pipeline koji eksplicitno realizira algoritme iz seminarskog rada [1]. Cijeli kod, log datoteke i spremljeni modeli reproducibilni su iz jednog poziva main.py.</w:t>
      </w:r>
      <w:r/>
    </w:p>
    <w:p>
      <w:pPr>
        <w:pBdr/>
        <w:spacing w:after="120"/>
        <w:ind/>
        <w:rPr>
          <w:highlight w:val="none"/>
        </w:rPr>
      </w:pPr>
      <w:r>
        <w:t xml:space="preserve">U Milestone 2 fokus će biti na kombiniranju tehnika kompresije (pruning + kvantizacija), istraživanju strukturiranog pruninga za stvarno ubrzanje na hardveru, i finalizaciji znanstvenog izvješća u IEEE obliku.</w:t>
      </w:r>
      <w:r>
        <w:rPr>
          <w:highlight w:val="none"/>
        </w:rPr>
      </w:r>
      <w:r>
        <w:rPr>
          <w:highlight w:val="none"/>
        </w:rPr>
      </w:r>
    </w:p>
    <w:p w14:paraId="4285BC3B">
      <w:pPr>
        <w:pBdr/>
        <w:spacing w:after="120"/>
        <w:ind/>
        <w:rPr/>
      </w:pPr>
      <w:r/>
      <w:r/>
    </w:p>
    <w:p w14:paraId="7D928DC1">
      <w:pPr>
        <w:pBdr/>
        <w:spacing w:after="120"/>
        <w:ind/>
        <w:rPr/>
      </w:pPr>
      <w:r/>
      <w:r/>
    </w:p>
    <w:p w14:paraId="7BC8833A">
      <w:pPr>
        <w:pBdr/>
        <w:spacing w:after="120"/>
        <w:ind/>
        <w:rPr/>
      </w:pPr>
      <w:r/>
      <w:r/>
    </w:p>
    <w:p w14:paraId="73295EEA">
      <w:pPr>
        <w:pBdr/>
        <w:spacing w:after="120"/>
        <w:ind/>
        <w:rPr/>
      </w:pPr>
      <w:r/>
      <w:r/>
    </w:p>
    <w:p w14:paraId="3699A97C">
      <w:pPr>
        <w:pBdr/>
        <w:spacing w:after="120"/>
        <w:ind/>
        <w:rPr/>
      </w:pPr>
      <w:r/>
      <w:r/>
    </w:p>
    <w:p w14:paraId="69E91B58">
      <w:pPr>
        <w:pBdr/>
        <w:spacing w:after="120"/>
        <w:ind/>
        <w:rPr/>
      </w:pPr>
      <w:r/>
      <w:r/>
    </w:p>
    <w:p w14:paraId="1AF9298B">
      <w:pPr>
        <w:pBdr/>
        <w:spacing w:after="120"/>
        <w:ind/>
        <w:rPr/>
      </w:pPr>
      <w:r/>
      <w:r/>
    </w:p>
    <w:p w14:paraId="709A9492">
      <w:pPr>
        <w:pBdr/>
        <w:spacing w:after="120"/>
        <w:ind/>
        <w:rPr/>
      </w:pPr>
      <w:r/>
      <w:r/>
    </w:p>
    <w:p w14:paraId="27090880">
      <w:pPr>
        <w:pBdr/>
        <w:spacing w:after="120"/>
        <w:ind/>
        <w:rPr/>
      </w:pPr>
      <w:r/>
      <w:r/>
    </w:p>
    <w:p w14:paraId="2C9F79F6">
      <w:pPr>
        <w:pBdr/>
        <w:spacing w:after="120"/>
        <w:ind/>
        <w:rPr/>
      </w:pPr>
      <w:r/>
      <w:r/>
    </w:p>
    <w:p w14:paraId="1DAFD02C">
      <w:pPr>
        <w:pBdr/>
        <w:spacing w:after="120"/>
        <w:ind/>
        <w:rPr/>
      </w:pPr>
      <w:r/>
      <w:r/>
    </w:p>
    <w:p w14:paraId="651C38A8">
      <w:pPr>
        <w:pBdr/>
        <w:spacing w:after="120"/>
        <w:ind/>
        <w:rPr/>
      </w:pPr>
      <w:r/>
      <w:r/>
    </w:p>
    <w:p w14:paraId="3F73CF8F">
      <w:pPr>
        <w:pBdr/>
        <w:spacing w:after="120"/>
        <w:ind/>
        <w:rPr/>
      </w:pPr>
      <w:r/>
      <w:r/>
    </w:p>
    <w:p w14:paraId="137B7692">
      <w:pPr>
        <w:pBdr/>
        <w:spacing w:after="120"/>
        <w:ind/>
        <w:rPr/>
      </w:pPr>
      <w:r/>
      <w:r/>
    </w:p>
    <w:p w14:paraId="0CDEF141">
      <w:pPr>
        <w:pBdr/>
        <w:spacing w:after="120"/>
        <w:ind/>
        <w:rPr/>
      </w:pPr>
      <w:r/>
      <w:r/>
    </w:p>
    <w:p w14:paraId="38FBAC4E">
      <w:pPr>
        <w:pBdr/>
        <w:spacing w:after="120"/>
        <w:ind/>
        <w:rPr/>
      </w:pPr>
      <w:r/>
      <w:r/>
    </w:p>
    <w:p w14:paraId="009B8469">
      <w:pPr>
        <w:pBdr/>
        <w:spacing w:after="120"/>
        <w:ind/>
        <w:rPr/>
      </w:pPr>
      <w:r/>
      <w:r/>
    </w:p>
    <w:p w14:paraId="15A0E65B">
      <w:pPr>
        <w:pBdr/>
        <w:spacing w:after="120"/>
        <w:ind/>
        <w:rPr/>
      </w:pPr>
      <w:r/>
      <w:r/>
    </w:p>
    <w:p w14:paraId="7ECE87D7">
      <w:pPr>
        <w:pBdr/>
        <w:spacing w:after="120"/>
        <w:ind/>
        <w:rPr/>
      </w:pPr>
      <w:r/>
      <w:r/>
    </w:p>
    <w:p w14:paraId="16DBF0FB">
      <w:pPr>
        <w:pBdr/>
        <w:spacing w:after="120"/>
        <w:ind/>
        <w:rPr/>
      </w:pPr>
      <w:r/>
      <w:r/>
    </w:p>
    <w:p w14:paraId="51ACF673">
      <w:pPr>
        <w:pBdr/>
        <w:spacing w:after="120"/>
        <w:ind/>
        <w:rPr/>
      </w:pPr>
      <w:r/>
      <w:r/>
    </w:p>
    <w:p w14:paraId="083D6B9E">
      <w:pPr>
        <w:pBdr/>
        <w:spacing w:after="120"/>
        <w:ind/>
        <w:rPr/>
      </w:pPr>
      <w:r/>
      <w:r/>
    </w:p>
    <w:p w14:paraId="712DE651">
      <w:pPr>
        <w:pBdr/>
        <w:spacing w:after="120"/>
        <w:ind/>
        <w:rPr/>
      </w:pPr>
      <w:r/>
      <w:r/>
    </w:p>
    <w:p w14:paraId="2D8AC2A9">
      <w:pPr>
        <w:pBdr/>
        <w:spacing w:after="120"/>
        <w:ind/>
        <w:rPr/>
      </w:pPr>
      <w:r/>
      <w:r/>
    </w:p>
    <w:p w14:paraId="75475653">
      <w:pPr>
        <w:pBdr/>
        <w:spacing w:after="120"/>
        <w:ind/>
        <w:rPr/>
      </w:pPr>
      <w:r/>
      <w:r/>
    </w:p>
    <w:p w14:paraId="628CFB53">
      <w:pPr>
        <w:pBdr/>
        <w:spacing w:after="120"/>
        <w:ind/>
        <w:rPr/>
      </w:pPr>
      <w:r>
        <w:rPr>
          <w:highlight w:val="none"/>
        </w:rPr>
      </w:r>
      <w:r>
        <w:rPr>
          <w:highlight w:val="none"/>
        </w:rPr>
      </w:r>
      <w:r/>
    </w:p>
    <w:p>
      <w:pPr>
        <w:pStyle w:val="893"/>
        <w:pBdr/>
        <w:spacing/>
        <w:ind/>
        <w:rPr/>
      </w:pPr>
      <w:r>
        <w:t xml:space="preserve">6. LITERATURA</w:t>
      </w:r>
      <w:r/>
    </w:p>
    <w:p>
      <w:pPr>
        <w:pBdr/>
        <w:spacing w:after="120"/>
        <w:ind/>
        <w:rPr/>
      </w:pPr>
      <w:r>
        <w:t xml:space="preserve">[1] Li, Z.; Li, H.; Meng, L. Model Compression for Deep Neural Networks: A Survey. Computers 2023, 12, 60. https://doi.org/10.3390/computers12030060</w:t>
      </w:r>
      <w:r/>
    </w:p>
    <w:p>
      <w:pPr>
        <w:pBdr/>
        <w:spacing w:after="120"/>
        <w:ind/>
        <w:rPr/>
      </w:pPr>
      <w:r>
        <w:t xml:space="preserve">[2] A Comprehensive Guide to Neural Network Model Pruning, https://datature.io/blog/a-comprehensive-guide-to-neural-network-model-pruning</w:t>
      </w:r>
      <w:r/>
    </w:p>
    <w:p>
      <w:pPr>
        <w:pBdr/>
        <w:spacing w:after="120"/>
        <w:ind/>
        <w:rPr/>
      </w:pPr>
      <w:r>
        <w:t xml:space="preserve">[3] Han, S.; Pool, J.; Tran, J.; Dally, W. Learning both weights and connections for efficient neural network. NeurIPS 2015, Montreal.</w:t>
      </w:r>
      <w:r/>
    </w:p>
    <w:p>
      <w:pPr>
        <w:pBdr/>
        <w:spacing w:after="120"/>
        <w:ind/>
        <w:rPr/>
      </w:pPr>
      <w:r>
        <w:t xml:space="preserve">[4] Nagel, M.; Fournarakis, M.; Amjad, R.A.; Bondarenko, Y.; van Baalen, M.; Blankevoort, T. A White Paper on Neural Network Quantization. arXiv:2106.08295, 2021.</w:t>
      </w:r>
      <w:r/>
    </w:p>
    <w:p>
      <w:pPr>
        <w:pBdr/>
        <w:spacing w:after="120"/>
        <w:ind/>
        <w:rPr/>
      </w:pPr>
      <w:r>
        <w:t xml:space="preserve">[5] A Brief Overview of Cross-Entropy Loss, https://medium.com/@chris.p.hughes10/a-brief-overview-of-cross-entropy-loss-523aa56b75d5</w:t>
      </w:r>
      <w:r/>
    </w:p>
    <w:p>
      <w:pPr>
        <w:pBdr/>
        <w:spacing w:after="120"/>
        <w:ind/>
        <w:rPr/>
      </w:pPr>
      <w:r>
        <w:t xml:space="preserve">[6] Mini-Batch Gradient Descent: A Comprehensive Guide, https://medium.com/@lomashbhuva/mini-batch-gradient-descent-a-comprehensive-guide-ba27a6dc4863</w:t>
      </w:r>
      <w:r/>
    </w:p>
    <w:sectPr>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w:basedOn w:val="7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Table Grid Light"/>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1"/>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2"/>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3"/>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4"/>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5"/>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w:basedOn w:val="7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w:basedOn w:val="7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1"/>
    <w:basedOn w:val="7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2"/>
    <w:basedOn w:val="7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3"/>
    <w:basedOn w:val="7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4"/>
    <w:basedOn w:val="7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5"/>
    <w:basedOn w:val="7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6"/>
    <w:basedOn w:val="7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1"/>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2"/>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3"/>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4"/>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5"/>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6"/>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9">
    <w:name w:val="Grid Table 6 Colorful - Accent 1"/>
    <w:basedOn w:val="7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0">
    <w:name w:val="Grid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1">
    <w:name w:val="Grid Table 6 Colorful - Accent 3"/>
    <w:basedOn w:val="7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2">
    <w:name w:val="Grid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3">
    <w:name w:val="Grid Table 6 Colorful - Accent 5"/>
    <w:basedOn w:val="7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6 Colorful - Accent 6"/>
    <w:basedOn w:val="7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7 Colorful"/>
    <w:basedOn w:val="7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1"/>
    <w:basedOn w:val="7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5"/>
    <w:basedOn w:val="7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6"/>
    <w:basedOn w:val="7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1"/>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2"/>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3"/>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4"/>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5"/>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6"/>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w:basedOn w:val="7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1"/>
    <w:basedOn w:val="7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2"/>
    <w:basedOn w:val="7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3"/>
    <w:basedOn w:val="7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4"/>
    <w:basedOn w:val="7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5"/>
    <w:basedOn w:val="7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6"/>
    <w:basedOn w:val="7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1"/>
    <w:basedOn w:val="7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3"/>
    <w:basedOn w:val="7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5"/>
    <w:basedOn w:val="7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6"/>
    <w:basedOn w:val="7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1"/>
    <w:basedOn w:val="7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2"/>
    <w:basedOn w:val="7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3"/>
    <w:basedOn w:val="7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4"/>
    <w:basedOn w:val="7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5"/>
    <w:basedOn w:val="7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6"/>
    <w:basedOn w:val="7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5 Dark"/>
    <w:basedOn w:val="7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1"/>
    <w:basedOn w:val="7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2"/>
    <w:basedOn w:val="7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3"/>
    <w:basedOn w:val="7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4"/>
    <w:basedOn w:val="7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5"/>
    <w:basedOn w:val="7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6"/>
    <w:basedOn w:val="7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1"/>
    <w:basedOn w:val="7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3"/>
    <w:basedOn w:val="7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5"/>
    <w:basedOn w:val="7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6"/>
    <w:basedOn w:val="7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7 Colorful"/>
    <w:basedOn w:val="7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5">
    <w:name w:val="List Table 7 Colorful - Accent 1"/>
    <w:basedOn w:val="7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6">
    <w:name w:val="List Table 7 Colorful - Accent 2"/>
    <w:basedOn w:val="7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7">
    <w:name w:val="List Table 7 Colorful - Accent 3"/>
    <w:basedOn w:val="7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8">
    <w:name w:val="List Table 7 Colorful - Accent 4"/>
    <w:basedOn w:val="7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09">
    <w:name w:val="List Table 7 Colorful - Accent 5"/>
    <w:basedOn w:val="7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0">
    <w:name w:val="List Table 7 Colorful - Accent 6"/>
    <w:basedOn w:val="7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1">
    <w:name w:val="Lined - Accent"/>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1"/>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2"/>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3"/>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4"/>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5"/>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6"/>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w:basedOn w:val="7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1"/>
    <w:basedOn w:val="7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2"/>
    <w:basedOn w:val="7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3"/>
    <w:basedOn w:val="7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4"/>
    <w:basedOn w:val="7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5"/>
    <w:basedOn w:val="7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6"/>
    <w:basedOn w:val="7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w:basedOn w:val="7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2" w:default="1">
    <w:name w:val="Normal"/>
    <w:qFormat/>
    <w:pPr>
      <w:pBdr/>
      <w:spacing/>
      <w:ind/>
    </w:pPr>
  </w:style>
  <w:style w:type="paragraph" w:styleId="833">
    <w:name w:val="Heading 7"/>
    <w:basedOn w:val="832"/>
    <w:next w:val="832"/>
    <w:link w:val="84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32"/>
    <w:next w:val="832"/>
    <w:link w:val="84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32"/>
    <w:next w:val="832"/>
    <w:link w:val="84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numbering" w:styleId="837" w:default="1">
    <w:name w:val="No List"/>
    <w:uiPriority w:val="99"/>
    <w:semiHidden/>
    <w:unhideWhenUsed/>
    <w:pPr>
      <w:pBdr/>
      <w:spacing/>
      <w:ind/>
    </w:pPr>
  </w:style>
  <w:style w:type="character" w:styleId="838">
    <w:name w:val="Heading 1 Char"/>
    <w:basedOn w:val="836"/>
    <w:link w:val="893"/>
    <w:uiPriority w:val="9"/>
    <w:pPr>
      <w:pBdr/>
      <w:spacing/>
      <w:ind/>
    </w:pPr>
    <w:rPr>
      <w:rFonts w:ascii="Arial" w:hAnsi="Arial" w:eastAsia="Arial" w:cs="Arial"/>
      <w:color w:val="0f4761" w:themeColor="accent1" w:themeShade="BF"/>
      <w:sz w:val="40"/>
      <w:szCs w:val="40"/>
    </w:rPr>
  </w:style>
  <w:style w:type="character" w:styleId="839">
    <w:name w:val="Heading 2 Char"/>
    <w:basedOn w:val="836"/>
    <w:link w:val="894"/>
    <w:uiPriority w:val="9"/>
    <w:pPr>
      <w:pBdr/>
      <w:spacing/>
      <w:ind/>
    </w:pPr>
    <w:rPr>
      <w:rFonts w:ascii="Arial" w:hAnsi="Arial" w:eastAsia="Arial" w:cs="Arial"/>
      <w:color w:val="0f4761" w:themeColor="accent1" w:themeShade="BF"/>
      <w:sz w:val="32"/>
      <w:szCs w:val="32"/>
    </w:rPr>
  </w:style>
  <w:style w:type="character" w:styleId="840">
    <w:name w:val="Heading 3 Char"/>
    <w:basedOn w:val="836"/>
    <w:link w:val="880"/>
    <w:uiPriority w:val="9"/>
    <w:pPr>
      <w:pBdr/>
      <w:spacing/>
      <w:ind/>
    </w:pPr>
    <w:rPr>
      <w:rFonts w:ascii="Arial" w:hAnsi="Arial" w:eastAsia="Arial" w:cs="Arial"/>
      <w:color w:val="0f4761" w:themeColor="accent1" w:themeShade="BF"/>
      <w:sz w:val="28"/>
      <w:szCs w:val="28"/>
    </w:rPr>
  </w:style>
  <w:style w:type="character" w:styleId="841">
    <w:name w:val="Heading 4 Char"/>
    <w:basedOn w:val="836"/>
    <w:link w:val="881"/>
    <w:uiPriority w:val="9"/>
    <w:pPr>
      <w:pBdr/>
      <w:spacing/>
      <w:ind/>
    </w:pPr>
    <w:rPr>
      <w:rFonts w:ascii="Arial" w:hAnsi="Arial" w:eastAsia="Arial" w:cs="Arial"/>
      <w:i/>
      <w:iCs/>
      <w:color w:val="0f4761" w:themeColor="accent1" w:themeShade="BF"/>
    </w:rPr>
  </w:style>
  <w:style w:type="character" w:styleId="842">
    <w:name w:val="Heading 5 Char"/>
    <w:basedOn w:val="836"/>
    <w:link w:val="882"/>
    <w:uiPriority w:val="9"/>
    <w:pPr>
      <w:pBdr/>
      <w:spacing/>
      <w:ind/>
    </w:pPr>
    <w:rPr>
      <w:rFonts w:ascii="Arial" w:hAnsi="Arial" w:eastAsia="Arial" w:cs="Arial"/>
      <w:color w:val="0f4761" w:themeColor="accent1" w:themeShade="BF"/>
    </w:rPr>
  </w:style>
  <w:style w:type="character" w:styleId="843">
    <w:name w:val="Heading 6 Char"/>
    <w:basedOn w:val="836"/>
    <w:link w:val="883"/>
    <w:uiPriority w:val="9"/>
    <w:pPr>
      <w:pBdr/>
      <w:spacing/>
      <w:ind/>
    </w:pPr>
    <w:rPr>
      <w:rFonts w:ascii="Arial" w:hAnsi="Arial" w:eastAsia="Arial" w:cs="Arial"/>
      <w:i/>
      <w:iCs/>
      <w:color w:val="595959" w:themeColor="text1" w:themeTint="A6"/>
    </w:rPr>
  </w:style>
  <w:style w:type="character" w:styleId="844">
    <w:name w:val="Heading 7 Char"/>
    <w:basedOn w:val="836"/>
    <w:link w:val="833"/>
    <w:uiPriority w:val="9"/>
    <w:pPr>
      <w:pBdr/>
      <w:spacing/>
      <w:ind/>
    </w:pPr>
    <w:rPr>
      <w:rFonts w:ascii="Arial" w:hAnsi="Arial" w:eastAsia="Arial" w:cs="Arial"/>
      <w:color w:val="595959" w:themeColor="text1" w:themeTint="A6"/>
    </w:rPr>
  </w:style>
  <w:style w:type="character" w:styleId="845">
    <w:name w:val="Heading 8 Char"/>
    <w:basedOn w:val="836"/>
    <w:link w:val="834"/>
    <w:uiPriority w:val="9"/>
    <w:pPr>
      <w:pBdr/>
      <w:spacing/>
      <w:ind/>
    </w:pPr>
    <w:rPr>
      <w:rFonts w:ascii="Arial" w:hAnsi="Arial" w:eastAsia="Arial" w:cs="Arial"/>
      <w:i/>
      <w:iCs/>
      <w:color w:val="272727" w:themeColor="text1" w:themeTint="D8"/>
    </w:rPr>
  </w:style>
  <w:style w:type="character" w:styleId="846">
    <w:name w:val="Heading 9 Char"/>
    <w:basedOn w:val="836"/>
    <w:link w:val="835"/>
    <w:uiPriority w:val="9"/>
    <w:pPr>
      <w:pBdr/>
      <w:spacing/>
      <w:ind/>
    </w:pPr>
    <w:rPr>
      <w:rFonts w:ascii="Arial" w:hAnsi="Arial" w:eastAsia="Arial" w:cs="Arial"/>
      <w:i/>
      <w:iCs/>
      <w:color w:val="272727" w:themeColor="text1" w:themeTint="D8"/>
    </w:rPr>
  </w:style>
  <w:style w:type="character" w:styleId="847">
    <w:name w:val="Title Char"/>
    <w:basedOn w:val="836"/>
    <w:link w:val="879"/>
    <w:uiPriority w:val="10"/>
    <w:pPr>
      <w:pBdr/>
      <w:spacing/>
      <w:ind/>
    </w:pPr>
    <w:rPr>
      <w:rFonts w:ascii="Arial" w:hAnsi="Arial" w:eastAsia="Arial" w:cs="Arial"/>
      <w:spacing w:val="-10"/>
      <w:sz w:val="56"/>
      <w:szCs w:val="56"/>
    </w:rPr>
  </w:style>
  <w:style w:type="paragraph" w:styleId="848">
    <w:name w:val="Subtitle"/>
    <w:basedOn w:val="832"/>
    <w:next w:val="832"/>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32"/>
    <w:next w:val="832"/>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32"/>
    <w:next w:val="832"/>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paragraph" w:styleId="856">
    <w:name w:val="No Spacing"/>
    <w:basedOn w:val="832"/>
    <w:uiPriority w:val="1"/>
    <w:qFormat/>
    <w:pPr>
      <w:pBdr/>
      <w:spacing w:after="0" w:line="240" w:lineRule="auto"/>
      <w:ind/>
    </w:pPr>
  </w:style>
  <w:style w:type="character" w:styleId="857">
    <w:name w:val="Subtle Emphasis"/>
    <w:basedOn w:val="836"/>
    <w:uiPriority w:val="19"/>
    <w:qFormat/>
    <w:pPr>
      <w:pBdr/>
      <w:spacing/>
      <w:ind/>
    </w:pPr>
    <w:rPr>
      <w:i/>
      <w:iCs/>
      <w:color w:val="404040" w:themeColor="text1" w:themeTint="BF"/>
    </w:rPr>
  </w:style>
  <w:style w:type="character" w:styleId="858">
    <w:name w:val="Emphasis"/>
    <w:basedOn w:val="836"/>
    <w:uiPriority w:val="20"/>
    <w:qFormat/>
    <w:pPr>
      <w:pBdr/>
      <w:spacing/>
      <w:ind/>
    </w:pPr>
    <w:rPr>
      <w:i/>
      <w:i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32"/>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32"/>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32"/>
    <w:next w:val="832"/>
    <w:uiPriority w:val="35"/>
    <w:unhideWhenUsed/>
    <w:qFormat/>
    <w:pPr>
      <w:pBdr/>
      <w:spacing w:after="200" w:line="240" w:lineRule="auto"/>
      <w:ind/>
    </w:pPr>
    <w:rPr>
      <w:i/>
      <w:iCs/>
      <w:color w:val="0e2841" w:themeColor="text2"/>
      <w:sz w:val="18"/>
      <w:szCs w:val="18"/>
    </w:rPr>
  </w:style>
  <w:style w:type="character" w:styleId="866">
    <w:name w:val="FollowedHyperlink"/>
    <w:basedOn w:val="836"/>
    <w:uiPriority w:val="99"/>
    <w:semiHidden/>
    <w:unhideWhenUsed/>
    <w:pPr>
      <w:pBdr/>
      <w:spacing/>
      <w:ind/>
    </w:pPr>
    <w:rPr>
      <w:color w:val="954f72" w:themeColor="followedHyperlink"/>
      <w:u w:val="single"/>
    </w:rPr>
  </w:style>
  <w:style w:type="paragraph" w:styleId="867">
    <w:name w:val="toc 1"/>
    <w:basedOn w:val="832"/>
    <w:next w:val="832"/>
    <w:uiPriority w:val="39"/>
    <w:unhideWhenUsed/>
    <w:pPr>
      <w:pBdr/>
      <w:spacing w:after="100"/>
      <w:ind/>
    </w:pPr>
  </w:style>
  <w:style w:type="paragraph" w:styleId="868">
    <w:name w:val="toc 2"/>
    <w:basedOn w:val="832"/>
    <w:next w:val="832"/>
    <w:uiPriority w:val="39"/>
    <w:unhideWhenUsed/>
    <w:pPr>
      <w:pBdr/>
      <w:spacing w:after="100"/>
      <w:ind w:left="220"/>
    </w:pPr>
  </w:style>
  <w:style w:type="paragraph" w:styleId="869">
    <w:name w:val="toc 3"/>
    <w:basedOn w:val="832"/>
    <w:next w:val="832"/>
    <w:uiPriority w:val="39"/>
    <w:unhideWhenUsed/>
    <w:pPr>
      <w:pBdr/>
      <w:spacing w:after="100"/>
      <w:ind w:left="440"/>
    </w:pPr>
  </w:style>
  <w:style w:type="paragraph" w:styleId="870">
    <w:name w:val="toc 4"/>
    <w:basedOn w:val="832"/>
    <w:next w:val="832"/>
    <w:uiPriority w:val="39"/>
    <w:unhideWhenUsed/>
    <w:pPr>
      <w:pBdr/>
      <w:spacing w:after="100"/>
      <w:ind w:left="660"/>
    </w:pPr>
  </w:style>
  <w:style w:type="paragraph" w:styleId="871">
    <w:name w:val="toc 5"/>
    <w:basedOn w:val="832"/>
    <w:next w:val="832"/>
    <w:uiPriority w:val="39"/>
    <w:unhideWhenUsed/>
    <w:pPr>
      <w:pBdr/>
      <w:spacing w:after="100"/>
      <w:ind w:left="880"/>
    </w:pPr>
  </w:style>
  <w:style w:type="paragraph" w:styleId="872">
    <w:name w:val="toc 6"/>
    <w:basedOn w:val="832"/>
    <w:next w:val="832"/>
    <w:uiPriority w:val="39"/>
    <w:unhideWhenUsed/>
    <w:pPr>
      <w:pBdr/>
      <w:spacing w:after="100"/>
      <w:ind w:left="1100"/>
    </w:pPr>
  </w:style>
  <w:style w:type="paragraph" w:styleId="873">
    <w:name w:val="toc 7"/>
    <w:basedOn w:val="832"/>
    <w:next w:val="832"/>
    <w:uiPriority w:val="39"/>
    <w:unhideWhenUsed/>
    <w:pPr>
      <w:pBdr/>
      <w:spacing w:after="100"/>
      <w:ind w:left="1320"/>
    </w:pPr>
  </w:style>
  <w:style w:type="paragraph" w:styleId="874">
    <w:name w:val="toc 8"/>
    <w:basedOn w:val="832"/>
    <w:next w:val="832"/>
    <w:uiPriority w:val="39"/>
    <w:unhideWhenUsed/>
    <w:pPr>
      <w:pBdr/>
      <w:spacing w:after="100"/>
      <w:ind w:left="1540"/>
    </w:pPr>
  </w:style>
  <w:style w:type="paragraph" w:styleId="875">
    <w:name w:val="toc 9"/>
    <w:basedOn w:val="832"/>
    <w:next w:val="832"/>
    <w:uiPriority w:val="39"/>
    <w:unhideWhenUsed/>
    <w:pPr>
      <w:pBdr/>
      <w:spacing w:after="100"/>
      <w:ind w:left="1760"/>
    </w:pPr>
  </w:style>
  <w:style w:type="character" w:styleId="876">
    <w:name w:val="Placeholder Text"/>
    <w:basedOn w:val="836"/>
    <w:uiPriority w:val="99"/>
    <w:semiHidden/>
    <w:pPr>
      <w:pBdr/>
      <w:spacing/>
      <w:ind/>
    </w:pPr>
    <w:rPr>
      <w:color w:val="666666"/>
    </w:rPr>
  </w:style>
  <w:style w:type="paragraph" w:styleId="877">
    <w:name w:val="TOC Heading"/>
    <w:uiPriority w:val="39"/>
    <w:unhideWhenUsed/>
    <w:pPr>
      <w:pBdr/>
      <w:spacing/>
      <w:ind/>
    </w:pPr>
  </w:style>
  <w:style w:type="paragraph" w:styleId="878">
    <w:name w:val="table of figures"/>
    <w:basedOn w:val="832"/>
    <w:next w:val="832"/>
    <w:uiPriority w:val="99"/>
    <w:unhideWhenUsed/>
    <w:pPr>
      <w:pBdr/>
      <w:spacing w:after="0" w:afterAutospacing="0"/>
      <w:ind/>
    </w:pPr>
  </w:style>
  <w:style w:type="paragraph" w:styleId="879">
    <w:name w:val="Title"/>
    <w:qFormat/>
    <w:pPr>
      <w:pBdr/>
      <w:spacing/>
      <w:ind/>
    </w:pPr>
    <w:rPr>
      <w:sz w:val="56"/>
      <w:szCs w:val="56"/>
    </w:rPr>
  </w:style>
  <w:style w:type="paragraph" w:styleId="880">
    <w:name w:val="Heading 3"/>
    <w:qFormat/>
    <w:pPr>
      <w:pBdr/>
      <w:spacing/>
      <w:ind/>
    </w:pPr>
    <w:rPr>
      <w:color w:val="1f4d78"/>
      <w:sz w:val="24"/>
      <w:szCs w:val="24"/>
    </w:rPr>
  </w:style>
  <w:style w:type="paragraph" w:styleId="881">
    <w:name w:val="Heading 4"/>
    <w:qFormat/>
    <w:pPr>
      <w:pBdr/>
      <w:spacing/>
      <w:ind/>
    </w:pPr>
    <w:rPr>
      <w:i/>
      <w:iCs/>
      <w:color w:val="2e74b5"/>
    </w:rPr>
  </w:style>
  <w:style w:type="paragraph" w:styleId="882">
    <w:name w:val="Heading 5"/>
    <w:qFormat/>
    <w:pPr>
      <w:pBdr/>
      <w:spacing/>
      <w:ind/>
    </w:pPr>
    <w:rPr>
      <w:color w:val="2e74b5"/>
    </w:rPr>
  </w:style>
  <w:style w:type="paragraph" w:styleId="883">
    <w:name w:val="Heading 6"/>
    <w:qFormat/>
    <w:pPr>
      <w:pBdr/>
      <w:spacing/>
      <w:ind/>
    </w:pPr>
    <w:rPr>
      <w:color w:val="1f4d78"/>
    </w:rPr>
  </w:style>
  <w:style w:type="paragraph" w:styleId="884">
    <w:name w:val="Strong"/>
    <w:qFormat/>
    <w:pPr>
      <w:pBdr/>
      <w:spacing/>
      <w:ind/>
    </w:pPr>
    <w:rPr>
      <w:b/>
      <w:bCs/>
    </w:rPr>
  </w:style>
  <w:style w:type="paragraph" w:styleId="885">
    <w:name w:val="List Paragraph"/>
    <w:qFormat/>
    <w:pPr>
      <w:pBdr/>
      <w:spacing/>
      <w:ind/>
    </w:pPr>
  </w:style>
  <w:style w:type="character" w:styleId="886">
    <w:name w:val="Hyperlink"/>
    <w:uiPriority w:val="99"/>
    <w:unhideWhenUsed/>
    <w:pPr>
      <w:pBdr/>
      <w:spacing/>
      <w:ind/>
    </w:pPr>
    <w:rPr>
      <w:color w:val="0563c1"/>
      <w:u w:val="single"/>
    </w:rPr>
  </w:style>
  <w:style w:type="character" w:styleId="887">
    <w:name w:val="footnote reference"/>
    <w:uiPriority w:val="99"/>
    <w:semiHidden/>
    <w:unhideWhenUsed/>
    <w:pPr>
      <w:pBdr/>
      <w:spacing/>
      <w:ind/>
    </w:pPr>
    <w:rPr>
      <w:vertAlign w:val="superscript"/>
    </w:rPr>
  </w:style>
  <w:style w:type="paragraph" w:styleId="888">
    <w:name w:val="footnote text"/>
    <w:link w:val="889"/>
    <w:uiPriority w:val="99"/>
    <w:semiHidden/>
    <w:unhideWhenUsed/>
    <w:pPr>
      <w:pBdr/>
      <w:spacing w:after="0" w:line="240" w:lineRule="auto"/>
      <w:ind/>
    </w:pPr>
    <w:rPr>
      <w:sz w:val="20"/>
      <w:szCs w:val="20"/>
    </w:rPr>
  </w:style>
  <w:style w:type="character" w:styleId="889">
    <w:name w:val="Footnote Text Char"/>
    <w:link w:val="888"/>
    <w:uiPriority w:val="99"/>
    <w:semiHidden/>
    <w:unhideWhenUsed/>
    <w:pPr>
      <w:pBdr/>
      <w:spacing/>
      <w:ind/>
    </w:pPr>
    <w:rPr>
      <w:sz w:val="20"/>
      <w:szCs w:val="20"/>
    </w:rPr>
  </w:style>
  <w:style w:type="character" w:styleId="890">
    <w:name w:val="endnote reference"/>
    <w:uiPriority w:val="99"/>
    <w:semiHidden/>
    <w:unhideWhenUsed/>
    <w:pPr>
      <w:pBdr/>
      <w:spacing/>
      <w:ind/>
    </w:pPr>
    <w:rPr>
      <w:vertAlign w:val="superscript"/>
    </w:rPr>
  </w:style>
  <w:style w:type="paragraph" w:styleId="891">
    <w:name w:val="endnote text"/>
    <w:link w:val="892"/>
    <w:uiPriority w:val="99"/>
    <w:semiHidden/>
    <w:unhideWhenUsed/>
    <w:pPr>
      <w:pBdr/>
      <w:spacing w:after="0" w:line="240" w:lineRule="auto"/>
      <w:ind/>
    </w:pPr>
    <w:rPr>
      <w:sz w:val="20"/>
      <w:szCs w:val="20"/>
    </w:rPr>
  </w:style>
  <w:style w:type="character" w:styleId="892">
    <w:name w:val="Endnote Text Char"/>
    <w:link w:val="891"/>
    <w:uiPriority w:val="99"/>
    <w:semiHidden/>
    <w:unhideWhenUsed/>
    <w:pPr>
      <w:pBdr/>
      <w:spacing/>
      <w:ind/>
    </w:pPr>
    <w:rPr>
      <w:sz w:val="20"/>
      <w:szCs w:val="20"/>
    </w:rPr>
  </w:style>
  <w:style w:type="paragraph" w:styleId="893">
    <w:name w:val="Heading 1"/>
    <w:qFormat/>
    <w:pPr>
      <w:pBdr/>
      <w:spacing w:after="200" w:before="360"/>
      <w:ind/>
      <w:outlineLvl w:val="0"/>
    </w:pPr>
    <w:rPr>
      <w:rFonts w:ascii="Arial" w:hAnsi="Arial" w:eastAsia="Arial" w:cs="Arial"/>
      <w:b/>
      <w:bCs/>
      <w:sz w:val="30"/>
      <w:szCs w:val="30"/>
    </w:rPr>
  </w:style>
  <w:style w:type="paragraph" w:styleId="894">
    <w:name w:val="Heading 2"/>
    <w:qFormat/>
    <w:pPr>
      <w:pBdr/>
      <w:spacing w:after="140" w:before="240"/>
      <w:ind/>
      <w:outlineLvl w:val="1"/>
    </w:pPr>
    <w:rPr>
      <w:rFonts w:ascii="Arial" w:hAnsi="Arial" w:eastAsia="Arial" w:cs="Arial"/>
      <w:b/>
      <w:bCs/>
      <w:sz w:val="26"/>
      <w:szCs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4</cp:revision>
  <dcterms:created xsi:type="dcterms:W3CDTF">2026-05-30T12:11:45Z</dcterms:created>
  <dcterms:modified xsi:type="dcterms:W3CDTF">2026-05-30T14:40:14Z</dcterms:modified>
</cp:coreProperties>
</file>