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1386" cy="1109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386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דקה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90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אפליקצית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-90,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יכולים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לחפש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מלונות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סמך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מיקום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השירותים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המוצעים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והמחיר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ולהשוות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שונות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למצוא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האופציה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הטובה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לטיול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יכולים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להזמין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טיסות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ליעד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שבחרו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לחברות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תעופה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שונות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וזמני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יציאה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מאפשרת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להזמין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טיולים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וסיורים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מתוכננים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מראש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מסלולים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ופעילויות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המבטיחים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חווית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טיול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נשכחת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מחפשים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חופשת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מרגיעה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טיול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הרפתקני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בחוץ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לדקה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-90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מגוון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רחב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לבחירה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קהל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יעד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שמתכננים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ומחפשים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שנוסעים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שמתכננים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המטיילים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הנסיעה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מאפיינים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הזול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אטרקציה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מבוקש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חבילות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נופש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מאורגנים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בחו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נופש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Paypal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