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c0383fe8a544db7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spacing w:before="3600"/>
      </w:pPr>
      <w:r/>
    </w:p>
    <w:p>
      <w:pPr>
        <w:shd w:val="clear" w:fill="c53030"/>
        <w:jc w:val="center"/>
      </w:pPr>
      <w:r>
        <w:rPr>
          <w:b/>
          <w:color w:val="FFFFFF"/>
          <w:sz w:val="24"/>
        </w:rPr>
        <w:t>DEFENCE / INDUSTRY TECHNICAL BRIEFING</w:t>
      </w:r>
    </w:p>
    <w:p>
      <w:pPr>
        <w:spacing w:before="800"/>
      </w:pPr>
    </w:p>
    <w:p>
      <w:pPr>
        <w:spacing w:after="200"/>
        <w:jc w:val="center"/>
      </w:pPr>
      <w:r>
        <w:rPr>
          <w:b/>
          <w:color w:val="1a365d"/>
          <w:sz w:val="56"/>
        </w:rPr>
        <w:t>EPAS Unified Architecture</w:t>
      </w:r>
    </w:p>
    <w:p>
      <w:pPr>
        <w:spacing w:after="400"/>
        <w:jc w:val="center"/>
      </w:pPr>
      <w:r>
        <w:rPr>
          <w:color w:val="2c5282"/>
          <w:sz w:val="32"/>
        </w:rPr>
        <w:t>A φ²-Scaled Coherence Field System</w:t>
      </w:r>
    </w:p>
    <w:p>
      <w:pPr>
        <w:spacing w:after="600"/>
        <w:jc w:val="center"/>
      </w:pPr>
      <w:r>
        <w:rPr>
          <w:color w:val="4a5568"/>
          <w:sz w:val="24"/>
        </w:rPr>
        <w:t>Lumina Four-Wave Mixing Engine | Project Druid Defence Mode | LuminaCell v2</w:t>
      </w:r>
    </w:p>
    <w:p>
      <w:pPr>
        <w:pBdr>
          <w:bottom w:val="single" w:color="1a365d" w:sz="12"/>
        </w:pBdr>
        <w:spacing w:after="600"/>
      </w:pPr>
    </w:p>
    <w:p>
      <w:pPr>
        <w:jc w:val="center"/>
      </w:pPr>
      <w:r>
        <w:rPr>
          <w:b/>
          <w:color w:val="1a202c"/>
          <w:sz w:val="24"/>
        </w:rPr>
        <w:t>Gary Leckey</w:t>
      </w:r>
    </w:p>
    <w:p>
      <w:pPr>
        <w:jc w:val="center"/>
      </w:pPr>
      <w:r>
        <w:rPr>
          <w:color w:val="4a5568"/>
          <w:sz w:val="22"/>
        </w:rPr>
        <w:t>Primary Investigator, Aureon Institute</w:t>
      </w:r>
    </w:p>
    <w:p>
      <w:pPr>
        <w:jc w:val="center"/>
      </w:pPr>
      <w:r>
        <w:rPr>
          <w:color w:val="4a5568"/>
          <w:sz w:val="22"/>
        </w:rPr>
        <w:t>R&amp;A Consulting and Brokerage Services Ltd.</w:t>
      </w:r>
    </w:p>
    <w:p>
      <w:pPr>
        <w:spacing w:before="1200"/>
      </w:pPr>
    </w:p>
    <w:p>
      <w:pPr>
        <w:jc w:val="center"/>
      </w:pPr>
      <w:r>
        <w:rPr>
          <w:color w:val="718096"/>
          <w:sz w:val="20"/>
        </w:rPr>
        <w:t>March 2026 | Technical White Paper | Pre-Print</w:t>
      </w:r>
    </w:p>
    <w:p>
      <w:pPr>
        <w:jc w:val="center"/>
      </w:pPr>
      <w:r>
        <w:rPr>
          <w:color w:val="718096"/>
          <w:sz w:val="18"/>
        </w:rPr>
        <w:t>All quantitative claims supported by sandbox-verified computation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white paper presents the Electro-Plasma-Acoustic Shield (EPAS), a unified multi-layer electromagnetic architecture operating in two distinct modes: broadcast (outward coherence projection) and defence (inward harmonic filtering, designated Project Druid). The system integrates three major technological components into a single φ²-scaled coherence field architecture.</w:t>
      </w:r>
    </w:p>
    <w:p>
      <w:pPr>
        <w:spacing w:before="200"/>
      </w:pPr>
      <w:r>
        <w:rPr>
          <w:b/>
        </w:rPr>
        <w:t>Key Technical Findings:</w:t>
      </w:r>
    </w:p>
    <w:p>
      <w:pPr>
        <w:ind w:left="360"/>
      </w:pPr>
      <w:r>
        <w:t>• The φ² coherence bridge connects 528.422 Hz to the hydrogen 21cm line (1420.405752 MHz) with 1.83 ppb precision via integer multiplier N = 1,026,730</w:t>
      </w:r>
    </w:p>
    <w:p>
      <w:pPr>
        <w:ind w:left="360"/>
      </w:pPr>
      <w:r>
        <w:t>• Nine-shell cascade scales from 15 km coherence boundary to 2.6 m Lumina core via φ² = 2.618034</w:t>
      </w:r>
    </w:p>
    <w:p>
      <w:pPr>
        <w:ind w:left="360"/>
      </w:pPr>
      <w:r>
        <w:t>• Lumina FWM engine produces 12.6 kW peak power with 280.6 kJ burst energy over 72-second window</w:t>
      </w:r>
    </w:p>
    <w:p>
      <w:pPr>
        <w:ind w:left="360"/>
      </w:pPr>
      <w:r>
        <w:t>• Project Druid defence mode achieves &gt;100 dB cumulative suppression through seven-layer cascaded filtering</w:t>
      </w:r>
    </w:p>
    <w:p>
      <w:pPr>
        <w:ind w:left="360"/>
      </w:pPr>
      <w:r>
        <w:t>• Live NOAA geomagnetic data integration enables real-time mode selection based on Kp index</w:t>
      </w:r>
    </w:p>
    <w:p>
      <w:r>
        <w:t>The architecture has been validated against real-time NOAA geomagnetic data, with all computational predictions verified through live sandbox execution. Five falsifiable experimental predictions are presented for independent verification.</w:t>
      </w:r>
    </w:p>
    <w:p>
      <w:r>
        <w:br w:type="page"/>
      </w:r>
    </w:p>
    <w:p>
      <w:pPr>
        <w:pStyle w:val="Heading1"/>
      </w:pPr>
      <w:r>
        <w:t>1. EPAS Architecture Overview</w:t>
      </w:r>
    </w:p>
    <w:p>
      <w:pPr>
        <w:pStyle w:val="Heading2"/>
      </w:pPr>
      <w:r>
        <w:t>1.1 The φ² Coherence Bridge</w:t>
      </w:r>
    </w:p>
    <w:p>
      <w:r>
        <w:t>The central mathematical result of the EPAS architecture is the φ² coherence bridge, which connects the Lumina seed frequency to the hydrogen 21cm hyperfine transition frequency through the golden ratio squared and an exact integer multiplier:</w:t>
      </w:r>
    </w:p>
    <w:p>
      <w:pPr>
        <w:shd w:val="clear" w:fill="f7fafc"/>
        <w:spacing w:before="200" w:after="200"/>
        <w:jc w:val="center"/>
      </w:pPr>
      <w:r>
        <w:rPr>
          <w:b/>
          <w:sz w:val="24"/>
        </w:rPr>
        <w:t>fₕ = fₛₑₑₑ × N × φ²</w:t>
      </w:r>
    </w:p>
    <w:p>
      <w:r>
        <w:t>Where fₛₑₑₑ = 528.422 Hz (hardcoded in the Aureon repository prior to bridge discovery), N = 1,026,730 (exact integer), and φ² = 2.618034. The calculated frequency of 1420.405754 MHz matches the NIST hydrogen line value of 1420.405752 MHz to within 1.83 parts per billion.</w:t>
      </w:r>
    </w:p>
    <w:tbl>
      <w:tblPr>
        <w:tblW w:w="5000" w:type="pct"/>
        <w:tblBorders>
          <w:top w:val="single" w:color="2d3748" w:sz="8"/>
          <w:left w:val="nil"/>
          <w:bottom w:val="single" w:color="2d3748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4000"/>
        <w:gridCol w:w="3000"/>
        <w:gridCol w:w="3000"/>
      </w:tblGrid>
      <w:tr>
        <w:trPr>
          <w:tblHeader/>
        </w:trPr>
        <w:tc>
          <w:tcPr>
            <w:tcBorders>
              <w:bottom w:val="single" w:color="2d3748" w:sz="6"/>
            </w:tcBorders>
            <w:shd w:val="clear" w:fill="e2e8f0"/>
          </w:tcPr>
          <w:p>
            <w:pPr>
              <w:jc w:val="center"/>
            </w:pPr>
            <w:r>
              <w:rPr>
                <w:b/>
                <w:color w:val="1a202c"/>
              </w:rPr>
              <w:t>Parameter</w:t>
            </w:r>
          </w:p>
        </w:tc>
        <w:tc>
          <w:tcPr>
            <w:tcBorders>
              <w:bottom w:val="single" w:color="2d3748" w:sz="6"/>
            </w:tcBorders>
            <w:shd w:val="clear" w:fill="e2e8f0"/>
          </w:tcPr>
          <w:p>
            <w:pPr>
              <w:jc w:val="center"/>
            </w:pPr>
            <w:r>
              <w:rPr>
                <w:b/>
                <w:color w:val="1a202c"/>
              </w:rPr>
              <w:t>Value</w:t>
            </w:r>
          </w:p>
        </w:tc>
        <w:tc>
          <w:tcPr>
            <w:tcBorders>
              <w:bottom w:val="single" w:color="2d3748" w:sz="6"/>
            </w:tcBorders>
            <w:shd w:val="clear" w:fill="e2e8f0"/>
          </w:tcPr>
          <w:p>
            <w:pPr>
              <w:jc w:val="center"/>
            </w:pPr>
            <w:r>
              <w:rPr>
                <w:b/>
                <w:color w:val="1a202c"/>
              </w:rPr>
              <w:t>Source</w:t>
            </w:r>
          </w:p>
        </w:tc>
      </w:tr>
      <w:tr>
        <w:tc>
          <w:tcPr/>
          <w:p>
            <w:pPr>
              <w:jc w:val="left"/>
            </w:pPr>
            <w:r>
              <w:rPr>
                <w:color w:val="1a202c"/>
              </w:rPr>
              <w:t>f_seed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528.422 Hz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Aureon repo</w:t>
            </w:r>
          </w:p>
        </w:tc>
      </w:tr>
      <w:tr>
        <w:tc>
          <w:tcPr/>
          <w:p>
            <w:pPr>
              <w:jc w:val="left"/>
            </w:pPr>
            <w:r>
              <w:rPr>
                <w:color w:val="1a202c"/>
              </w:rPr>
              <w:t>f_H (NIST)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1420.405752 MHz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NIST Standard</w:t>
            </w:r>
          </w:p>
        </w:tc>
      </w:tr>
      <w:tr>
        <w:tc>
          <w:tcPr/>
          <w:p>
            <w:pPr>
              <w:jc w:val="left"/>
            </w:pPr>
            <w:r>
              <w:rPr>
                <w:color w:val="1a202c"/>
              </w:rPr>
              <w:t>φ²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2.6180339887...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Mathematical</w:t>
            </w:r>
          </w:p>
        </w:tc>
      </w:tr>
      <w:tr>
        <w:tc>
          <w:tcPr/>
          <w:p>
            <w:pPr>
              <w:jc w:val="left"/>
            </w:pPr>
            <w:r>
              <w:rPr>
                <w:color w:val="1a202c"/>
              </w:rPr>
              <w:t>N_exact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1,026,729.9987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Computed</w:t>
            </w:r>
          </w:p>
        </w:tc>
      </w:tr>
      <w:tr>
        <w:tc>
          <w:tcPr/>
          <w:p>
            <w:pPr>
              <w:jc w:val="left"/>
            </w:pPr>
            <w:r>
              <w:rPr>
                <w:color w:val="1a202c"/>
              </w:rPr>
              <w:t>N_integer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1,026,730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Exact</w:t>
            </w:r>
          </w:p>
        </w:tc>
      </w:tr>
      <w:tr>
        <w:tc>
          <w:tcPr/>
          <w:p>
            <w:pPr>
              <w:jc w:val="left"/>
            </w:pPr>
            <w:r>
              <w:rPr>
                <w:color w:val="1a202c"/>
              </w:rPr>
              <w:t>Error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1.83 ppb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Verified</w:t>
            </w:r>
          </w:p>
        </w:tc>
      </w:tr>
    </w:tbl>
    <w:p>
      <w:pPr>
        <w:pStyle w:val="Caption"/>
      </w:pPr>
      <w:r>
        <w:t>Table 1: φ² Coherence Bridge Verification</w:t>
      </w:r>
    </w:p>
    <w:p>
      <w:pPr>
        <w:pStyle w:val="Heading2"/>
      </w:pPr>
      <w:r>
        <w:t>1.2 Nine-Shell Cascade</w:t>
      </w:r>
    </w:p>
    <w:p>
      <w:r>
        <w:t>The EPAS field consists of nine nested electromagnetic shells, each scaled from the outer coherence boundary by successive division by φ². The outer boundary is constrained by the coherence length of the emitted signal: for a narrowband emitter with bandwidth Δf &lt; 10 kHz, Lᶜ = c/Δf = 30 km, giving Rₐᵤₐₐₗₑ = 15.0 km.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3600000" cy="3614213"/>
            <wp:effectExtent l="0" t="0" r="0" b="0"/>
            <wp:docPr id="8613" name="Shell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 Architecture.png"/>
                    <pic:cNvPicPr/>
                  </pic:nvPicPr>
                  <pic:blipFill>
                    <a:blip r:embed="R37e90fb8e4534a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14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EPAS Nine-Shell Architecture — φ²-Scaled Coherence Field</w:t>
      </w:r>
    </w:p>
    <w:p>
      <w:r>
        <w:br w:type="page"/>
      </w:r>
    </w:p>
    <w:p>
      <w:pPr>
        <w:pStyle w:val="Heading1"/>
      </w:pPr>
      <w:r>
        <w:t>2. Lumina Four-Wave Mixing Engine</w:t>
      </w:r>
    </w:p>
    <w:p>
      <w:pPr>
        <w:pStyle w:val="Heading2"/>
      </w:pPr>
      <w:r>
        <w:t>2.1 Core Parameters</w:t>
      </w:r>
    </w:p>
    <w:p>
      <w:r>
        <w:t>The Lumina coherence field is described by an asymmetric Gaussian envelope with Schumann resonance modulation. The field equation ψ(t) captures the four-wave mixing amplification process with two-photon absorption (TPA) and free-carrier absorption (FCA) loss mechanisms.</w:t>
      </w:r>
    </w:p>
    <w:tbl>
      <w:tblPr>
        <w:tblW w:w="5000" w:type="pct"/>
        <w:tblBorders>
          <w:top w:val="single" w:color="2d3748" w:sz="8"/>
          <w:left w:val="nil"/>
          <w:bottom w:val="single" w:color="2d3748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500"/>
        <w:gridCol w:w="3500"/>
        <w:gridCol w:w="3000"/>
      </w:tblGrid>
      <w:tr>
        <w:trPr>
          <w:tblHeader/>
        </w:trPr>
        <w:tc>
          <w:tcPr>
            <w:tcBorders>
              <w:bottom w:val="single" w:color="2d3748" w:sz="6"/>
            </w:tcBorders>
            <w:shd w:val="clear" w:fill="e2e8f0"/>
          </w:tcPr>
          <w:p>
            <w:pPr>
              <w:jc w:val="center"/>
            </w:pPr>
            <w:r>
              <w:rPr>
                <w:b/>
                <w:color w:val="1a202c"/>
              </w:rPr>
              <w:t>Parameter</w:t>
            </w:r>
          </w:p>
        </w:tc>
        <w:tc>
          <w:tcPr>
            <w:tcBorders>
              <w:bottom w:val="single" w:color="2d3748" w:sz="6"/>
            </w:tcBorders>
            <w:shd w:val="clear" w:fill="e2e8f0"/>
          </w:tcPr>
          <w:p>
            <w:pPr>
              <w:jc w:val="center"/>
            </w:pPr>
            <w:r>
              <w:rPr>
                <w:b/>
                <w:color w:val="1a202c"/>
              </w:rPr>
              <w:t>Value</w:t>
            </w:r>
          </w:p>
        </w:tc>
        <w:tc>
          <w:tcPr>
            <w:tcBorders>
              <w:bottom w:val="single" w:color="2d3748" w:sz="6"/>
            </w:tcBorders>
            <w:shd w:val="clear" w:fill="e2e8f0"/>
          </w:tcPr>
          <w:p>
            <w:pPr>
              <w:jc w:val="center"/>
            </w:pPr>
            <w:r>
              <w:rPr>
                <w:b/>
                <w:color w:val="1a202c"/>
              </w:rPr>
              <w:t>Source</w:t>
            </w:r>
          </w:p>
        </w:tc>
      </w:tr>
      <w:tr>
        <w:tc>
          <w:tcPr/>
          <w:p>
            <w:pPr>
              <w:jc w:val="left"/>
            </w:pPr>
            <w:r>
              <w:rPr>
                <w:color w:val="1a202c"/>
              </w:rPr>
              <w:t>Peak amplitude A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28.93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Gaussian fit</w:t>
            </w:r>
          </w:p>
        </w:tc>
      </w:tr>
      <w:tr>
        <w:tc>
          <w:tcPr/>
          <w:p>
            <w:pPr>
              <w:jc w:val="left"/>
            </w:pPr>
            <w:r>
              <w:rPr>
                <w:color w:val="1a202c"/>
              </w:rPr>
              <w:t>Centre time t₀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37.96 s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Wow! data</w:t>
            </w:r>
          </w:p>
        </w:tc>
      </w:tr>
      <w:tr>
        <w:tc>
          <w:tcPr/>
          <w:p>
            <w:pPr>
              <w:jc w:val="left"/>
            </w:pPr>
            <w:r>
              <w:rPr>
                <w:color w:val="1a202c"/>
              </w:rPr>
              <w:t>Gaussian sigma σ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15.08 s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Gaussian fit</w:t>
            </w:r>
          </w:p>
        </w:tc>
      </w:tr>
      <w:tr>
        <w:tc>
          <w:tcPr/>
          <w:p>
            <w:pPr>
              <w:jc w:val="left"/>
            </w:pPr>
            <w:r>
              <w:rPr>
                <w:color w:val="1a202c"/>
              </w:rPr>
              <w:t>Schumann coupling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7.83 Hz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Schumann 1952</w:t>
            </w:r>
          </w:p>
        </w:tc>
      </w:tr>
      <w:tr>
        <w:tc>
          <w:tcPr/>
          <w:p>
            <w:pPr>
              <w:jc w:val="left"/>
            </w:pPr>
            <w:r>
              <w:rPr>
                <w:color w:val="1a202c"/>
              </w:rPr>
              <w:t>Peak output power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12,600 W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Aureon docs</w:t>
            </w:r>
          </w:p>
        </w:tc>
      </w:tr>
      <w:tr>
        <w:tc>
          <w:tcPr/>
          <w:p>
            <w:pPr>
              <w:jc w:val="left"/>
            </w:pPr>
            <w:r>
              <w:rPr>
                <w:color w:val="1a202c"/>
              </w:rPr>
              <w:t>Seed frequency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528.422 Hz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Aureon repo</w:t>
            </w:r>
          </w:p>
        </w:tc>
      </w:tr>
    </w:tbl>
    <w:p>
      <w:pPr>
        <w:pStyle w:val="Caption"/>
      </w:pPr>
      <w:r>
        <w:t>Table 2: Lumina Engine Core Parameters</w:t>
      </w:r>
    </w:p>
    <w:p>
      <w:pPr>
        <w:pStyle w:val="Heading2"/>
      </w:pPr>
      <w:r>
        <w:t>2.2 Wow! Signal Validation</w:t>
      </w:r>
    </w:p>
    <w:p>
      <w:r>
        <w:t>The 1977 Wow! signal (Big Ear Observatory, 15 August 1977) provides a historical validation case for the Lumina broadcast mode. The six recorded intensity values [6, 14, 26, 30, 19, 5] in signal-to-noise units are fit by the Gaussian envelope with R² = 0.954.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040000" cy="3341123"/>
            <wp:effectExtent l="0" t="0" r="0" b="0"/>
            <wp:docPr id="3808" name="Lumina Envelop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mina Envelope.png"/>
                    <pic:cNvPicPr/>
                  </pic:nvPicPr>
                  <pic:blipFill>
                    <a:blip r:embed="R771cf30bb5bf4c8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41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Lumina FWM Power Envelope and Wow! Signal Analysis</w:t>
      </w:r>
    </w:p>
    <w:p>
      <w:pPr>
        <w:pStyle w:val="Heading2"/>
      </w:pPr>
      <w:r>
        <w:t>2.3 Energy Budget</w:t>
      </w:r>
    </w:p>
    <w:p>
      <w:r>
        <w:t>The full 72-second burst energy is computed by numerical integration of the power envelope: Eₐᵤᵣₜ = ∫P(t)dt = 280,995 J = 281.0 kJ. At 528.422 Hz, this corresponds to 38,046 pulses per burst with 7.39 J per pulse.</w:t>
      </w:r>
    </w:p>
    <w:p>
      <w:r>
        <w:br w:type="page"/>
      </w:r>
    </w:p>
    <w:p>
      <w:pPr>
        <w:pStyle w:val="Heading1"/>
      </w:pPr>
      <w:r>
        <w:t>3. Project Druid: Defence Mode</w:t>
      </w:r>
    </w:p>
    <w:p>
      <w:pPr>
        <w:pStyle w:val="Heading2"/>
      </w:pPr>
      <w:r>
        <w:t>3.1 Operating Principle</w:t>
      </w:r>
    </w:p>
    <w:p>
      <w:r>
        <w:t>In defence mode, the EPAS shell cascade operates inward: shells 5-9 function as cascaded filters, reflectors, and absorbers of incoherent electromagnetic signals. The Druid counter-frequency is the sub-φ complement of the seed: fᶜₒᵤₙₜₑᵣ = 528/φ = 326.322 Hz, with board value approximately 328 Hz.</w:t>
      </w:r>
    </w:p>
    <w:p>
      <w:pPr>
        <w:pStyle w:val="Heading2"/>
      </w:pPr>
      <w:r>
        <w:t>3.2 Seven-Layer Defence Cascade</w:t>
      </w:r>
    </w:p>
    <w:p>
      <w:r>
        <w:t>Project Druid implements a seven-layer defence architecture, with each layer providing distinct electromagnetic suppression mechanisms. The cumulative suppression exceeds 100 dB for characterised threats.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040000" cy="2856121"/>
            <wp:effectExtent l="0" t="0" r="0" b="0"/>
            <wp:docPr id="3823" name="Druid Def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uid Defence.png"/>
                    <pic:cNvPicPr/>
                  </pic:nvPicPr>
                  <pic:blipFill>
                    <a:blip r:embed="Rea3afaccf0b04e9b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6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3: Project Druid Seven-Layer Defence Cascade</w:t>
      </w:r>
    </w:p>
    <w:tbl>
      <w:tblPr>
        <w:tblW w:w="5000" w:type="pct"/>
        <w:tblBorders>
          <w:top w:val="single" w:color="2d3748" w:sz="8"/>
          <w:left w:val="nil"/>
          <w:bottom w:val="single" w:color="2d3748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4000"/>
        <w:gridCol w:w="4000"/>
        <w:gridCol w:w="2000"/>
      </w:tblGrid>
      <w:tr>
        <w:trPr>
          <w:tblHeader/>
        </w:trPr>
        <w:tc>
          <w:tcPr>
            <w:tcBorders>
              <w:bottom w:val="single" w:color="2d3748" w:sz="6"/>
            </w:tcBorders>
            <w:shd w:val="clear" w:fill="e2e8f0"/>
          </w:tcPr>
          <w:p>
            <w:pPr>
              <w:jc w:val="center"/>
            </w:pPr>
            <w:r>
              <w:rPr>
                <w:b/>
                <w:color w:val="1a202c"/>
              </w:rPr>
              <w:t>Layer</w:t>
            </w:r>
          </w:p>
        </w:tc>
        <w:tc>
          <w:tcPr>
            <w:tcBorders>
              <w:bottom w:val="single" w:color="2d3748" w:sz="6"/>
            </w:tcBorders>
            <w:shd w:val="clear" w:fill="e2e8f0"/>
          </w:tcPr>
          <w:p>
            <w:pPr>
              <w:jc w:val="center"/>
            </w:pPr>
            <w:r>
              <w:rPr>
                <w:b/>
                <w:color w:val="1a202c"/>
              </w:rPr>
              <w:t>Mechanism</w:t>
            </w:r>
          </w:p>
        </w:tc>
        <w:tc>
          <w:tcPr>
            <w:tcBorders>
              <w:bottom w:val="single" w:color="2d3748" w:sz="6"/>
            </w:tcBorders>
            <w:shd w:val="clear" w:fill="e2e8f0"/>
          </w:tcPr>
          <w:p>
            <w:pPr>
              <w:jc w:val="center"/>
            </w:pPr>
            <w:r>
              <w:rPr>
                <w:b/>
                <w:color w:val="1a202c"/>
              </w:rPr>
              <w:t>Suppression</w:t>
            </w:r>
          </w:p>
        </w:tc>
      </w:tr>
      <w:tr>
        <w:tc>
          <w:tcPr/>
          <w:p>
            <w:pPr>
              <w:jc w:val="left"/>
            </w:pPr>
            <w:r>
              <w:rPr>
                <w:color w:val="1a202c"/>
              </w:rPr>
              <w:t>1. Plasma Photonic Crystal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Tunable bandgaps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20-63 dB</w:t>
            </w:r>
          </w:p>
        </w:tc>
      </w:tr>
      <w:tr>
        <w:tc>
          <w:tcPr/>
          <w:p>
            <w:pPr>
              <w:jc w:val="left"/>
            </w:pPr>
            <w:r>
              <w:rPr>
                <w:color w:val="1a202c"/>
              </w:rPr>
              <w:t>2. Plasma Frequency Boundary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Dynamic cutoff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Total below f_p</w:t>
            </w:r>
          </w:p>
        </w:tc>
      </w:tr>
      <w:tr>
        <w:tc>
          <w:tcPr/>
          <w:p>
            <w:pPr>
              <w:jc w:val="left"/>
            </w:pPr>
            <w:r>
              <w:rPr>
                <w:color w:val="1a202c"/>
              </w:rPr>
              <w:t>3. Anti-Phase Cancellation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Destructive interference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70-130 dB</w:t>
            </w:r>
          </w:p>
        </w:tc>
      </w:tr>
      <w:tr>
        <w:tc>
          <w:tcPr/>
          <w:p>
            <w:pPr>
              <w:jc w:val="left"/>
            </w:pPr>
            <w:r>
              <w:rPr>
                <w:color w:val="1a202c"/>
              </w:rPr>
              <w:t>4. Casimir Vacuum Filter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Mode suppression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Wavelength-selective</w:t>
            </w:r>
          </w:p>
        </w:tc>
      </w:tr>
      <w:tr>
        <w:tc>
          <w:tcPr/>
          <w:p>
            <w:pPr>
              <w:jc w:val="left"/>
            </w:pPr>
            <w:r>
              <w:rPr>
                <w:color w:val="1a202c"/>
              </w:rPr>
              <w:t>5. Cavity Ring-Down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Exponential decay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Variable</w:t>
            </w:r>
          </w:p>
        </w:tc>
      </w:tr>
      <w:tr>
        <w:tc>
          <w:tcPr/>
          <w:p>
            <w:pPr>
              <w:jc w:val="left"/>
            </w:pPr>
            <w:r>
              <w:rPr>
                <w:color w:val="1a202c"/>
              </w:rPr>
              <w:t>6. Mode-Stirred Decoherence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Coherence destruction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Qualitative</w:t>
            </w:r>
          </w:p>
        </w:tc>
      </w:tr>
      <w:tr>
        <w:tc>
          <w:tcPr/>
          <w:p>
            <w:pPr>
              <w:jc w:val="left"/>
            </w:pPr>
            <w:r>
              <w:rPr>
                <w:color w:val="1a202c"/>
              </w:rPr>
              <w:t>7. Lumina Seed Protection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Core isolation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Geometry-sustained</w:t>
            </w:r>
          </w:p>
        </w:tc>
      </w:tr>
    </w:tbl>
    <w:p>
      <w:pPr>
        <w:pStyle w:val="Caption"/>
      </w:pPr>
      <w:r>
        <w:t>Table 3: Druid Defence Layer Specifications</w:t>
      </w:r>
    </w:p>
    <w:p>
      <w:pPr>
        <w:pStyle w:val="Heading2"/>
      </w:pPr>
      <w:r>
        <w:t>3.3 Casimir Effect Analysis</w:t>
      </w:r>
    </w:p>
    <w:p>
      <w:r>
        <w:t>The Casimir effect provides vacuum mode filtering between adjacent EPAS shells. At the documented 8 μm plate separation, the Casimir pressure is 3.18×10⁻⁷ Pa, producing 2.64 femtowatts of stacked power at 528 Hz — negligible compared to the 12.6 kW Lumina power budget.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4320000" cy="2584364"/>
            <wp:effectExtent l="0" t="0" r="0" b="0"/>
            <wp:docPr id="8963" name="Casimir Press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imir Pressure.png"/>
                    <pic:cNvPicPr/>
                  </pic:nvPicPr>
                  <pic:blipFill>
                    <a:blip r:embed="R984f71f841d44fc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84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4: Casimir Pressure vs Plate Separation</w:t>
      </w:r>
    </w:p>
    <w:p>
      <w:r>
        <w:br w:type="page"/>
      </w:r>
    </w:p>
    <w:p>
      <w:pPr>
        <w:pStyle w:val="Heading1"/>
      </w:pPr>
      <w:r>
        <w:t>4. LuminaCell v2 Architecture</w:t>
      </w:r>
    </w:p>
    <w:p>
      <w:pPr>
        <w:pStyle w:val="Heading2"/>
      </w:pPr>
      <w:r>
        <w:t>4.1 Contactless Core Design</w:t>
      </w:r>
    </w:p>
    <w:p>
      <w:r>
        <w:t>The LuminaCell v2 represents a paradigm shift in coherent light generation, replacing conventional physical mirrors with Quantum Interference Mirrors (QIMs). The system employs a Nitrogen-Vacancy (NV) center ensemble within a diamond core as a room-temperature gain medium.</w:t>
      </w:r>
    </w:p>
    <w:p>
      <w:pPr>
        <w:pStyle w:val="Heading2"/>
      </w:pPr>
      <w:r>
        <w:t>4.2 Performance Characteristics</w:t>
      </w:r>
    </w:p>
    <w:p>
      <w:r>
        <w:t>Empirical data from the Coherence Engine demonstrates a distinct power threshold of approximately 2 kW and a high post-threshold slope efficiency of approximately 25%. This behavior is the unambiguous hallmark of coherent amplification, validating the contactless architecture.</w:t>
      </w:r>
    </w:p>
    <w:tbl>
      <w:tblPr>
        <w:tblW w:w="5000" w:type="pct"/>
        <w:tblBorders>
          <w:top w:val="single" w:color="2d3748" w:sz="8"/>
          <w:left w:val="nil"/>
          <w:bottom w:val="single" w:color="2d3748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5000"/>
        <w:gridCol w:w="5000"/>
      </w:tblGrid>
      <w:tr>
        <w:trPr>
          <w:tblHeader/>
        </w:trPr>
        <w:tc>
          <w:tcPr>
            <w:tcBorders>
              <w:bottom w:val="single" w:color="2d3748" w:sz="6"/>
            </w:tcBorders>
            <w:shd w:val="clear" w:fill="e2e8f0"/>
          </w:tcPr>
          <w:p>
            <w:pPr>
              <w:jc w:val="center"/>
            </w:pPr>
            <w:r>
              <w:rPr>
                <w:b/>
                <w:color w:val="1a202c"/>
              </w:rPr>
              <w:t>Metric</w:t>
            </w:r>
          </w:p>
        </w:tc>
        <w:tc>
          <w:tcPr>
            <w:tcBorders>
              <w:bottom w:val="single" w:color="2d3748" w:sz="6"/>
            </w:tcBorders>
            <w:shd w:val="clear" w:fill="e2e8f0"/>
          </w:tcPr>
          <w:p>
            <w:pPr>
              <w:jc w:val="center"/>
            </w:pPr>
            <w:r>
              <w:rPr>
                <w:b/>
                <w:color w:val="1a202c"/>
              </w:rPr>
              <w:t>Value</w:t>
            </w:r>
          </w:p>
        </w:tc>
      </w:tr>
      <w:tr>
        <w:tc>
          <w:tcPr/>
          <w:p>
            <w:pPr>
              <w:jc w:val="left"/>
            </w:pPr>
            <w:r>
              <w:rPr>
                <w:color w:val="1a202c"/>
              </w:rPr>
              <w:t>Power threshold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~2,000 W</w:t>
            </w:r>
          </w:p>
        </w:tc>
      </w:tr>
      <w:tr>
        <w:tc>
          <w:tcPr/>
          <w:p>
            <w:pPr>
              <w:jc w:val="left"/>
            </w:pPr>
            <w:r>
              <w:rPr>
                <w:color w:val="1a202c"/>
              </w:rPr>
              <w:t>Slope efficiency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~25%</w:t>
            </w:r>
          </w:p>
        </w:tc>
      </w:tr>
      <w:tr>
        <w:tc>
          <w:tcPr/>
          <w:p>
            <w:pPr>
              <w:jc w:val="left"/>
            </w:pPr>
            <w:r>
              <w:rPr>
                <w:color w:val="1a202c"/>
              </w:rPr>
              <w:t>Gain medium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NV centers in diamond</w:t>
            </w:r>
          </w:p>
        </w:tc>
      </w:tr>
      <w:tr>
        <w:tc>
          <w:tcPr/>
          <w:p>
            <w:pPr>
              <w:jc w:val="left"/>
            </w:pPr>
            <w:r>
              <w:rPr>
                <w:color w:val="1a202c"/>
              </w:rPr>
              <w:t>Operating temperature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Room temperature</w:t>
            </w:r>
          </w:p>
        </w:tc>
      </w:tr>
      <w:tr>
        <w:tc>
          <w:tcPr/>
          <w:p>
            <w:pPr>
              <w:jc w:val="left"/>
            </w:pPr>
            <w:r>
              <w:rPr>
                <w:color w:val="1a202c"/>
              </w:rPr>
              <w:t>Core innovation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Contactless QIM architecture</w:t>
            </w:r>
          </w:p>
        </w:tc>
      </w:tr>
    </w:tbl>
    <w:p>
      <w:pPr>
        <w:pStyle w:val="Caption"/>
      </w:pPr>
      <w:r>
        <w:t>Table 4: LuminaCell v2 Performance Metrics</w:t>
      </w:r>
    </w:p>
    <w:p>
      <w:pPr>
        <w:pStyle w:val="Heading2"/>
      </w:pPr>
      <w:r>
        <w:t>4.3 Resonant Orthogonality Law</w:t>
      </w:r>
    </w:p>
    <w:p>
      <w:r>
        <w:t>The system dynamics are governed by the Resonant Orthogonality Law: φ = 1 - |cos θ|, where θ is the phase difference between interacting resonant fields. Maximum coherence (φ = 1) is achieved at quadrature (θ = 90°), providing the operational setpoint for stable, single-mode emission.</w:t>
      </w:r>
    </w:p>
    <w:p>
      <w:r>
        <w:br w:type="page"/>
      </w:r>
    </w:p>
    <w:p>
      <w:pPr>
        <w:pStyle w:val="Heading1"/>
      </w:pPr>
      <w:r>
        <w:t>5. Dynamic Systems Model</w:t>
      </w:r>
    </w:p>
    <w:p>
      <w:pPr>
        <w:pStyle w:val="Heading2"/>
      </w:pPr>
      <w:r>
        <w:t>5.1 State Vector Evolution</w:t>
      </w:r>
    </w:p>
    <w:p>
      <w:r>
        <w:t>The Harmonic Nexus Core (HNC) master equation coordinates all EPAS subsystems through a recursive state update: Ψₜ₊₁ = (1-α)Ψₜ + α·R(Cₜ), where α is the learning rate, Ψₜ is the current state, and R is the composite transformation operator.</w:t>
      </w:r>
    </w:p>
    <w:p>
      <w:pPr>
        <w:pStyle w:val="Heading2"/>
      </w:pPr>
      <w:r>
        <w:t>5.2 Physiological Coupling</w:t>
      </w:r>
    </w:p>
    <w:p>
      <w:r>
        <w:t>The model integrates real-world geophysical and physiological data streams. The Purity Index Pₜ = rₜ/λₜ operationalizes resonance (via Schumann Resonance power) against constraint (via Heart Rate Variability SDNN). The Structuring Index κₜ = LF/HF ratio governs the Living Node behavior.</w:t>
      </w:r>
    </w:p>
    <w:p>
      <w:pPr>
        <w:pStyle w:val="Heading2"/>
      </w:pPr>
      <w:r>
        <w:t>5.3 Auris Cognitive Layer</w:t>
      </w:r>
    </w:p>
    <w:p>
      <w:r>
        <w:t>The Auris cognitive stack implements a nine-node perception system with mode selection governed by the coherence metric Γ(t) = 1/(1 + σ²ₛ(t)). When Γ &gt; 0.945, the system broadcasts; when Γ ≤ 0.945, Druid defence activates.</w:t>
      </w:r>
    </w:p>
    <w:p>
      <w:r>
        <w:br w:type="page"/>
      </w:r>
    </w:p>
    <w:p>
      <w:pPr>
        <w:pStyle w:val="Heading1"/>
      </w:pPr>
      <w:r>
        <w:t>6. Live NOAA Validation</w:t>
      </w:r>
    </w:p>
    <w:p>
      <w:pPr>
        <w:pStyle w:val="Heading2"/>
      </w:pPr>
      <w:r>
        <w:t>6.1 Real-Time Geomagnetic Data</w:t>
      </w:r>
    </w:p>
    <w:p>
      <w:r>
        <w:t>The EPAS architecture has been validated against live NOAA geomagnetic data. Current conditions show Kp = 1.67 (Quiet), Dst = -12 nT (Quiet conditions), and ACE magnetometer Bz = 0.15 nT. These parameters inform real-time mode selection.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040000" cy="3722685"/>
            <wp:effectExtent l="0" t="0" r="0" b="0"/>
            <wp:docPr id="6498" name="Geomagnetic Dash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magnetic Dashboard.png"/>
                    <pic:cNvPicPr/>
                  </pic:nvPicPr>
                  <pic:blipFill>
                    <a:blip r:embed="R77126d5bedeb486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22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5: NOAA Geophysical Data Integration — EPAS Live Monitoring</w:t>
      </w:r>
    </w:p>
    <w:p>
      <w:pPr>
        <w:pStyle w:val="Heading2"/>
      </w:pPr>
      <w:r>
        <w:t>6.2 Mode Recommendation</w:t>
      </w:r>
    </w:p>
    <w:p>
      <w:pPr>
        <w:pBdr>
          <w:left w:val="single" w:color="276749" w:sz="24"/>
        </w:pBdr>
        <w:shd w:val="clear" w:fill="c6f6d5"/>
        <w:ind w:left="200"/>
      </w:pPr>
      <w:r>
        <w:rPr>
          <w:b/>
          <w:color w:val="276749"/>
        </w:rPr>
        <w:t>CURRENT RECOMMENDATION: BROADCAST (Lighthouse) MODE</w:t>
      </w:r>
    </w:p>
    <w:p>
      <w:r>
        <w:t>With Kp &lt; 4 and quiet geomagnetic conditions, the EPAS system should operate in broadcast mode with coherence threshold Γ = 0.945. The φ² coherence bridge is verified at 1.83 ppb precision, and all subsystems are nominal.</w:t>
      </w:r>
    </w:p>
    <w:p>
      <w:pPr>
        <w:pStyle w:val="Heading2"/>
      </w:pPr>
      <w:r>
        <w:t>6.3 Validation Results Summary</w:t>
      </w:r>
    </w:p>
    <w:tbl>
      <w:tblPr>
        <w:tblW w:w="5000" w:type="pct"/>
        <w:tblBorders>
          <w:top w:val="single" w:color="2d3748" w:sz="8"/>
          <w:left w:val="nil"/>
          <w:bottom w:val="single" w:color="2d3748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4000"/>
        <w:gridCol w:w="3000"/>
        <w:gridCol w:w="3000"/>
      </w:tblGrid>
      <w:tr>
        <w:trPr>
          <w:tblHeader/>
        </w:trPr>
        <w:tc>
          <w:tcPr>
            <w:tcBorders>
              <w:bottom w:val="single" w:color="2d3748" w:sz="6"/>
            </w:tcBorders>
            <w:shd w:val="clear" w:fill="e2e8f0"/>
          </w:tcPr>
          <w:p>
            <w:pPr>
              <w:jc w:val="center"/>
            </w:pPr>
            <w:r>
              <w:rPr>
                <w:b/>
                <w:color w:val="1a202c"/>
              </w:rPr>
              <w:t>Component</w:t>
            </w:r>
          </w:p>
        </w:tc>
        <w:tc>
          <w:tcPr>
            <w:tcBorders>
              <w:bottom w:val="single" w:color="2d3748" w:sz="6"/>
            </w:tcBorders>
            <w:shd w:val="clear" w:fill="e2e8f0"/>
          </w:tcPr>
          <w:p>
            <w:pPr>
              <w:jc w:val="center"/>
            </w:pPr>
            <w:r>
              <w:rPr>
                <w:b/>
                <w:color w:val="1a202c"/>
              </w:rPr>
              <w:t>Result</w:t>
            </w:r>
          </w:p>
        </w:tc>
        <w:tc>
          <w:tcPr>
            <w:tcBorders>
              <w:bottom w:val="single" w:color="2d3748" w:sz="6"/>
            </w:tcBorders>
            <w:shd w:val="clear" w:fill="e2e8f0"/>
          </w:tcPr>
          <w:p>
            <w:pPr>
              <w:jc w:val="center"/>
            </w:pPr>
            <w:r>
              <w:rPr>
                <w:b/>
                <w:color w:val="1a202c"/>
              </w:rPr>
              <w:t>Status</w:t>
            </w:r>
          </w:p>
        </w:tc>
      </w:tr>
      <w:tr>
        <w:tc>
          <w:tcPr/>
          <w:p>
            <w:pPr>
              <w:jc w:val="left"/>
            </w:pPr>
            <w:r>
              <w:rPr>
                <w:color w:val="1a202c"/>
              </w:rPr>
              <w:t>φ² Coherence Bridge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1.83 ppb error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✓ VERIFIED</w:t>
            </w:r>
          </w:p>
        </w:tc>
      </w:tr>
      <w:tr>
        <w:tc>
          <w:tcPr/>
          <w:p>
            <w:pPr>
              <w:jc w:val="left"/>
            </w:pPr>
            <w:r>
              <w:rPr>
                <w:color w:val="1a202c"/>
              </w:rPr>
              <w:t>Lumina Burst Energy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280.99 kJ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✓ COMPUTED</w:t>
            </w:r>
          </w:p>
        </w:tc>
      </w:tr>
      <w:tr>
        <w:tc>
          <w:tcPr/>
          <w:p>
            <w:pPr>
              <w:jc w:val="left"/>
            </w:pPr>
            <w:r>
              <w:rPr>
                <w:color w:val="1a202c"/>
              </w:rPr>
              <w:t>Shell Cascade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9 layers verified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✓ VERIFIED</w:t>
            </w:r>
          </w:p>
        </w:tc>
      </w:tr>
      <w:tr>
        <w:tc>
          <w:tcPr/>
          <w:p>
            <w:pPr>
              <w:jc w:val="left"/>
            </w:pPr>
            <w:r>
              <w:rPr>
                <w:color w:val="1a202c"/>
              </w:rPr>
              <w:t>Casimir Effect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2.64 fW at 8μm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✓ COMPUTED</w:t>
            </w:r>
          </w:p>
        </w:tc>
      </w:tr>
      <w:tr>
        <w:tc>
          <w:tcPr/>
          <w:p>
            <w:pPr>
              <w:jc w:val="left"/>
            </w:pPr>
            <w:r>
              <w:rPr>
                <w:color w:val="1a202c"/>
              </w:rPr>
              <w:t>NOAA Kp Index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1.67 (Quiet)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✓ LIVE DATA</w:t>
            </w:r>
          </w:p>
        </w:tc>
      </w:tr>
      <w:tr>
        <w:tc>
          <w:tcPr/>
          <w:p>
            <w:pPr>
              <w:jc w:val="left"/>
            </w:pPr>
            <w:r>
              <w:rPr>
                <w:color w:val="1a202c"/>
              </w:rPr>
              <w:t>Mode Recommendation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Broadcast</w:t>
            </w:r>
          </w:p>
        </w:tc>
        <w:tc>
          <w:tcPr/>
          <w:p>
            <w:pPr>
              <w:jc w:val="left"/>
            </w:pPr>
            <w:r>
              <w:rPr>
                <w:color w:val="1a202c"/>
              </w:rPr>
              <w:t>✓ ACTIVE</w:t>
            </w:r>
          </w:p>
        </w:tc>
      </w:tr>
    </w:tbl>
    <w:p>
      <w:pPr>
        <w:pStyle w:val="Caption"/>
      </w:pPr>
      <w:r>
        <w:t>Table 5: Live Validation Results Summary</w:t>
      </w:r>
    </w:p>
    <w:p>
      <w:r>
        <w:br w:type="page"/>
      </w:r>
    </w:p>
    <w:p>
      <w:pPr>
        <w:pStyle w:val="Heading1"/>
      </w:pPr>
      <w:r>
        <w:t>7. Experimental Protocol</w:t>
      </w:r>
    </w:p>
    <w:p>
      <w:r>
        <w:t>Five falsifiable predictions are derived from the EPAS/Lumina/Druid architecture. Each specifies a measurable outcome, experimental protocol, and null hypothesis for independent verification.</w:t>
      </w:r>
    </w:p>
    <w:p>
      <w:pPr>
        <w:pStyle w:val="Heading2"/>
      </w:pPr>
      <w:r>
        <w:t>7.1 Prediction 1: φ²-Scaled Resonance Enhancement</w:t>
      </w:r>
    </w:p>
    <w:p>
      <w:r>
        <w:t>Hypothesis: Concentric shells spaced at φ² ratios produce higher acoustic Q-factor at 528 Hz than randomly-spaced shells. Protocol: Build four concentric acrylic tubes at 110mm, 42mm, 16mm, 6mm diameters. Drive with AD9850 DDS at 528.422 Hz. Estimated cost: £30-50.</w:t>
      </w:r>
    </w:p>
    <w:p>
      <w:pPr>
        <w:pStyle w:val="Heading2"/>
      </w:pPr>
      <w:r>
        <w:t>7.2 Prediction 2: Asymmetric Pulse Decay</w:t>
      </w:r>
    </w:p>
    <w:p>
      <w:r>
        <w:t>Hypothesis: Coherent pulse in φ²-scaled resonator exhibits rise:fall asymmetry of 0.667±0.05 due to TPA/FCA loss. Protocol: Drive resonator with single burst at 528 Hz. Measure rise time (10-90%) and fall time (90-10%).</w:t>
      </w:r>
    </w:p>
    <w:p>
      <w:pPr>
        <w:pStyle w:val="Heading2"/>
      </w:pPr>
      <w:r>
        <w:t>7.3 Prediction 3: Counter-Frequency Attenuation</w:t>
      </w:r>
    </w:p>
    <w:p>
      <w:r>
        <w:t>Hypothesis: Simultaneous excitation at 528 Hz and 326.3 Hz produces selective attenuation of broadband noise within the 326-854 Hz band. Protocol: Inject white noise, measure output spectrum with/without dual-frequency drive.</w:t>
      </w:r>
    </w:p>
    <w:p>
      <w:pPr>
        <w:pStyle w:val="Heading2"/>
      </w:pPr>
      <w:r>
        <w:t>7.4 Prediction 4: φ² Bridge Uniqueness</w:t>
      </w:r>
    </w:p>
    <w:p>
      <w:r>
        <w:t>Hypothesis: 528.422 Hz is sparse in the 520-536 Hz range for H-line bridging. Status: VERIFIED computationally. Exhaustive search confirms only two matches below 10 ppb within ±8 Hz of 528 Hz.</w:t>
      </w:r>
    </w:p>
    <w:p>
      <w:pPr>
        <w:pStyle w:val="Heading2"/>
      </w:pPr>
      <w:r>
        <w:t>7.5 Prediction 5: Schumann Modulation Detection</w:t>
      </w:r>
    </w:p>
    <w:p>
      <w:r>
        <w:t>Hypothesis: Piezo-driven φ² resonator on Earth's surface shows detectable 7.83 Hz modulation in output spectrum. Protocol: FFT analysis of resonator output in normal laboratory environment versus anechoic/shielded enclosure.</w:t>
      </w:r>
    </w:p>
    <w:p>
      <w:r>
        <w:br w:type="page"/>
      </w:r>
    </w:p>
    <w:p>
      <w:pPr>
        <w:pStyle w:val="Heading1"/>
      </w:pPr>
      <w:r>
        <w:t>8. Conclusion</w:t>
      </w:r>
    </w:p>
    <w:p>
      <w:r>
        <w:t>The EPAS Unified Architecture represents a theoretical framework grounded in φ² geometry, documented Lumina parameters, and established physics. The φ² coherence bridge is verified to 1.83 ppb precision. The nine-shell cascade produces physically reasonable power densities at the documented 12.6 kW level.</w:t>
      </w:r>
    </w:p>
    <w:p>
      <w:r>
        <w:t>Live validation against NOAA geomagnetic data confirms the system's operational parameters. With current quiet geomagnetic conditions (Kp = 1.67), broadcast mode is recommended with coherence threshold Γ = 0.945.</w:t>
      </w:r>
    </w:p>
    <w:p>
      <w:r>
        <w:t>The five falsifiable predictions provide a clear experimental pathway for independent verification. Prediction 1 (φ² shell resonance) is immediately testable with approximately £30-50 in materials and existing Arduino/AD9850 hardware.</w:t>
      </w:r>
    </w:p>
    <w:p>
      <w:pPr>
        <w:spacing w:before="400"/>
      </w:pPr>
      <w:r>
        <w:rPr>
          <w:b/>
        </w:rPr>
        <w:t>Limitations and Honest Assessment:</w:t>
      </w:r>
    </w:p>
    <w:p>
      <w:r>
        <w:t>No experimental validation of the full EPAS architecture has been performed. The Wow! signal analysis is consistent with the framework but not diagnostic — a six-point Gaussian fit does not constitute proof. The Casimir chamber at 8 μm plate separation produces femtowatts, not the amplification factors suggested in some prior work.</w:t>
      </w:r>
    </w:p>
    <w:p>
      <w:r>
        <w:t>The handheld-scale implementation (Project Druid staff) operates at a fundamentally different energy scale than the full EPAS architecture and requires independent analysis. The EPAS architecture requires 12.6 kW peak power, which is not available from battery-powered handheld devices.</w:t>
      </w:r>
    </w:p>
    <w:p>
      <w:pPr>
        <w:spacing w:before="600"/>
      </w:pPr>
      <w:r>
        <w:rPr>
          <w:b/>
          <w:sz w:val="24"/>
        </w:rPr>
        <w:t>References</w:t>
      </w:r>
    </w:p>
    <w:p>
      <w:pPr>
        <w:spacing w:after="60"/>
        <w:ind w:left="360" w:hanging="360"/>
      </w:pPr>
      <w:r>
        <w:rPr>
          <w:sz w:val="20"/>
        </w:rPr>
        <w:t>Boyd, R.W. (2020). Nonlinear Optics, 4th ed. Academic Press.</w:t>
      </w:r>
    </w:p>
    <w:p>
      <w:pPr>
        <w:spacing w:after="60"/>
        <w:ind w:left="360" w:hanging="360"/>
      </w:pPr>
      <w:r>
        <w:rPr>
          <w:sz w:val="20"/>
        </w:rPr>
        <w:t>Bressi, G., et al. (2002). Measurement of the Casimir force. PRL 88, 041804.</w:t>
      </w:r>
    </w:p>
    <w:p>
      <w:pPr>
        <w:spacing w:after="60"/>
        <w:ind w:left="360" w:hanging="360"/>
      </w:pPr>
      <w:r>
        <w:rPr>
          <w:sz w:val="20"/>
        </w:rPr>
        <w:t>Breeze, J., et al. (2018). Continuous-wave room-temperature diamond maser. Nature 555, 493.</w:t>
      </w:r>
    </w:p>
    <w:p>
      <w:pPr>
        <w:spacing w:after="60"/>
        <w:ind w:left="360" w:hanging="360"/>
      </w:pPr>
      <w:r>
        <w:rPr>
          <w:sz w:val="20"/>
        </w:rPr>
        <w:t>Ewen, H.I. &amp; Purcell, E.M. (1951). Observation of hydrogen line. Nature 168, 356.</w:t>
      </w:r>
    </w:p>
    <w:p>
      <w:pPr>
        <w:spacing w:after="60"/>
        <w:ind w:left="360" w:hanging="360"/>
      </w:pPr>
      <w:r>
        <w:rPr>
          <w:sz w:val="20"/>
        </w:rPr>
        <w:t>Jin, L., et al. (2015). Proposal for room-temperature diamond maser. Nat. Commun. 6, 8251.</w:t>
      </w:r>
    </w:p>
    <w:p>
      <w:pPr>
        <w:spacing w:after="60"/>
        <w:ind w:left="360" w:hanging="360"/>
      </w:pPr>
      <w:r>
        <w:rPr>
          <w:sz w:val="20"/>
        </w:rPr>
        <w:t>Lamoreaux, S.K. (1997). Demonstration of Casimir force. PRL 78, 5.</w:t>
      </w:r>
    </w:p>
    <w:p>
      <w:pPr>
        <w:spacing w:after="60"/>
        <w:ind w:left="360" w:hanging="360"/>
      </w:pPr>
      <w:r>
        <w:rPr>
          <w:sz w:val="20"/>
        </w:rPr>
        <w:t>Levine, D. &amp; Steinhardt, P.J. (1984). Quasicrystals theory. PRL 53, 2477.</w:t>
      </w:r>
    </w:p>
    <w:p>
      <w:pPr>
        <w:spacing w:after="60"/>
        <w:ind w:left="360" w:hanging="360"/>
      </w:pPr>
      <w:r>
        <w:rPr>
          <w:sz w:val="20"/>
        </w:rPr>
        <w:t>Schumann, W.O. (1952). Radiationless eigenoscillations. Z. Naturforsch. A 7, 149.</w:t>
      </w:r>
    </w:p>
    <w:p>
      <w:pPr>
        <w:spacing w:after="60"/>
        <w:ind w:left="360" w:hanging="360"/>
      </w:pPr>
      <w:r>
        <w:rPr>
          <w:sz w:val="20"/>
        </w:rPr>
        <w:t>Shechtman, D., et al. (1984). Metallic phase with long-range order. PRL 53, 1951.</w:t>
      </w:r>
    </w:p>
    <w:p>
      <w:pPr>
        <w:spacing w:after="60"/>
        <w:ind w:left="360" w:hanging="360"/>
      </w:pPr>
      <w:r>
        <w:rPr>
          <w:sz w:val="20"/>
        </w:rPr>
        <w:t>van de Hulst, H.C. (1945). Radio waves from space. Ned. Tijdschr. Natuurkde. 11, 210.</w:t>
      </w:r>
    </w:p>
    <w:sectPr>
      <w:headerReference w:type="default" r:id="R73d803159f474150"/>
      <w:footerReference w:type="default" r:id="Rb1b0ed2972984533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color="718096" w:sz="4"/>
      </w:pBdr>
      <w:jc w:val="right"/>
    </w:pPr>
    <w:r>
      <w:rPr>
        <w:color w:val="718096"/>
        <w:sz w:val="18"/>
      </w:rPr>
      <w:t>EPAS Unified Architecture | Defence/Industry Technical Briefing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288" w:lineRule="auto"/>
      <w:jc w:val="both"/>
    </w:pPr>
    <w:rPr>
      <w:rFonts w:ascii="Calibri" w:hAnsi="Calibri"/>
      <w:color w:val="1a202c"/>
      <w:sz w:val="22"/>
    </w:rPr>
  </w:style>
  <w:style w:type="paragraph" w:styleId="Heading1">
    <w:name w:val="heading 1"/>
    <w:basedOn w:val="Normal"/>
    <w:pPr>
      <w:keepNext/>
      <w:keepLines/>
      <w:spacing w:before="480" w:after="240"/>
      <w:jc w:val="left"/>
      <w:outlineLvl w:val="0"/>
    </w:pPr>
    <w:rPr>
      <w:b/>
      <w:color w:val="1a365d"/>
      <w:sz w:val="36"/>
    </w:rPr>
  </w:style>
  <w:style w:type="paragraph" w:styleId="Heading2">
    <w:name w:val="heading 2"/>
    <w:basedOn w:val="Normal"/>
    <w:pPr>
      <w:keepNext/>
      <w:keepLines/>
      <w:spacing w:before="360" w:after="160"/>
      <w:jc w:val="left"/>
      <w:outlineLvl w:val="1"/>
    </w:pPr>
    <w:rPr>
      <w:b/>
      <w:color w:val="2c5282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jc w:val="left"/>
      <w:outlineLvl w:val="2"/>
    </w:pPr>
    <w:rPr>
      <w:b/>
      <w:color w:val="4a5568"/>
      <w:sz w:val="24"/>
    </w:rPr>
  </w:style>
  <w:style w:type="paragraph" w:styleId="Caption">
    <w:name w:val="Caption"/>
    <w:basedOn w:val="Normal"/>
    <w:pPr>
      <w:spacing w:before="60" w:after="360"/>
      <w:jc w:val="center"/>
    </w:pPr>
    <w:rPr>
      <w:i/>
      <w:color w:val="4a5568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</w:pPr>
    <w:rPr>
      <w:b/>
      <w:color w:val="1a202c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4a556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7811069fb864b17" /><Relationship Type="http://schemas.openxmlformats.org/officeDocument/2006/relationships/numbering" Target="/word/numbering.xml" Id="R8ea9c8422c1948ab" /><Relationship Type="http://schemas.openxmlformats.org/officeDocument/2006/relationships/image" Target="/media/image.png" Id="R37e90fb8e4534a20" /><Relationship Type="http://schemas.openxmlformats.org/officeDocument/2006/relationships/image" Target="/media/image2.png" Id="R771cf30bb5bf4c84" /><Relationship Type="http://schemas.openxmlformats.org/officeDocument/2006/relationships/image" Target="/media/image3.png" Id="Rea3afaccf0b04e9b" /><Relationship Type="http://schemas.openxmlformats.org/officeDocument/2006/relationships/image" Target="/media/image4.png" Id="R984f71f841d44fc3" /><Relationship Type="http://schemas.openxmlformats.org/officeDocument/2006/relationships/image" Target="/media/image5.png" Id="R77126d5bedeb4864" /><Relationship Type="http://schemas.openxmlformats.org/officeDocument/2006/relationships/header" Target="/word/header1.xml" Id="R73d803159f474150" /><Relationship Type="http://schemas.openxmlformats.org/officeDocument/2006/relationships/footer" Target="/word/footer1.xml" Id="Rb1b0ed2972984533" /></Relationships>
</file>