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Harmonic Nexus Core - Revit Family Specification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provides a detailed structure and formula setup to be implemented in the Revit Family Editor for the Harmonic Nexus Core device, inspired by the symbolic and energetic architecture previously discussed.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Parameters and Formulas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1. Resonance_Frequency (Number, Instance): Drive frequency in GHz.</w:t>
        <w:br/>
        <w:t xml:space="preserve">2. Cavity_Spacing (Number, Type): Default = 50 nm.</w:t>
        <w:br/>
        <w:t xml:space="preserve">3. Bio_Response_Index (Formula): = Resonance_Frequency * 0.1</w:t>
        <w:br/>
        <w:t xml:space="preserve">4. Output_Energy (Formula): = Bio_Response_Index * 0.33</w:t>
        <w:br/>
        <w:t xml:space="preserve">5. Core_Height (Length): 25 mm</w:t>
        <w:br/>
        <w:t xml:space="preserve">6. Layer_Thickness_BioMatrix (Length): 10 mm</w:t>
        <w:br/>
        <w:t xml:space="preserve">7. Layer_Thickness_Quartz (Length): 5 mm</w:t>
        <w:br/>
        <w:t xml:space="preserve">8. Layer_Thickness_Trace (Length): 3 mm</w:t>
        <w:br/>
        <w:t xml:space="preserve">9. Layer_Thickness_Conductor (Length): 1.5 mm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Family Type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Family Category: Generic Model</w:t>
        <w:br/>
        <w:t xml:space="preserve">Model Behavior: Parametric stack assembly with variable resonance layer heights.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Simulation Setup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- Use instance parameters to simulate symbolic behavior (e.g., adjust frequency and observe output energy response).</w:t>
        <w:br/>
        <w:t xml:space="preserve">- Apply material appearance for each layer (e.g., Quartz, Conductor, BioMatrix).</w:t>
        <w:br/>
        <w:t xml:space="preserve">- Color mapping for consciousness state:</w:t>
        <w:br/>
        <w:t xml:space="preserve">    - Aligned (Green)</w:t>
        <w:br/>
        <w:t xml:space="preserve">    - Disrupted (Red)</w:t>
        <w:br/>
        <w:t xml:space="preserve">    - Harmonic (Blue)</w:t>
        <w:br/>
        <w:br/>
        <w:t xml:space="preserve">Integration with Dynamo:</w:t>
        <w:br/>
        <w:t xml:space="preserve">- Use parameter-driven formulas to animate frequency and symbolic layer behavior.</w:t>
        <w:br/>
        <w:t xml:space="preserve">- Create conditional visibility of states based on frequency thresholds.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Export Guidance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Once the family is built:</w:t>
        <w:br/>
        <w:t xml:space="preserve">1. Save as .rfa file.</w:t>
        <w:br/>
        <w:t xml:space="preserve">2. Load into your project and simulate different parameter combinations.</w:t>
        <w:br/>
        <w:t xml:space="preserve">3. Optionally, connect to Twinmotion for real-time visualization.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