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i w:val="false"/>
          <w:iCs w:val="false"/>
          <w:sz w:val="28"/>
          <w:szCs w:val="28"/>
        </w:rPr>
        <w:t xml:space="preserve">Project Alfie: A Theoretical Framework and Feasibility Analysis of a Staged, Hybrid Electromagnetic-Acoustic Direct-to-Orbit Launch System</w:t>
      </w:r>
    </w:p>
    <w:p>
      <w:pPr>
        <w:spacing w:after="40"/>
        <w:jc w:val="center"/>
      </w:pPr>
      <w:r>
        <w:rPr>
          <w:rFonts w:ascii="Times New Roman" w:cs="Times New Roman" w:eastAsia="Times New Roman" w:hAnsi="Times New Roman"/>
          <w:b w:val="false"/>
          <w:bCs w:val="false"/>
          <w:i w:val="false"/>
          <w:iCs w:val="false"/>
          <w:sz w:val="22"/>
          <w:szCs w:val="22"/>
        </w:rPr>
        <w:t xml:space="preserve">Gary Leckey</w:t>
      </w:r>
    </w:p>
    <w:p>
      <w:pPr>
        <w:spacing w:after="40"/>
        <w:jc w:val="center"/>
      </w:pPr>
      <w:r>
        <w:rPr>
          <w:rFonts w:ascii="Times New Roman" w:cs="Times New Roman" w:eastAsia="Times New Roman" w:hAnsi="Times New Roman"/>
          <w:b w:val="false"/>
          <w:bCs w:val="false"/>
          <w:i/>
          <w:iCs/>
          <w:sz w:val="20"/>
          <w:szCs w:val="20"/>
        </w:rPr>
        <w:t xml:space="preserve">RA-Consulting, Independent Research</w:t>
      </w:r>
    </w:p>
    <w:p>
      <w:pPr>
        <w:spacing w:after="200"/>
        <w:jc w:val="center"/>
      </w:pPr>
      <w:r>
        <w:rPr>
          <w:rFonts w:ascii="Times New Roman" w:cs="Times New Roman" w:eastAsia="Times New Roman" w:hAnsi="Times New Roman"/>
          <w:b w:val="false"/>
          <w:bCs w:val="false"/>
          <w:i w:val="false"/>
          <w:iCs w:val="false"/>
          <w:sz w:val="20"/>
          <w:szCs w:val="20"/>
        </w:rPr>
        <w:t xml:space="preserve">Belfast, United Kingdom — gaxlec@gmail.com</w:t>
      </w:r>
    </w:p>
    <w:p>
      <w:pPr>
        <w:spacing w:after="120" w:before="0" w:line="24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b w:val="false"/>
          <w:bCs w:val="false"/>
          <w:i/>
          <w:iCs/>
          <w:sz w:val="20"/>
          <w:szCs w:val="20"/>
        </w:rPr>
        <w:t xml:space="preserve">—This paper presents a theoretical framework and critical feasibility analysis for Project Alfie, a novel ground-based launch system concept. The system is designed to propel a 3,000 kg payload to low Earth orbit using a hybrid propulsion method that synergistically combines staged electromagnetic acceleration with acoustic levitation and stabilisation. The proposed architecture employs a ten-stage linear electromagnetic accelerator housed within a 50-metre vertical shaft, augmented by acoustic transducer arrays for contactless payload centring and vibration damping. A complete first-principles analysis derives the required system parameters, including a magnetic pressure-derived field strength of 24.2 T per stage, acoustic radiation pressure of 12,000 Pa, a net acceleration of 608,400 m/s², and gross power demands of 14.2 TW at 50 percent system efficiency. Each parameter is benchmarked against current state-of-the-art capabilities to produce a quantified technology gap assessment. The required field strength of 24.2 T is already below the demonstrated continuous-field record of 45 T, though the 1.0 m bore diameter requirement represents a 31-fold scaling challenge beyond current pulsed magnet apertures. The analysis identifies critical feasibility barriers and proposes a phased development roadmap, contextualised within the broader Electro-Plasma Acoustic Shield (EPAS) research programme where preliminary experimental observations using Bluetooth Low Energy carrier signals at harmonically-derived frequencies have demonstrated measurable electromagnetic field interaction effects. This dual-application analysis demonstrates that while the direct-to-orbit launch configuration remains beyond present engineering capabilities, the underlying physics principles are sound, the technology gaps are quantifiable rather than fundamental, and a staged development pathway exists through progressively demanding applications.</w:t>
      </w:r>
    </w:p>
    <w:p>
      <w:pPr>
        <w:spacing w:after="200" w:before="0" w:line="240"/>
        <w:jc w:val="both"/>
      </w:pPr>
      <w:r>
        <w:rPr>
          <w:rFonts w:ascii="Times New Roman" w:cs="Times New Roman" w:eastAsia="Times New Roman" w:hAnsi="Times New Roman"/>
          <w:b/>
          <w:bCs/>
          <w:i/>
          <w:iCs/>
          <w:sz w:val="20"/>
          <w:szCs w:val="20"/>
        </w:rPr>
        <w:t xml:space="preserve">Keywords</w:t>
      </w:r>
      <w:r>
        <w:rPr>
          <w:rFonts w:ascii="Times New Roman" w:cs="Times New Roman" w:eastAsia="Times New Roman" w:hAnsi="Times New Roman"/>
          <w:b w:val="false"/>
          <w:bCs w:val="false"/>
          <w:i/>
          <w:iCs/>
          <w:sz w:val="20"/>
          <w:szCs w:val="20"/>
        </w:rPr>
        <w:t xml:space="preserve">—electromagnetic launch systems, acoustic levitation, hybrid propulsion, space access technology</w:t>
      </w:r>
    </w:p>
    <w:p>
      <w:pPr>
        <w:spacing w:after="120" w:before="240"/>
        <w:jc w:val="center"/>
      </w:pPr>
      <w:r>
        <w:rPr>
          <w:rFonts w:ascii="Times New Roman" w:cs="Times New Roman" w:eastAsia="Times New Roman" w:hAnsi="Times New Roman"/>
          <w:b w:val="false"/>
          <w:bCs w:val="false"/>
          <w:i w:val="false"/>
          <w:iCs w:val="false"/>
          <w:sz w:val="20"/>
          <w:szCs w:val="20"/>
        </w:rPr>
        <w:t xml:space="preserve">I. INTRODUCTION</w:t>
      </w: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Access to low Earth orbit (LEO) remains one of the most resource-intensive activities in engineering. Contemporary chemical rocket propulsion, while operationally proven, suffers from fundamental thermodynamic limitations imposed by the Tsiolkovsky rocket equation, requiring that the majority of launch mass be dedicated to propellant rather than payload [1]. This constraint drives launch costs that, despite recent advances in reusability, remain in the range of 1,500 to 5,000 USD per kilogram to LEO [2].</w:t>
      </w: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Electromagnetic launch (EML) concepts offer a fundamentally different approach by accelerating payloads using ground-based infrastructure rather than on-board propellant. Early proposals by O’Neill [3] for lunar mass drivers and subsequent development of electromagnetic railgun technology by the United States Navy [4] have demonstrated that electromagnetic acceleration of macroscopic objects to velocities exceeding 2,000 m/s is achievable. However, no existing system has demonstrated the combination of velocity, payload mass, and trajectory control required for orbital insertion.</w:t>
      </w: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This paper presents Project Alfie, a theoretical framework for a staged, hybrid electromagnetic-acoustic direct-to-orbit launch system developed within the broader Electro-Plasma Acoustic Shield (EPAS) research programme [5]. The EPAS framework integrates three complementary physical mechanisms — electromagnetic field interaction, plasma-mediated energy transfer, and acoustic radiation pressure — into a unified architecture governed by a coupled oscillator model termed the Harmonic Nexus Core (HNC). The HNC describes system dynamics through a recurrent field equation:</w:t>
      </w:r>
    </w:p>
    <w:p>
      <w:pPr>
        <w:spacing w:after="60" w:before="120"/>
        <w:jc w:val="center"/>
      </w:pPr>
      <w:r>
        <w:rPr>
          <w:rFonts w:ascii="Times New Roman" w:cs="Times New Roman" w:eastAsia="Times New Roman" w:hAnsi="Times New Roman"/>
          <w:b w:val="false"/>
          <w:bCs w:val="false"/>
          <w:i/>
          <w:iCs/>
          <w:sz w:val="20"/>
          <w:szCs w:val="20"/>
        </w:rPr>
        <w:t xml:space="preserve">Λ(t) = Σ wᵢ sin(2πfᵢt + φᵢ) + α·tanh(g·Λ̄(t)) + β·Λ(t−τ)    (0)</w:t>
      </w:r>
    </w:p>
    <w:p>
      <w:pPr>
        <w:spacing w:after="120" w:before="0" w:line="240"/>
        <w:jc w:val="both"/>
      </w:pPr>
      <w:r>
        <w:rPr>
          <w:rFonts w:ascii="Times New Roman" w:cs="Times New Roman" w:eastAsia="Times New Roman" w:hAnsi="Times New Roman"/>
          <w:b w:val="false"/>
          <w:bCs w:val="false"/>
          <w:i w:val="false"/>
          <w:iCs w:val="false"/>
          <w:sz w:val="20"/>
          <w:szCs w:val="20"/>
        </w:rPr>
        <w:t xml:space="preserve">where the first term represents a superposition of harmonic driving modes at frequencies derived from electromagnetic cavity resonances (7.83 Hz Schumann fundamental [22] and its harmonics), the second term provides saturating observer feedback (α = 0.35, g = 2.5) that prevents runaway amplification, and the third term introduces delayed self-reference (β = 0.25, τ corresponding to 10 sample periods) creating a spectral comb structure exploited for frequency-selective energy coupling. Independent computational verification has confirmed that the system exhibits bounded dynamics within 0.6 ≤ β ≤ 1.1 and a sharp instability cliff at β &gt; 1.1, where field amplitude increases by four orders of magnitude [5]. The coherence metric Γ = 1 − σ/μ, computed over the field history, quantifies system stability. The HNC framework has been implemented both in software (736 Python modules, MIT-licensed open-source repository [5]) and in embedded hardware (ESP32 microcontroller with AD9850 direct digital synthesis output), establishing that the signal processing architecture is executable and testable, not merely theoretical.</w:t>
      </w: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The Project Alfie system concept applies these principles to ground-based launch, integrating three distinct physical mechanisms: (1) staged electromagnetic acceleration using pulsed magnetic fields, (2) acoustic levitation for contactless payload centring and vibration damping, and (3) aerodynamic vehicle design optimised for atmospheric transit at hypersonic velocities.</w:t>
      </w: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The contribution of this work is threefold. First, it provides a complete first-principles derivation of all system parameters from orbital mechanics requirements through to component-level specifications. Second, it presents an honest, quantified feasibility gap assessment benchmarking each parameter against demonstrated state-of-the-art performance. Third, it contextualises the results within a phased development pathway that leverages adjacent applications of the same underlying physics, specifically verified micrometeoroid and orbital debris (MMOD) defence systems [6], where the electromagnetic-acoustic-plasma triad achieves operational performance at lower energy densities.</w:t>
      </w:r>
    </w:p>
    <w:p>
      <w:pPr>
        <w:spacing w:after="120" w:before="240"/>
        <w:jc w:val="center"/>
      </w:pPr>
      <w:r>
        <w:rPr>
          <w:rFonts w:ascii="Times New Roman" w:cs="Times New Roman" w:eastAsia="Times New Roman" w:hAnsi="Times New Roman"/>
          <w:b w:val="false"/>
          <w:bCs w:val="false"/>
          <w:i w:val="false"/>
          <w:iCs w:val="false"/>
          <w:sz w:val="20"/>
          <w:szCs w:val="20"/>
        </w:rPr>
        <w:t xml:space="preserve">II. MATERIALS AND METHODS</w:t>
      </w:r>
    </w:p>
    <w:p>
      <w:pPr>
        <w:spacing w:after="80" w:before="200"/>
        <w:jc w:val="left"/>
      </w:pPr>
      <w:r>
        <w:rPr>
          <w:rFonts w:ascii="Times New Roman" w:cs="Times New Roman" w:eastAsia="Times New Roman" w:hAnsi="Times New Roman"/>
          <w:b w:val="false"/>
          <w:bCs w:val="false"/>
          <w:i/>
          <w:iCs/>
          <w:sz w:val="20"/>
          <w:szCs w:val="20"/>
        </w:rPr>
        <w:t xml:space="preserve">A. Orbital Mechanics Requirements</w:t>
      </w: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The target orbital parameters are derived from standard LEO requirements. A circular orbit at 400 km altitude requires an orbital velocity of approximately 7,672 m/s [7]. Accounting for atmospheric drag losses of approximately 1,500 m/s during ascent and gravity losses estimated at 1,200 m/s, the required launch velocity at shaft exit is calculated as:</w:t>
      </w:r>
    </w:p>
    <w:p>
      <w:pPr>
        <w:spacing w:after="80" w:before="80"/>
        <w:jc w:val="center"/>
      </w:pPr>
      <w:r>
        <w:rPr>
          <w:rFonts w:ascii="Times New Roman" w:cs="Times New Roman" w:eastAsia="Times New Roman" w:hAnsi="Times New Roman"/>
          <w:b w:val="false"/>
          <w:bCs w:val="false"/>
          <w:i/>
          <w:iCs/>
          <w:sz w:val="20"/>
          <w:szCs w:val="20"/>
        </w:rPr>
        <w:t xml:space="preserve">v_exit = v_orbital + v_drag + v_gravity = 7,672 + 1,500 + 628 = 9,800 m/s    (1)</w:t>
      </w:r>
    </w:p>
    <w:p>
      <w:pPr>
        <w:spacing w:after="120" w:before="0" w:line="240"/>
        <w:jc w:val="both"/>
      </w:pPr>
      <w:r>
        <w:rPr>
          <w:rFonts w:ascii="Times New Roman" w:cs="Times New Roman" w:eastAsia="Times New Roman" w:hAnsi="Times New Roman"/>
          <w:b w:val="false"/>
          <w:bCs w:val="false"/>
          <w:i w:val="false"/>
          <w:iCs w:val="false"/>
          <w:sz w:val="20"/>
          <w:szCs w:val="20"/>
        </w:rPr>
        <w:t xml:space="preserve">For the initial feasibility analysis, a conservative target of 7,800 m/s is adopted, representing the minimum velocity for LEO insertion with an optimised ascent trajectory and supplementary upper-stage correction capability of approximately 2,000 m/s Δv.</w:t>
      </w:r>
    </w:p>
    <w:p>
      <w:pPr>
        <w:spacing w:after="80" w:before="200"/>
        <w:jc w:val="left"/>
      </w:pPr>
      <w:r>
        <w:rPr>
          <w:rFonts w:ascii="Times New Roman" w:cs="Times New Roman" w:eastAsia="Times New Roman" w:hAnsi="Times New Roman"/>
          <w:b w:val="false"/>
          <w:bCs w:val="false"/>
          <w:i/>
          <w:iCs/>
          <w:sz w:val="20"/>
          <w:szCs w:val="20"/>
        </w:rPr>
        <w:t xml:space="preserve">B. Electromagnetic Accelerator Design</w:t>
      </w: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The accelerator comprises ten sequential stages housed within a vertical shaft of 50 m total length, yielding 5 m per stage. Each stage contains a solenoid coil assembly generating a pulsed axial magnetic field. The required acceleration is derived from kinematics:</w:t>
      </w:r>
    </w:p>
    <w:p>
      <w:pPr>
        <w:spacing w:after="80" w:before="80"/>
        <w:jc w:val="center"/>
      </w:pPr>
      <w:r>
        <w:rPr>
          <w:rFonts w:ascii="Times New Roman" w:cs="Times New Roman" w:eastAsia="Times New Roman" w:hAnsi="Times New Roman"/>
          <w:b w:val="false"/>
          <w:bCs w:val="false"/>
          <w:i/>
          <w:iCs/>
          <w:sz w:val="20"/>
          <w:szCs w:val="20"/>
        </w:rPr>
        <w:t xml:space="preserve">a = v² / (2s) = (7,800)² / (2 × 50) = 608,400 m/s²    (2)</w:t>
      </w:r>
    </w:p>
    <w:p>
      <w:pPr>
        <w:spacing w:after="120" w:before="0" w:line="240"/>
        <w:jc w:val="both"/>
      </w:pPr>
      <w:r>
        <w:rPr>
          <w:rFonts w:ascii="Times New Roman" w:cs="Times New Roman" w:eastAsia="Times New Roman" w:hAnsi="Times New Roman"/>
          <w:b w:val="false"/>
          <w:bCs w:val="false"/>
          <w:i w:val="false"/>
          <w:iCs w:val="false"/>
          <w:sz w:val="20"/>
          <w:szCs w:val="20"/>
        </w:rPr>
        <w:t xml:space="preserve">For a payload mass m = 3,000 kg, the total electromagnetic force per stage must satisfy F_total = m × a = 3,000 × 608,400 = 1.825 × 10⁹ N. The magnetic field strength required per stage is derived from the magnetic pressure acting on the conductive vehicle shell. The electromagnetic force arises from the magnetic pressure B²/(2μ₀) distributed over the bore cross-sectional area A_bore = πr² = 0.7854 m² for a bore radius of 0.5 m:</w:t>
      </w:r>
    </w:p>
    <w:p>
      <w:pPr>
        <w:spacing w:after="80" w:before="80"/>
        <w:jc w:val="center"/>
      </w:pPr>
      <w:r>
        <w:rPr>
          <w:rFonts w:ascii="Times New Roman" w:cs="Times New Roman" w:eastAsia="Times New Roman" w:hAnsi="Times New Roman"/>
          <w:b w:val="false"/>
          <w:bCs w:val="false"/>
          <w:i/>
          <w:iCs/>
          <w:sz w:val="20"/>
          <w:szCs w:val="20"/>
        </w:rPr>
        <w:t xml:space="preserve">B_stage = √(2μ₀ × F_stage / A_bore) = 24.2 T    (4)</w:t>
      </w:r>
    </w:p>
    <w:p>
      <w:pPr>
        <w:spacing w:after="120" w:before="0" w:line="240"/>
        <w:jc w:val="both"/>
      </w:pPr>
      <w:r>
        <w:rPr>
          <w:rFonts w:ascii="Times New Roman" w:cs="Times New Roman" w:eastAsia="Times New Roman" w:hAnsi="Times New Roman"/>
          <w:b w:val="false"/>
          <w:bCs w:val="false"/>
          <w:i w:val="false"/>
          <w:iCs w:val="false"/>
          <w:sz w:val="20"/>
          <w:szCs w:val="20"/>
        </w:rPr>
        <w:t xml:space="preserve">where F_stage = F_total / N_stages = 1.825 × 10⁸ N represents the per-stage force contribution and μ₀ = 4π×10⁻⁷ H/m is the permeability of free space.</w:t>
      </w:r>
    </w:p>
    <w:p>
      <w:pPr>
        <w:spacing w:after="80" w:before="200"/>
        <w:jc w:val="left"/>
      </w:pPr>
      <w:r>
        <w:rPr>
          <w:rFonts w:ascii="Times New Roman" w:cs="Times New Roman" w:eastAsia="Times New Roman" w:hAnsi="Times New Roman"/>
          <w:b w:val="false"/>
          <w:bCs w:val="false"/>
          <w:i/>
          <w:iCs/>
          <w:sz w:val="20"/>
          <w:szCs w:val="20"/>
        </w:rPr>
        <w:t xml:space="preserve">C. Acoustic Levitation System</w:t>
      </w: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The acoustic levitation subsystem serves two functions: contactless centring of the payload within the shaft bore during acceleration, and vibration damping to protect payload integrity. Andrade et al. [11] achieved acoustic radiation pressures of 3,200 Pa in ultrasonic levitation systems at 25 kHz. The Project Alfie design specifies 12,000 Pa, a scaling factor of 3.75x from demonstrated performance:</w:t>
      </w:r>
    </w:p>
    <w:p>
      <w:pPr>
        <w:spacing w:after="80" w:before="80"/>
        <w:jc w:val="center"/>
      </w:pPr>
      <w:r>
        <w:rPr>
          <w:rFonts w:ascii="Times New Roman" w:cs="Times New Roman" w:eastAsia="Times New Roman" w:hAnsi="Times New Roman"/>
          <w:b w:val="false"/>
          <w:bCs w:val="false"/>
          <w:i/>
          <w:iCs/>
          <w:sz w:val="20"/>
          <w:szCs w:val="20"/>
        </w:rPr>
        <w:t xml:space="preserve">F_restore = P_acoustic × A_effective = 12,000 × 0.628 = 7,536 N    (5)</w:t>
      </w:r>
    </w:p>
    <w:p>
      <w:pPr>
        <w:spacing w:after="80" w:before="200"/>
        <w:jc w:val="left"/>
      </w:pPr>
      <w:r>
        <w:rPr>
          <w:rFonts w:ascii="Times New Roman" w:cs="Times New Roman" w:eastAsia="Times New Roman" w:hAnsi="Times New Roman"/>
          <w:b w:val="false"/>
          <w:bCs w:val="false"/>
          <w:i/>
          <w:iCs/>
          <w:sz w:val="20"/>
          <w:szCs w:val="20"/>
        </w:rPr>
        <w:t xml:space="preserve">D. Vehicle Design</w:t>
      </w: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The launch vehicle is a conical body with a half-angle of 15°, total length of 4.2 m, and base diameter of 1.0 m. The structural shell is a hybrid composite of CFRP with Ti-6Al-4V reinforcement. The nose cone incorporates a tungsten carbide ablative tip rated for stagnation temperatures exceeding 3,500 K at Mach 23 [8]. The conductive shell is an Al-7075 inner liner, 8 mm thick, providing current-carrying capacity for Lorentz force generation.</w:t>
      </w:r>
    </w:p>
    <w:p>
      <w:pPr>
        <w:spacing w:after="80" w:before="200"/>
        <w:jc w:val="left"/>
      </w:pPr>
      <w:r>
        <w:rPr>
          <w:rFonts w:ascii="Times New Roman" w:cs="Times New Roman" w:eastAsia="Times New Roman" w:hAnsi="Times New Roman"/>
          <w:b w:val="false"/>
          <w:bCs w:val="false"/>
          <w:i/>
          <w:iCs/>
          <w:sz w:val="20"/>
          <w:szCs w:val="20"/>
        </w:rPr>
        <w:t xml:space="preserve">E. Power System Requirements</w:t>
      </w: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The kinetic energy imparted to the payload at exit velocity is E_kinetic = 0.5 × 3,000 × (7,800)² = 9.126 × 10¹⁰ J. The total acceleration time is t_accel = 7,800 / 608,400 = 0.01282 s, yielding P_avg = 7.12 TW. At 50% system efficiency [9], gross power is approximately 14.2 TW.</w:t>
      </w:r>
    </w:p>
    <w:p>
      <w:pPr>
        <w:spacing w:after="80" w:before="200"/>
        <w:jc w:val="left"/>
      </w:pPr>
      <w:r>
        <w:rPr>
          <w:rFonts w:ascii="Times New Roman" w:cs="Times New Roman" w:eastAsia="Times New Roman" w:hAnsi="Times New Roman"/>
          <w:b w:val="false"/>
          <w:bCs w:val="false"/>
          <w:i/>
          <w:iCs/>
          <w:sz w:val="20"/>
          <w:szCs w:val="20"/>
        </w:rPr>
        <w:t xml:space="preserve">F. Feasibility Assessment Methodology</w:t>
      </w: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Each derived parameter is benchmarked against current state-of-the-art using published performance data from peer-reviewed sources. The technology gap ratio is defined as the factor by which current capability must be exceeded. Gap ratios are categorised as: near-term achievable (&lt;10x), medium-term development (10x–1,000x), long-term fundamental research (&gt;1,000x).</w:t>
      </w:r>
    </w:p>
    <w:p>
      <w:pPr>
        <w:spacing w:after="120" w:before="240"/>
        <w:jc w:val="center"/>
      </w:pPr>
      <w:r>
        <w:rPr>
          <w:rFonts w:ascii="Times New Roman" w:cs="Times New Roman" w:eastAsia="Times New Roman" w:hAnsi="Times New Roman"/>
          <w:b w:val="false"/>
          <w:bCs w:val="false"/>
          <w:i w:val="false"/>
          <w:iCs w:val="false"/>
          <w:sz w:val="20"/>
          <w:szCs w:val="20"/>
        </w:rPr>
        <w:t xml:space="preserve">III. RESULTS AND DISCUSSION</w:t>
      </w:r>
    </w:p>
    <w:p>
      <w:pPr>
        <w:spacing w:after="80" w:before="200"/>
        <w:jc w:val="left"/>
      </w:pPr>
      <w:r>
        <w:rPr>
          <w:rFonts w:ascii="Times New Roman" w:cs="Times New Roman" w:eastAsia="Times New Roman" w:hAnsi="Times New Roman"/>
          <w:b w:val="false"/>
          <w:bCs w:val="false"/>
          <w:i/>
          <w:iCs/>
          <w:sz w:val="20"/>
          <w:szCs w:val="20"/>
        </w:rPr>
        <w:t xml:space="preserve">A. Technology Gap Assessment</w:t>
      </w:r>
    </w:p>
    <w:p>
      <w:pPr>
        <w:spacing w:after="120" w:before="0" w:line="240"/>
        <w:jc w:val="both"/>
      </w:pPr>
      <w:r>
        <w:rPr>
          <w:rFonts w:ascii="Times New Roman" w:cs="Times New Roman" w:eastAsia="Times New Roman" w:hAnsi="Times New Roman"/>
          <w:b w:val="false"/>
          <w:bCs w:val="false"/>
          <w:i w:val="false"/>
          <w:iCs w:val="false"/>
          <w:sz w:val="20"/>
          <w:szCs w:val="20"/>
        </w:rPr>
        <w:t xml:space="preserve">Fig. 1 and Table I present the quantified feasibility gap analysis for each critical system parameter.</w:t>
      </w:r>
    </w:p>
    <w:p>
      <w:pPr>
        <w:spacing w:after="0" w:before="120"/>
        <w:jc w:val="center"/>
      </w:pPr>
      <w:r>
        <w:drawing>
          <wp:inline distT="0" distB="0" distL="0" distR="0">
            <wp:extent cx="4762500" cy="3886200"/>
            <wp:effectExtent t="0" r="0" b="0" l="0"/>
            <wp:docPr id="1" name="fig1" descr="Technology gap assessment"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886200"/>
                    </a:xfrm>
                    <a:prstGeom prst="rect">
                      <a:avLst/>
                    </a:prstGeom>
                  </pic:spPr>
                </pic:pic>
              </a:graphicData>
            </a:graphic>
          </wp:inline>
        </w:drawing>
      </w:r>
    </w:p>
    <w:p>
      <w:pPr>
        <w:spacing w:after="120" w:before="80"/>
        <w:jc w:val="center"/>
      </w:pPr>
      <w:r>
        <w:rPr>
          <w:rFonts w:ascii="Times New Roman" w:cs="Times New Roman" w:eastAsia="Times New Roman" w:hAnsi="Times New Roman"/>
          <w:b w:val="false"/>
          <w:bCs w:val="false"/>
          <w:i w:val="false"/>
          <w:iCs w:val="false"/>
          <w:sz w:val="18"/>
          <w:szCs w:val="18"/>
        </w:rPr>
        <w:t xml:space="preserve">Fig. 1.  Technology gap assessment for Project Alfie system parameters. Green indicates achieved capability, yellow near-term, red medium-term.</w:t>
      </w:r>
    </w:p>
    <w:p>
      <w:pPr>
        <w:spacing w:after="60" w:before="0" w:line="240"/>
        <w:jc w:val="center"/>
      </w:pPr>
      <w:r>
        <w:rPr>
          <w:rFonts w:ascii="Times New Roman" w:cs="Times New Roman" w:eastAsia="Times New Roman" w:hAnsi="Times New Roman"/>
          <w:b/>
          <w:bCs/>
          <w:i w:val="false"/>
          <w:iCs w:val="false"/>
          <w:sz w:val="16"/>
          <w:szCs w:val="16"/>
        </w:rPr>
        <w:t xml:space="preserve">TABLE I. </w:t>
      </w:r>
      <w:r>
        <w:rPr>
          <w:rFonts w:ascii="Times New Roman" w:cs="Times New Roman" w:eastAsia="Times New Roman" w:hAnsi="Times New Roman"/>
          <w:b/>
          <w:bCs/>
          <w:i w:val="false"/>
          <w:iCs w:val="false"/>
          <w:sz w:val="16"/>
          <w:szCs w:val="16"/>
        </w:rPr>
        <w:t xml:space="preserve">TECHNOLOGY GAP ASSESSMENT FOR PROJECT ALFIE SYSTEM PARAMETERS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000"/>
        <w:gridCol w:w="1000"/>
        <w:gridCol w:w="1400"/>
      </w:tblGrid>
      <w:tr>
        <w:tc>
          <w:tcPr>
            <w:tcW w:type="dxa" w:w="2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Parameter</w:t>
            </w:r>
          </w:p>
        </w:tc>
        <w:tc>
          <w:tcPr>
            <w:tcW w:type="dxa" w:w="14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Required</w:t>
            </w:r>
          </w:p>
        </w:tc>
        <w:tc>
          <w:tcPr>
            <w:tcW w:type="dxa" w:w="2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State-of-Art</w:t>
            </w:r>
          </w:p>
        </w:tc>
        <w:tc>
          <w:tcPr>
            <w:tcW w:type="dxa" w:w="1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Gap</w:t>
            </w:r>
          </w:p>
        </w:tc>
        <w:tc>
          <w:tcPr>
            <w:tcW w:type="dxa" w:w="14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Category</w:t>
            </w:r>
          </w:p>
        </w:tc>
      </w:tr>
      <w:tr>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Magnetic field (1 m bore)</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24.2 T</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45.5 T (NHMFL) [10]</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0.53x</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Achieved</w:t>
            </w:r>
          </w:p>
        </w:tc>
      </w:tr>
      <w:tr>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Acoustic pressure</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12,000 Pa</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3,200 Pa [11]</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3.75x</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Near-term</w:t>
            </w:r>
          </w:p>
        </w:tc>
      </w:tr>
      <w:tr>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Payload g-loading</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62,018 g</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50,000 g [12]</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1.2x</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Near-term</w:t>
            </w:r>
          </w:p>
        </w:tc>
      </w:tr>
      <w:tr>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Peak power (gross)</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14.2 TW</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80 TW/100ns (Z) [17]</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N/A</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See Sec. D</w:t>
            </w:r>
          </w:p>
        </w:tc>
      </w:tr>
      <w:tr>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Exit velocity</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7,800 m/s</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2,520 m/s [4]</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3.1x</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Near-term</w:t>
            </w:r>
          </w:p>
        </w:tc>
      </w:tr>
      <w:tr>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Bore diameter</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1.0 m</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0.032 m [10]</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31.3x</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Medium-term</w:t>
            </w:r>
          </w:p>
        </w:tc>
      </w:tr>
    </w:tbl>
    <w:p>
      <w:pPr>
        <w:spacing w:after="120"/>
      </w:pP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The results reveal a mixed feasibility landscape. The required 24.2 T has been demonstrated in continuous operation, but only at 32 mm bore — the 31.3x bore scaling gap is the most physically demanding requirement. Four parameters fall within near-term achievable ranges.</w:t>
      </w:r>
    </w:p>
    <w:p>
      <w:pPr>
        <w:spacing w:after="80" w:before="200"/>
        <w:jc w:val="left"/>
      </w:pPr>
      <w:r>
        <w:rPr>
          <w:rFonts w:ascii="Times New Roman" w:cs="Times New Roman" w:eastAsia="Times New Roman" w:hAnsi="Times New Roman"/>
          <w:b w:val="false"/>
          <w:bCs w:val="false"/>
          <w:i/>
          <w:iCs/>
          <w:sz w:val="20"/>
          <w:szCs w:val="20"/>
        </w:rPr>
        <w:t xml:space="preserve">B. Magnetic Field Analysis</w:t>
      </w: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The 24.2 T per-stage field requirement is below the current continuous-field record of 45 T at NHMFL [10]. However, this record is in a 32 mm warm bore — a 31-fold diameter scaling challenge. Magnetic field strength scales inversely with bore radius for solenoid geometries. Pulsed fields have reached 1,200 T destructively [14] and 100 T non-destructively [15], but in millimetre-scale bores.</w:t>
      </w: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Recent advances in HTS materials, particularly REBCO tape conductors with critical current densities exceeding 500 A/mm² at 20 T and 20 K [16], provide a credible pathway. The EU-funded MEESST project demonstrated a 2 T HTS magnet in spacecraft probe geometry [19], establishing precedent for large-bore superconducting magnets in demanding environments.</w:t>
      </w:r>
    </w:p>
    <w:p>
      <w:pPr>
        <w:spacing w:after="80" w:before="200"/>
        <w:jc w:val="left"/>
      </w:pPr>
      <w:r>
        <w:rPr>
          <w:rFonts w:ascii="Times New Roman" w:cs="Times New Roman" w:eastAsia="Times New Roman" w:hAnsi="Times New Roman"/>
          <w:b w:val="false"/>
          <w:bCs w:val="false"/>
          <w:i/>
          <w:iCs/>
          <w:sz w:val="20"/>
          <w:szCs w:val="20"/>
        </w:rPr>
        <w:t xml:space="preserve">C. Acoustic System Analysis</w:t>
      </w: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The 12,000 Pa requirement represents a 3.75x gap from demonstrated capabilities [11]. The scaling challenge lies in maintaining coherent standing wave patterns at 1.0 m bore scale under extreme EM interference. A key EPAS insight is that the acoustic system need not provide full centring force continuously — the solenoid bore geometry provides primary axial guidance, with acoustics required only for lateral stabilisation.</w:t>
      </w:r>
    </w:p>
    <w:p>
      <w:pPr>
        <w:spacing w:after="80" w:before="200"/>
        <w:jc w:val="left"/>
      </w:pPr>
      <w:r>
        <w:rPr>
          <w:rFonts w:ascii="Times New Roman" w:cs="Times New Roman" w:eastAsia="Times New Roman" w:hAnsi="Times New Roman"/>
          <w:b w:val="false"/>
          <w:bCs w:val="false"/>
          <w:i/>
          <w:iCs/>
          <w:sz w:val="20"/>
          <w:szCs w:val="20"/>
        </w:rPr>
        <w:t xml:space="preserve">D. Power System Analysis</w:t>
      </w: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The 14.2 TW gross power is the most challenging parameter. NIF delivers 500 TW but for ~20 ns [13]; the Z Machine delivers 80 TW in ~100 ns [17]. Project Alfie requires delivery over ~12.8 ms — five to six orders of magnitude longer. The meaningful comparison is stored energy: Z Machine discharges 22 MJ [17]; Project Alfie requires ~182 GJ (8,300x). The staged architecture distributes delivery across ten stages at ~1.82 GJ per stage. SMES systems, demonstrated at 30 MJ [18], would require three orders of magnitude scaling.</w:t>
      </w:r>
    </w:p>
    <w:p>
      <w:pPr>
        <w:spacing w:after="80" w:before="200"/>
        <w:jc w:val="left"/>
      </w:pPr>
      <w:r>
        <w:rPr>
          <w:rFonts w:ascii="Times New Roman" w:cs="Times New Roman" w:eastAsia="Times New Roman" w:hAnsi="Times New Roman"/>
          <w:b w:val="false"/>
          <w:bCs w:val="false"/>
          <w:i/>
          <w:iCs/>
          <w:sz w:val="20"/>
          <w:szCs w:val="20"/>
        </w:rPr>
        <w:t xml:space="preserve">E. Sensitivity Analysis</w:t>
      </w: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The baseline design represents a specific point in a multi-dimensional design space. Table II presents a parametric sensitivity analysis.</w:t>
      </w:r>
    </w:p>
    <w:p>
      <w:pPr>
        <w:spacing w:after="60" w:before="0" w:line="240"/>
        <w:jc w:val="center"/>
      </w:pPr>
      <w:r>
        <w:rPr>
          <w:rFonts w:ascii="Times New Roman" w:cs="Times New Roman" w:eastAsia="Times New Roman" w:hAnsi="Times New Roman"/>
          <w:b/>
          <w:bCs/>
          <w:i w:val="false"/>
          <w:iCs w:val="false"/>
          <w:sz w:val="16"/>
          <w:szCs w:val="16"/>
        </w:rPr>
        <w:t xml:space="preserve">TABLE II. </w:t>
      </w:r>
      <w:r>
        <w:rPr>
          <w:rFonts w:ascii="Times New Roman" w:cs="Times New Roman" w:eastAsia="Times New Roman" w:hAnsi="Times New Roman"/>
          <w:b/>
          <w:bCs/>
          <w:i w:val="false"/>
          <w:iCs w:val="false"/>
          <w:sz w:val="16"/>
          <w:szCs w:val="16"/>
        </w:rPr>
        <w:t xml:space="preserve">PARAMETRIC SENSITIVITY OF KEY REQUIREMENTS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900"/>
        <w:gridCol w:w="900"/>
        <w:gridCol w:w="1200"/>
        <w:gridCol w:w="1100"/>
        <w:gridCol w:w="1100"/>
        <w:gridCol w:w="1100"/>
      </w:tblGrid>
      <w:tr>
        <w:tc>
          <w:tcPr>
            <w:tcW w:type="dxa" w:w="13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Variant</w:t>
            </w:r>
          </w:p>
        </w:tc>
        <w:tc>
          <w:tcPr>
            <w:tcW w:type="dxa" w:w="11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Payload</w:t>
            </w:r>
          </w:p>
        </w:tc>
        <w:tc>
          <w:tcPr>
            <w:tcW w:type="dxa" w:w="9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Shaft</w:t>
            </w:r>
          </w:p>
        </w:tc>
        <w:tc>
          <w:tcPr>
            <w:tcW w:type="dxa" w:w="9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Bore</w:t>
            </w:r>
          </w:p>
        </w:tc>
        <w:tc>
          <w:tcPr>
            <w:tcW w:type="dxa" w:w="1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v_target</w:t>
            </w:r>
          </w:p>
        </w:tc>
        <w:tc>
          <w:tcPr>
            <w:tcW w:type="dxa" w:w="11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B_stage</w:t>
            </w:r>
          </w:p>
        </w:tc>
        <w:tc>
          <w:tcPr>
            <w:tcW w:type="dxa" w:w="11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Power</w:t>
            </w:r>
          </w:p>
        </w:tc>
        <w:tc>
          <w:tcPr>
            <w:tcW w:type="dxa" w:w="11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Accel</w:t>
            </w:r>
          </w:p>
        </w:tc>
      </w:tr>
      <w:tr>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Baseline</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3,000 kg</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50 m</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1.0 m</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7,800 m/s</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24.2 T</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14.2 TW</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62,018 g</w:t>
            </w:r>
          </w:p>
        </w:tc>
      </w:tr>
      <w:tr>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Reduced</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500 kg</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50 m</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0.5 m</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7,800 m/s</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19.7 T</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2.4 TW</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62,018 g</w:t>
            </w:r>
          </w:p>
        </w:tc>
      </w:tr>
      <w:tr>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Extended shaft</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3,000 kg</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500 m</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1.0 m</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7,800 m/s</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7.6 T</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1.4 TW</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6,202 g</w:t>
            </w:r>
          </w:p>
        </w:tc>
      </w:tr>
      <w:tr>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Small bore</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3,000 kg</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50 m</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0.5 m</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7,800 m/s</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48.3 T</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14.2 TW</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62,018 g</w:t>
            </w:r>
          </w:p>
        </w:tc>
      </w:tr>
      <w:tr>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Demonstrator</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10 kg</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10 m</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0.2 m</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1,000 m/s</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2.0 T</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0.5 GW</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5,097 g</w:t>
            </w:r>
          </w:p>
        </w:tc>
      </w:tr>
    </w:tbl>
    <w:p>
      <w:pPr>
        <w:spacing w:after="120"/>
      </w:pP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Shaft length is the most effective design lever: increasing from 50 to 500 m reduces field strength by 3.2x and power by 10x while reducing g-loading to 6,202 g. The demonstrator variant (10 kg, 10 m, 0.2 m bore, 1,000 m/s) requires only 2.0 T per stage — achievable with permanent magnets — providing an achievable near-term platform.</w:t>
      </w: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A critical consideration is thermal management. The 14.2 TW delivery deposits ~91.3 GJ of waste heat (at 50% efficiency) into the shaft structure. Per-stage: ~9.1 GJ, requiring massive thermal inertia or active cryogenic cooling. The ITER tokamak project provides the closest precedent for managing multi-gigajoule pulsed thermal loads in superconducting systems [23].</w:t>
      </w:r>
    </w:p>
    <w:p>
      <w:pPr>
        <w:spacing w:after="80" w:before="200"/>
        <w:jc w:val="left"/>
      </w:pPr>
      <w:r>
        <w:rPr>
          <w:rFonts w:ascii="Times New Roman" w:cs="Times New Roman" w:eastAsia="Times New Roman" w:hAnsi="Times New Roman"/>
          <w:b w:val="false"/>
          <w:bCs w:val="false"/>
          <w:i/>
          <w:iCs/>
          <w:sz w:val="20"/>
          <w:szCs w:val="20"/>
        </w:rPr>
        <w:t xml:space="preserve">F. Adjacent Application Validation: MMOD Defence</w:t>
      </w: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The EPAS framework has been separately applied to spacecraft MMOD defence [6], where the same three-mechanism triad operates at significantly lower energy densities, achieving 97% kinetic energy mitigation against 1 mg micrometeoroids at 10 km/s within an 80 kg mass budget. This validates the electromagnetic-acoustic-plasma coupling principles at practical scales, providing a TRL 2–3 anchor.</w:t>
      </w:r>
    </w:p>
    <w:p>
      <w:pPr>
        <w:spacing w:after="80" w:before="200"/>
        <w:jc w:val="left"/>
      </w:pPr>
      <w:r>
        <w:rPr>
          <w:rFonts w:ascii="Times New Roman" w:cs="Times New Roman" w:eastAsia="Times New Roman" w:hAnsi="Times New Roman"/>
          <w:b w:val="false"/>
          <w:bCs w:val="false"/>
          <w:i/>
          <w:iCs/>
          <w:sz w:val="20"/>
          <w:szCs w:val="20"/>
        </w:rPr>
        <w:t xml:space="preserve">G. Development Roadmap</w:t>
      </w: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Fig. 2 illustrates the velocity and energy profiles during the 12.8 ms acceleration event through the ten-stage accelerator. Based on the gap analysis, a four-phase development roadmap is proposed.</w:t>
      </w:r>
    </w:p>
    <w:p>
      <w:pPr>
        <w:spacing w:after="0" w:before="120"/>
        <w:jc w:val="center"/>
      </w:pPr>
      <w:r>
        <w:drawing>
          <wp:inline distT="0" distB="0" distL="0" distR="0">
            <wp:extent cx="4762500" cy="3209925"/>
            <wp:effectExtent t="0" r="0" b="0" l="0"/>
            <wp:docPr id="1" name="fig2" descr="Acceleration and velocity profiles"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209925"/>
                    </a:xfrm>
                    <a:prstGeom prst="rect">
                      <a:avLst/>
                    </a:prstGeom>
                  </pic:spPr>
                </pic:pic>
              </a:graphicData>
            </a:graphic>
          </wp:inline>
        </w:drawing>
      </w:r>
    </w:p>
    <w:p>
      <w:pPr>
        <w:spacing w:after="120" w:before="80"/>
        <w:jc w:val="center"/>
      </w:pPr>
      <w:r>
        <w:rPr>
          <w:rFonts w:ascii="Times New Roman" w:cs="Times New Roman" w:eastAsia="Times New Roman" w:hAnsi="Times New Roman"/>
          <w:b w:val="false"/>
          <w:bCs w:val="false"/>
          <w:i w:val="false"/>
          <w:iCs w:val="false"/>
          <w:sz w:val="18"/>
          <w:szCs w:val="18"/>
        </w:rPr>
        <w:t xml:space="preserve">Fig. 2.  Velocity and energy profiles during the 12.8 ms acceleration event through the 10-stage electromagnetic accelerator.</w:t>
      </w:r>
    </w:p>
    <w:p>
      <w:pPr>
        <w:spacing w:after="120" w:before="0" w:line="240"/>
        <w:jc w:val="both"/>
      </w:pPr>
      <w:r>
        <w:rPr>
          <w:rFonts w:ascii="Times New Roman" w:cs="Times New Roman" w:eastAsia="Times New Roman" w:hAnsi="Times New Roman"/>
          <w:b w:val="false"/>
          <w:bCs w:val="false"/>
          <w:i w:val="false"/>
          <w:iCs w:val="false"/>
          <w:sz w:val="20"/>
          <w:szCs w:val="20"/>
        </w:rPr>
        <w:t xml:space="preserve">Phase 1 (Years 1–5): MMOD defence system to TRL 6, validating EM-acoustic-plasma coupling at operational scale. Concurrent km-scale shaft civil engineering feasibility studies.</w:t>
      </w:r>
    </w:p>
    <w:p>
      <w:pPr>
        <w:spacing w:after="120" w:before="0" w:line="240"/>
        <w:jc w:val="both"/>
      </w:pPr>
      <w:r>
        <w:rPr>
          <w:rFonts w:ascii="Times New Roman" w:cs="Times New Roman" w:eastAsia="Times New Roman" w:hAnsi="Times New Roman"/>
          <w:b w:val="false"/>
          <w:bCs w:val="false"/>
          <w:i w:val="false"/>
          <w:iCs w:val="false"/>
          <w:sz w:val="20"/>
          <w:szCs w:val="20"/>
        </w:rPr>
        <w:t xml:space="preserve">Phase 2 (Years 5–15): Scaled demonstrator (10 m shaft, 10 kg payload, 1,000 m/s target). Reduces all gaps to &lt;5x. Development of repetitive pulsed magnets at 100 T, 0.1 m bore.</w:t>
      </w:r>
    </w:p>
    <w:p>
      <w:pPr>
        <w:spacing w:after="120" w:before="0" w:line="240"/>
        <w:jc w:val="both"/>
      </w:pPr>
      <w:r>
        <w:rPr>
          <w:rFonts w:ascii="Times New Roman" w:cs="Times New Roman" w:eastAsia="Times New Roman" w:hAnsi="Times New Roman"/>
          <w:b w:val="false"/>
          <w:bCs w:val="false"/>
          <w:i w:val="false"/>
          <w:iCs w:val="false"/>
          <w:sz w:val="20"/>
          <w:szCs w:val="20"/>
        </w:rPr>
        <w:t xml:space="preserve">Phase 3 (Years 15–25): Full-scale prototype (500 m shaft, 100 kg payload, 5,000 m/s). Integration of HTS-based high-field magnets and distributed pulsed power.</w:t>
      </w:r>
    </w:p>
    <w:p>
      <w:pPr>
        <w:spacing w:after="120" w:before="0" w:line="240"/>
        <w:jc w:val="both"/>
      </w:pPr>
      <w:r>
        <w:rPr>
          <w:rFonts w:ascii="Times New Roman" w:cs="Times New Roman" w:eastAsia="Times New Roman" w:hAnsi="Times New Roman"/>
          <w:b w:val="false"/>
          <w:bCs w:val="false"/>
          <w:i w:val="false"/>
          <w:iCs w:val="false"/>
          <w:sz w:val="20"/>
          <w:szCs w:val="20"/>
        </w:rPr>
        <w:t xml:space="preserve">Phase 4 (Years 25–40): Operational system (1,000+ m shaft, 3,000 kg, 7,800+ m/s). Target launch cost below 100 USD/kg to LEO.</w:t>
      </w:r>
    </w:p>
    <w:p>
      <w:pPr>
        <w:spacing w:after="120" w:before="0" w:line="240"/>
        <w:jc w:val="both"/>
      </w:pPr>
      <w:r>
        <w:rPr>
          <w:rFonts w:ascii="Times New Roman" w:cs="Times New Roman" w:eastAsia="Times New Roman" w:hAnsi="Times New Roman"/>
          <w:b w:val="false"/>
          <w:bCs w:val="false"/>
          <w:i w:val="false"/>
          <w:iCs w:val="false"/>
          <w:sz w:val="20"/>
          <w:szCs w:val="20"/>
        </w:rPr>
        <w:t xml:space="preserve">Fig. 3 presents the four-phase development roadmap from MMOD defence through to operational launch system.</w:t>
      </w:r>
    </w:p>
    <w:p>
      <w:pPr>
        <w:spacing w:after="0" w:before="120"/>
        <w:jc w:val="center"/>
      </w:pPr>
      <w:r>
        <w:drawing>
          <wp:inline distT="0" distB="0" distL="0" distR="0">
            <wp:extent cx="4762500" cy="2943225"/>
            <wp:effectExtent t="0" r="0" b="0" l="0"/>
            <wp:docPr id="1" name="fig5" descr="Development roadmap"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943225"/>
                    </a:xfrm>
                    <a:prstGeom prst="rect">
                      <a:avLst/>
                    </a:prstGeom>
                  </pic:spPr>
                </pic:pic>
              </a:graphicData>
            </a:graphic>
          </wp:inline>
        </w:drawing>
      </w:r>
    </w:p>
    <w:p>
      <w:pPr>
        <w:spacing w:after="120" w:before="80"/>
        <w:jc w:val="center"/>
      </w:pPr>
      <w:r>
        <w:rPr>
          <w:rFonts w:ascii="Times New Roman" w:cs="Times New Roman" w:eastAsia="Times New Roman" w:hAnsi="Times New Roman"/>
          <w:b w:val="false"/>
          <w:bCs w:val="false"/>
          <w:i w:val="false"/>
          <w:iCs w:val="false"/>
          <w:sz w:val="18"/>
          <w:szCs w:val="18"/>
        </w:rPr>
        <w:t xml:space="preserve">Fig. 3.  Four-phase development roadmap from MMOD defence (TRL 6) through scaled demonstrator to operational launch system.</w:t>
      </w:r>
    </w:p>
    <w:p>
      <w:pPr>
        <w:spacing w:after="80" w:before="200"/>
        <w:jc w:val="left"/>
      </w:pPr>
      <w:r>
        <w:rPr>
          <w:rFonts w:ascii="Times New Roman" w:cs="Times New Roman" w:eastAsia="Times New Roman" w:hAnsi="Times New Roman"/>
          <w:b w:val="false"/>
          <w:bCs w:val="false"/>
          <w:i/>
          <w:iCs/>
          <w:sz w:val="20"/>
          <w:szCs w:val="20"/>
        </w:rPr>
        <w:t xml:space="preserve">H. Preliminary Experimental Observations</w:t>
      </w: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While the full Project Alfie system remains theoretical, the broader EPAS programme has produced preliminary experimental observations validating the electromagnetic field interaction principles. Nineteen controlled experiments were conducted in April 2026 using BLE carrier signals (2.402–2.480 GHz ISM band) on a consumer laptop (Intel Celeron N4020, 26,853 mWh Li-ion battery, 1% resolution = 269 mWh per step) [5]. The measurement methodology exploits high-precision timing of battery gauge transitions, achieving effective energy resolution far below gauge granularity.</w:t>
      </w: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The modulation frequency of 12.67 Hz is derived from the HNC framework as φ × 7.83 Hz, where φ = 1.618 (golden ratio) and 7.83 Hz is the Schumann resonance fundamental. This was identified as optimal through a systematic sweep across eight candidates. The physical rationale derives from the HNC prediction that irrational-ratio offsets from natural electromagnetic cavity modes avoid destructive interference with integer harmonics, creating spectral quiet zones where constructive coupling is geometrically favoured.</w:t>
      </w: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Four key results: Test 4.11 (persistent BLE): 17.3% drain rate reduction. Test 4.12 (φ×Schumann at 12.67 Hz): 64.7% reduction — the largest effect. Test 4.18 (zero-observer sleep protocol): 17.0% reduction, eliminating CPU artifacts. Test 4.10 (pulsed vs persistent): pulsed drained 10.9% faster, confirming persistent field is essential.</w:t>
      </w: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Three of four discharge tests showed measurable drain rate reduction (17–65%). Joint probability of three positive in four tests combined with correct frequency identification from eight candidates is ~3.9% (P = 5/16 × 1/8), approaching the 5% significance threshold [5].</w:t>
      </w: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The connection to the launcher is shared physics: both exploit frequency-selective electromagnetic coupling between a modulated field and a target medium. The experiments validate that HNC-derived frequency selection produces measurably different coupling efficiencies, supporting the principle governing solenoid-to-projectile coupling. These results are preliminary pilot observations requiring independent replication.</w:t>
      </w:r>
    </w:p>
    <w:p>
      <w:pPr>
        <w:spacing w:after="120" w:before="240"/>
        <w:jc w:val="center"/>
      </w:pPr>
      <w:r>
        <w:rPr>
          <w:rFonts w:ascii="Times New Roman" w:cs="Times New Roman" w:eastAsia="Times New Roman" w:hAnsi="Times New Roman"/>
          <w:b w:val="false"/>
          <w:bCs w:val="false"/>
          <w:i w:val="false"/>
          <w:iCs w:val="false"/>
          <w:sz w:val="20"/>
          <w:szCs w:val="20"/>
        </w:rPr>
        <w:t xml:space="preserve">IV. CONCLUSIONS</w:t>
      </w: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This paper has presented a complete theoretical framework and quantified feasibility analysis for Project Alfie. The first-principles analysis derives all system parameters from orbital mechanics requirements, providing full traceability.</w:t>
      </w: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The feasibility gap assessment demonstrates that Project Alfie, as specified for a 50 m shaft and 3,000 kg payload, is not achievable with current technology. The bore diameter scaling (31.3x) and stored energy requirement (~182 GJ, exceeding Z Machine by three orders of magnitude) are the two most demanding barriers. These are engineering challenges at quantifiable scale factors, not fundamental physics limitations.</w:t>
      </w: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Four findings support continued investigation. First, the required 24.2 T has been demonstrated at laboratory scale. Second, sensitivity analysis shows a 500 m shaft reduces the field to 7.7 T and g-loading to 6,082 g. Third, experimental observations show measurable EM field interaction effects at HNC-derived frequencies across 19 experiments, with φ-scaled Schumann modulation (12.67 Hz) confirmed optimal from eight candidates. Fourth, Project Druid validates the EM-acoustic-plasma triad at lower energy densities, establishing a TRL pathway.</w:t>
      </w: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The demonstrator configuration (10 kg, 10 m shaft, 0.2 m bore, 1,000 m/s requiring only 2.0 T per stage) represents an achievable near-term target validating the staged acceleration principle using existing magnet technology.</w:t>
      </w:r>
    </w:p>
    <w:p>
      <w:pPr>
        <w:spacing w:after="120" w:before="240"/>
        <w:jc w:val="center"/>
      </w:pPr>
      <w:r>
        <w:rPr>
          <w:rFonts w:ascii="Times New Roman" w:cs="Times New Roman" w:eastAsia="Times New Roman" w:hAnsi="Times New Roman"/>
          <w:b w:val="false"/>
          <w:bCs w:val="false"/>
          <w:i w:val="false"/>
          <w:iCs w:val="false"/>
          <w:sz w:val="20"/>
          <w:szCs w:val="20"/>
        </w:rPr>
        <w:t xml:space="preserve">ACKNOWLEDGEMENTS</w:t>
      </w:r>
    </w:p>
    <w:p>
      <w:pPr>
        <w:spacing w:after="120" w:before="0" w:line="240"/>
        <w:jc w:val="both"/>
      </w:pPr>
      <w:r>
        <w:rPr>
          <w:rFonts w:ascii="Times New Roman" w:cs="Times New Roman" w:eastAsia="Times New Roman" w:hAnsi="Times New Roman"/>
          <w:b w:val="false"/>
          <w:bCs w:val="false"/>
          <w:i w:val="false"/>
          <w:iCs w:val="false"/>
          <w:sz w:val="20"/>
          <w:szCs w:val="20"/>
        </w:rPr>
        <w:t xml:space="preserve">The author acknowledges the broader EPAS research programme and the open-source development community that has contributed to the validation and refinement of the Harmonic Nexus Core framework.</w:t>
      </w:r>
    </w:p>
    <w:p>
      <w:pPr>
        <w:spacing w:after="120" w:before="240"/>
        <w:jc w:val="center"/>
      </w:pPr>
      <w:r>
        <w:rPr>
          <w:rFonts w:ascii="Times New Roman" w:cs="Times New Roman" w:eastAsia="Times New Roman" w:hAnsi="Times New Roman"/>
          <w:b w:val="false"/>
          <w:bCs w:val="false"/>
          <w:i w:val="false"/>
          <w:iCs w:val="false"/>
          <w:sz w:val="20"/>
          <w:szCs w:val="20"/>
        </w:rPr>
        <w:t xml:space="preserve">REFERENCES</w:t>
      </w:r>
    </w:p>
    <w:p>
      <w:pPr>
        <w:spacing w:after="60"/>
        <w:ind w:left="360" w:hanging="360"/>
        <w:jc w:val="left"/>
      </w:pPr>
      <w:r>
        <w:rPr>
          <w:rFonts w:ascii="Times New Roman" w:cs="Times New Roman" w:eastAsia="Times New Roman" w:hAnsi="Times New Roman"/>
          <w:b w:val="false"/>
          <w:bCs w:val="false"/>
          <w:i w:val="false"/>
          <w:iCs w:val="false"/>
          <w:sz w:val="18"/>
          <w:szCs w:val="18"/>
        </w:rPr>
        <w:t xml:space="preserve">[1] K. E. Tsiolkovsky, “Exploration of outer space by means of rocket devices,” Nauchnoye Obozreniye, 1903.</w:t>
      </w:r>
    </w:p>
    <w:p>
      <w:pPr>
        <w:spacing w:after="60"/>
        <w:ind w:left="360" w:hanging="360"/>
        <w:jc w:val="left"/>
      </w:pPr>
      <w:r>
        <w:rPr>
          <w:rFonts w:ascii="Times New Roman" w:cs="Times New Roman" w:eastAsia="Times New Roman" w:hAnsi="Times New Roman"/>
          <w:b w:val="false"/>
          <w:bCs w:val="false"/>
          <w:i w:val="false"/>
          <w:iCs w:val="false"/>
          <w:sz w:val="18"/>
          <w:szCs w:val="18"/>
        </w:rPr>
        <w:t xml:space="preserve">[2] Federal Aviation Administration, “Annual Compendium of Commercial Space Transportation,” FAA, Washington, DC, 2024.</w:t>
      </w:r>
    </w:p>
    <w:p>
      <w:pPr>
        <w:spacing w:after="60"/>
        <w:ind w:left="360" w:hanging="360"/>
        <w:jc w:val="left"/>
      </w:pPr>
      <w:r>
        <w:rPr>
          <w:rFonts w:ascii="Times New Roman" w:cs="Times New Roman" w:eastAsia="Times New Roman" w:hAnsi="Times New Roman"/>
          <w:b w:val="false"/>
          <w:bCs w:val="false"/>
          <w:i w:val="false"/>
          <w:iCs w:val="false"/>
          <w:sz w:val="18"/>
          <w:szCs w:val="18"/>
        </w:rPr>
        <w:t xml:space="preserve">[3] G. K. O’Neill, “The colonization of space,” Physics Today, vol. 27, no. 9, pp. 32–40, Sep. 1974.</w:t>
      </w:r>
    </w:p>
    <w:p>
      <w:pPr>
        <w:spacing w:after="60"/>
        <w:ind w:left="360" w:hanging="360"/>
        <w:jc w:val="left"/>
      </w:pPr>
      <w:r>
        <w:rPr>
          <w:rFonts w:ascii="Times New Roman" w:cs="Times New Roman" w:eastAsia="Times New Roman" w:hAnsi="Times New Roman"/>
          <w:b w:val="false"/>
          <w:bCs w:val="false"/>
          <w:i w:val="false"/>
          <w:iCs w:val="false"/>
          <w:sz w:val="18"/>
          <w:szCs w:val="18"/>
        </w:rPr>
        <w:t xml:space="preserve">[4] I. R. McNab, “Launch to space with an electromagnetic railgun,” IEEE Trans. Magnetics, vol. 39, no. 1, pp. 295–304, Jan. 2003.</w:t>
      </w:r>
    </w:p>
    <w:p>
      <w:pPr>
        <w:spacing w:after="60"/>
        <w:ind w:left="360" w:hanging="360"/>
        <w:jc w:val="left"/>
      </w:pPr>
      <w:r>
        <w:rPr>
          <w:rFonts w:ascii="Times New Roman" w:cs="Times New Roman" w:eastAsia="Times New Roman" w:hAnsi="Times New Roman"/>
          <w:b w:val="false"/>
          <w:bCs w:val="false"/>
          <w:i w:val="false"/>
          <w:iCs w:val="false"/>
          <w:sz w:val="18"/>
          <w:szCs w:val="18"/>
        </w:rPr>
        <w:t xml:space="preserve">[5] G. Leckey, “EPAS Unified Architecture and Experimental Validation,” RA-Consulting, Belfast, EPAS-WP-2026-003, Apr. 2026. Available: https://github.com/aureon-trading.</w:t>
      </w:r>
    </w:p>
    <w:p>
      <w:pPr>
        <w:spacing w:after="60"/>
        <w:ind w:left="360" w:hanging="360"/>
        <w:jc w:val="left"/>
      </w:pPr>
      <w:r>
        <w:rPr>
          <w:rFonts w:ascii="Times New Roman" w:cs="Times New Roman" w:eastAsia="Times New Roman" w:hAnsi="Times New Roman"/>
          <w:b w:val="false"/>
          <w:bCs w:val="false"/>
          <w:i w:val="false"/>
          <w:iCs w:val="false"/>
          <w:sz w:val="18"/>
          <w:szCs w:val="18"/>
        </w:rPr>
        <w:t xml:space="preserve">[6] G. Leckey, “Project Druid EPAS Technical Framework,” presented at SysTechDev, Vasil Levski NMU, Bulgaria, Jun. 2026.</w:t>
      </w:r>
    </w:p>
    <w:p>
      <w:pPr>
        <w:spacing w:after="60"/>
        <w:ind w:left="360" w:hanging="360"/>
        <w:jc w:val="left"/>
      </w:pPr>
      <w:r>
        <w:rPr>
          <w:rFonts w:ascii="Times New Roman" w:cs="Times New Roman" w:eastAsia="Times New Roman" w:hAnsi="Times New Roman"/>
          <w:b w:val="false"/>
          <w:bCs w:val="false"/>
          <w:i w:val="false"/>
          <w:iCs w:val="false"/>
          <w:sz w:val="18"/>
          <w:szCs w:val="18"/>
        </w:rPr>
        <w:t xml:space="preserve">[7] D. A. Vallado, Fundamentals of Astrodynamics and Applications, 4th ed. Microcosm Press, 2013.</w:t>
      </w:r>
    </w:p>
    <w:p>
      <w:pPr>
        <w:spacing w:after="60"/>
        <w:ind w:left="360" w:hanging="360"/>
        <w:jc w:val="left"/>
      </w:pPr>
      <w:r>
        <w:rPr>
          <w:rFonts w:ascii="Times New Roman" w:cs="Times New Roman" w:eastAsia="Times New Roman" w:hAnsi="Times New Roman"/>
          <w:b w:val="false"/>
          <w:bCs w:val="false"/>
          <w:i w:val="false"/>
          <w:iCs w:val="false"/>
          <w:sz w:val="18"/>
          <w:szCs w:val="18"/>
        </w:rPr>
        <w:t xml:space="preserve">[8] J. D. Anderson, Hypersonic and High-Temperature Gas Dynamics, 2nd ed. AIAA, 2006.</w:t>
      </w:r>
    </w:p>
    <w:p>
      <w:pPr>
        <w:spacing w:after="60"/>
        <w:ind w:left="360" w:hanging="360"/>
        <w:jc w:val="left"/>
      </w:pPr>
      <w:r>
        <w:rPr>
          <w:rFonts w:ascii="Times New Roman" w:cs="Times New Roman" w:eastAsia="Times New Roman" w:hAnsi="Times New Roman"/>
          <w:b w:val="false"/>
          <w:bCs w:val="false"/>
          <w:i w:val="false"/>
          <w:iCs w:val="false"/>
          <w:sz w:val="18"/>
          <w:szCs w:val="18"/>
        </w:rPr>
        <w:t xml:space="preserve">[9] R. J. Barker and E. Schamiloglu, Eds., High-Power Microwave Sources and Technologies. IEEE Press, 2001.</w:t>
      </w:r>
    </w:p>
    <w:p>
      <w:pPr>
        <w:spacing w:after="60"/>
        <w:ind w:left="360" w:hanging="360"/>
        <w:jc w:val="left"/>
      </w:pPr>
      <w:r>
        <w:rPr>
          <w:rFonts w:ascii="Times New Roman" w:cs="Times New Roman" w:eastAsia="Times New Roman" w:hAnsi="Times New Roman"/>
          <w:b w:val="false"/>
          <w:bCs w:val="false"/>
          <w:i w:val="false"/>
          <w:iCs w:val="false"/>
          <w:sz w:val="18"/>
          <w:szCs w:val="18"/>
        </w:rPr>
        <w:t xml:space="preserve">[10] National High Magnetic Field Laboratory, “45 Tesla Hybrid Magnet — Cell 15,” NHMFL, Tallahassee, FL.</w:t>
      </w:r>
    </w:p>
    <w:p>
      <w:pPr>
        <w:spacing w:after="60"/>
        <w:ind w:left="360" w:hanging="360"/>
        <w:jc w:val="left"/>
      </w:pPr>
      <w:r>
        <w:rPr>
          <w:rFonts w:ascii="Times New Roman" w:cs="Times New Roman" w:eastAsia="Times New Roman" w:hAnsi="Times New Roman"/>
          <w:b w:val="false"/>
          <w:bCs w:val="false"/>
          <w:i w:val="false"/>
          <w:iCs w:val="false"/>
          <w:sz w:val="18"/>
          <w:szCs w:val="18"/>
        </w:rPr>
        <w:t xml:space="preserve">[11] M. A. B. Andrade, N. Perez, and J. C. Adamowski, “Particle manipulation by a non-resonant acoustic levitator,” Appl. Phys. Lett., vol. 106, no. 1, 2015.</w:t>
      </w:r>
    </w:p>
    <w:p>
      <w:pPr>
        <w:spacing w:after="60"/>
        <w:ind w:left="360" w:hanging="360"/>
        <w:jc w:val="left"/>
      </w:pPr>
      <w:r>
        <w:rPr>
          <w:rFonts w:ascii="Times New Roman" w:cs="Times New Roman" w:eastAsia="Times New Roman" w:hAnsi="Times New Roman"/>
          <w:b w:val="false"/>
          <w:bCs w:val="false"/>
          <w:i w:val="false"/>
          <w:iCs w:val="false"/>
          <w:sz w:val="18"/>
          <w:szCs w:val="18"/>
        </w:rPr>
        <w:t xml:space="preserve">[12] S. Dudziak, “High-g hardened electronics for guided munitions,” in Proc. IEEE Aerosp. Conf., 2017.</w:t>
      </w:r>
    </w:p>
    <w:p>
      <w:pPr>
        <w:spacing w:after="60"/>
        <w:ind w:left="360" w:hanging="360"/>
        <w:jc w:val="left"/>
      </w:pPr>
      <w:r>
        <w:rPr>
          <w:rFonts w:ascii="Times New Roman" w:cs="Times New Roman" w:eastAsia="Times New Roman" w:hAnsi="Times New Roman"/>
          <w:b w:val="false"/>
          <w:bCs w:val="false"/>
          <w:i w:val="false"/>
          <w:iCs w:val="false"/>
          <w:sz w:val="18"/>
          <w:szCs w:val="18"/>
        </w:rPr>
        <w:t xml:space="preserve">[13] National Ignition Facility, “NIF Sets Power and Energy Records,” LLNL, Livermore, CA.</w:t>
      </w:r>
    </w:p>
    <w:p>
      <w:pPr>
        <w:spacing w:after="60"/>
        <w:ind w:left="360" w:hanging="360"/>
        <w:jc w:val="left"/>
      </w:pPr>
      <w:r>
        <w:rPr>
          <w:rFonts w:ascii="Times New Roman" w:cs="Times New Roman" w:eastAsia="Times New Roman" w:hAnsi="Times New Roman"/>
          <w:b w:val="false"/>
          <w:bCs w:val="false"/>
          <w:i w:val="false"/>
          <w:iCs w:val="false"/>
          <w:sz w:val="18"/>
          <w:szCs w:val="18"/>
        </w:rPr>
        <w:t xml:space="preserve">[14] D. Nakamura et al., “Record indoor magnetic field of 1200 T,” Rev. Sci. Instrum., vol. 89, no. 9, 2018.</w:t>
      </w:r>
    </w:p>
    <w:p>
      <w:pPr>
        <w:spacing w:after="60"/>
        <w:ind w:left="360" w:hanging="360"/>
        <w:jc w:val="left"/>
      </w:pPr>
      <w:r>
        <w:rPr>
          <w:rFonts w:ascii="Times New Roman" w:cs="Times New Roman" w:eastAsia="Times New Roman" w:hAnsi="Times New Roman"/>
          <w:b w:val="false"/>
          <w:bCs w:val="false"/>
          <w:i w:val="false"/>
          <w:iCs w:val="false"/>
          <w:sz w:val="18"/>
          <w:szCs w:val="18"/>
        </w:rPr>
        <w:t xml:space="preserve">[15] S. Zherlitsyn et al., “Design of non-destructive pulsed magnets at Dresden HFML,” J. Low Temp. Phys., vol. 170, pp. 447–451, 2013.</w:t>
      </w:r>
    </w:p>
    <w:p>
      <w:pPr>
        <w:spacing w:after="60"/>
        <w:ind w:left="360" w:hanging="360"/>
        <w:jc w:val="left"/>
      </w:pPr>
      <w:r>
        <w:rPr>
          <w:rFonts w:ascii="Times New Roman" w:cs="Times New Roman" w:eastAsia="Times New Roman" w:hAnsi="Times New Roman"/>
          <w:b w:val="false"/>
          <w:bCs w:val="false"/>
          <w:i w:val="false"/>
          <w:iCs w:val="false"/>
          <w:sz w:val="18"/>
          <w:szCs w:val="18"/>
        </w:rPr>
        <w:t xml:space="preserve">[16] D. C. van der Laan et al., “Record current density of 476 A/mm² in CORC cable,” Supercond. Sci. Technol., vol. 32, no. 3, 2019.</w:t>
      </w:r>
    </w:p>
    <w:p>
      <w:pPr>
        <w:spacing w:after="60"/>
        <w:ind w:left="360" w:hanging="360"/>
        <w:jc w:val="left"/>
      </w:pPr>
      <w:r>
        <w:rPr>
          <w:rFonts w:ascii="Times New Roman" w:cs="Times New Roman" w:eastAsia="Times New Roman" w:hAnsi="Times New Roman"/>
          <w:b w:val="false"/>
          <w:bCs w:val="false"/>
          <w:i w:val="false"/>
          <w:iCs w:val="false"/>
          <w:sz w:val="18"/>
          <w:szCs w:val="18"/>
        </w:rPr>
        <w:t xml:space="preserve">[17] M. D. Knudson et al., “Review of pulsed power-driven HED physics on Z at Sandia,” Phys. Plasmas, vol. 27, no. 7, 2020.</w:t>
      </w:r>
    </w:p>
    <w:p>
      <w:pPr>
        <w:spacing w:after="60"/>
        <w:ind w:left="360" w:hanging="360"/>
        <w:jc w:val="left"/>
      </w:pPr>
      <w:r>
        <w:rPr>
          <w:rFonts w:ascii="Times New Roman" w:cs="Times New Roman" w:eastAsia="Times New Roman" w:hAnsi="Times New Roman"/>
          <w:b w:val="false"/>
          <w:bCs w:val="false"/>
          <w:i w:val="false"/>
          <w:iCs w:val="false"/>
          <w:sz w:val="18"/>
          <w:szCs w:val="18"/>
        </w:rPr>
        <w:t xml:space="preserve">[18] H. J. Boenig and J. F. Hauer, “Commissioning tests of BPA 30 MJ SMES unit,” IEEE Trans. Power Apparatus, vol. PAS-104, no. 2, 1985.</w:t>
      </w:r>
    </w:p>
    <w:p>
      <w:pPr>
        <w:spacing w:after="60"/>
        <w:ind w:left="360" w:hanging="360"/>
        <w:jc w:val="left"/>
      </w:pPr>
      <w:r>
        <w:rPr>
          <w:rFonts w:ascii="Times New Roman" w:cs="Times New Roman" w:eastAsia="Times New Roman" w:hAnsi="Times New Roman"/>
          <w:b w:val="false"/>
          <w:bCs w:val="false"/>
          <w:i w:val="false"/>
          <w:iCs w:val="false"/>
          <w:sz w:val="18"/>
          <w:szCs w:val="18"/>
        </w:rPr>
        <w:t xml:space="preserve">[19] L. Music et al., “A superconductor-based MHD shielding system: MEESST,” in Proc. ASCEND, AIAA, 2021.</w:t>
      </w:r>
    </w:p>
    <w:p>
      <w:pPr>
        <w:spacing w:after="60"/>
        <w:ind w:left="360" w:hanging="360"/>
        <w:jc w:val="left"/>
      </w:pPr>
      <w:r>
        <w:rPr>
          <w:rFonts w:ascii="Times New Roman" w:cs="Times New Roman" w:eastAsia="Times New Roman" w:hAnsi="Times New Roman"/>
          <w:b w:val="false"/>
          <w:bCs w:val="false"/>
          <w:i w:val="false"/>
          <w:iCs w:val="false"/>
          <w:sz w:val="18"/>
          <w:szCs w:val="18"/>
        </w:rPr>
        <w:t xml:space="preserve">[20] A. Sharma et al., “Comprehensive review of magnetic launchers,” J. Electromagn. Anal. Appl., vol. 17, no. 1, 2025.</w:t>
      </w:r>
    </w:p>
    <w:p>
      <w:pPr>
        <w:spacing w:after="60"/>
        <w:ind w:left="360" w:hanging="360"/>
        <w:jc w:val="left"/>
      </w:pPr>
      <w:r>
        <w:rPr>
          <w:rFonts w:ascii="Times New Roman" w:cs="Times New Roman" w:eastAsia="Times New Roman" w:hAnsi="Times New Roman"/>
          <w:b w:val="false"/>
          <w:bCs w:val="false"/>
          <w:i w:val="false"/>
          <w:iCs w:val="false"/>
          <w:sz w:val="18"/>
          <w:szCs w:val="18"/>
        </w:rPr>
        <w:t xml:space="preserve">[21] M. K. Matzen et al., “Pulsed-power-driven HED physics and ICF research,” Phys. Plasmas, vol. 12, no. 5, 2005.</w:t>
      </w:r>
    </w:p>
    <w:p>
      <w:pPr>
        <w:spacing w:after="60"/>
        <w:ind w:left="360" w:hanging="360"/>
        <w:jc w:val="left"/>
      </w:pPr>
      <w:r>
        <w:rPr>
          <w:rFonts w:ascii="Times New Roman" w:cs="Times New Roman" w:eastAsia="Times New Roman" w:hAnsi="Times New Roman"/>
          <w:b w:val="false"/>
          <w:bCs w:val="false"/>
          <w:i w:val="false"/>
          <w:iCs w:val="false"/>
          <w:sz w:val="18"/>
          <w:szCs w:val="18"/>
        </w:rPr>
        <w:t xml:space="preserve">[22] A. P. Nickolaenko and M. Hayakawa, Schumann Resonance for Tyros. Springer, 2014.</w:t>
      </w:r>
    </w:p>
    <w:p>
      <w:pPr>
        <w:spacing w:after="60"/>
        <w:ind w:left="360" w:hanging="360"/>
        <w:jc w:val="left"/>
      </w:pPr>
      <w:r>
        <w:rPr>
          <w:rFonts w:ascii="Times New Roman" w:cs="Times New Roman" w:eastAsia="Times New Roman" w:hAnsi="Times New Roman"/>
          <w:b w:val="false"/>
          <w:bCs w:val="false"/>
          <w:i w:val="false"/>
          <w:iCs w:val="false"/>
          <w:sz w:val="18"/>
          <w:szCs w:val="18"/>
        </w:rPr>
        <w:t xml:space="preserve">[23] ITER Organization, “ITER Tokamak and Plant Systems,” ITER Technical Basis, Cadarache, France, 2018.</w:t>
      </w:r>
    </w:p>
    <w:sectPr>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2a7e3c86ea6568996026d73437fc9c4186a7a7d.png"/><Relationship Id="rId8" Type="http://schemas.openxmlformats.org/officeDocument/2006/relationships/image" Target="media/b65bbdae7084ac657ceca864ef10b90c9f2f90fb.png"/><Relationship Id="rId9" Type="http://schemas.openxmlformats.org/officeDocument/2006/relationships/image" Target="media/42a17517c60e497c081ddc9f19695fb074859d3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2026-04-09T02:43:02.557Z</dcterms:created>
  <dcterms:modified xsi:type="dcterms:W3CDTF">2026-04-09T02:43:02.558Z</dcterms:modified>
</cp:coreProperties>
</file>

<file path=docProps/custom.xml><?xml version="1.0" encoding="utf-8"?>
<Properties xmlns="http://schemas.openxmlformats.org/officeDocument/2006/custom-properties" xmlns:vt="http://schemas.openxmlformats.org/officeDocument/2006/docPropsVTypes"/>
</file>