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i w:val="false"/>
          <w:iCs w:val="false"/>
          <w:color w:val="1F3864"/>
          <w:sz w:val="44"/>
          <w:szCs w:val="44"/>
        </w:rPr>
        <w:t xml:space="preserve">SysTechDev 2026 Paper Audit</w:t>
      </w:r>
    </w:p>
    <w:p>
      <w:pPr>
        <w:spacing w:after="80"/>
        <w:jc w:val="center"/>
      </w:pPr>
      <w:r>
        <w:rPr>
          <w:rFonts w:ascii="Arial" w:cs="Arial" w:eastAsia="Arial" w:hAnsi="Arial"/>
          <w:b w:val="false"/>
          <w:bCs w:val="false"/>
          <w:i w:val="false"/>
          <w:iCs w:val="false"/>
          <w:color w:val="2E75B6"/>
          <w:sz w:val="26"/>
          <w:szCs w:val="26"/>
        </w:rPr>
        <w:t xml:space="preserve">Conference Compliance, SWOT, Porter’s Five Forces &amp; Dragons’ Den Analysis</w:t>
      </w:r>
    </w:p>
    <w:p>
      <w:pPr>
        <w:spacing w:after="400"/>
        <w:jc w:val="center"/>
      </w:pPr>
      <w:r>
        <w:rPr>
          <w:rFonts w:ascii="Arial" w:cs="Arial" w:eastAsia="Arial" w:hAnsi="Arial"/>
          <w:b w:val="false"/>
          <w:bCs w:val="false"/>
          <w:i/>
          <w:iCs/>
          <w:color w:val="666666"/>
          <w:sz w:val="24"/>
          <w:szCs w:val="24"/>
        </w:rPr>
        <w:t xml:space="preserve">Project Alfie × Project Druid</w:t>
      </w:r>
    </w:p>
    <w:p>
      <w:pPr>
        <w:spacing w:after="80"/>
        <w:jc w:val="center"/>
      </w:pPr>
      <w:r>
        <w:rPr>
          <w:rFonts w:ascii="Arial" w:cs="Arial" w:eastAsia="Arial" w:hAnsi="Arial"/>
          <w:b w:val="false"/>
          <w:bCs w:val="false"/>
          <w:i w:val="false"/>
          <w:iCs w:val="false"/>
          <w:sz w:val="22"/>
          <w:szCs w:val="22"/>
        </w:rPr>
        <w:t xml:space="preserve">Gary Leckey — RA-Consulting</w:t>
      </w:r>
    </w:p>
    <w:p>
      <w:pPr>
        <w:spacing w:after="80"/>
        <w:jc w:val="center"/>
      </w:pPr>
      <w:r>
        <w:rPr>
          <w:rFonts w:ascii="Arial" w:cs="Arial" w:eastAsia="Arial" w:hAnsi="Arial"/>
          <w:b w:val="false"/>
          <w:bCs w:val="false"/>
          <w:i w:val="false"/>
          <w:iCs w:val="false"/>
          <w:color w:val="666666"/>
          <w:sz w:val="20"/>
          <w:szCs w:val="20"/>
        </w:rPr>
        <w:t xml:space="preserve">Audit Date: 9 April 2026</w:t>
      </w:r>
    </w:p>
    <w:p>
      <w:pPr>
        <w:jc w:val="center"/>
      </w:pPr>
      <w:r>
        <w:rPr>
          <w:rFonts w:ascii="Arial" w:cs="Arial" w:eastAsia="Arial" w:hAnsi="Arial"/>
          <w:b w:val="false"/>
          <w:bCs w:val="false"/>
          <w:i w:val="false"/>
          <w:iCs w:val="false"/>
          <w:color w:val="666666"/>
          <w:sz w:val="18"/>
          <w:szCs w:val="18"/>
        </w:rPr>
        <w:t xml:space="preserve">Conference: International Conference on Secure Systems Design and Technology Development</w:t>
      </w:r>
    </w:p>
    <w:p>
      <w:pPr>
        <w:jc w:val="center"/>
      </w:pPr>
      <w:r>
        <w:rPr>
          <w:rFonts w:ascii="Arial" w:cs="Arial" w:eastAsia="Arial" w:hAnsi="Arial"/>
          <w:b w:val="false"/>
          <w:bCs w:val="false"/>
          <w:i w:val="false"/>
          <w:iCs w:val="false"/>
          <w:color w:val="666666"/>
          <w:sz w:val="18"/>
          <w:szCs w:val="18"/>
        </w:rPr>
        <w:t xml:space="preserve">Venue: Vasil Levski National Military University, Bulgaria — 25–26 June 2026</w:t>
      </w:r>
    </w:p>
    <w:p>
      <w:r>
        <w:br w:type="page"/>
      </w:r>
    </w:p>
    <w:p>
      <w:pPr>
        <w:pStyle w:val="Heading1"/>
        <w:spacing w:after="200" w:before="360"/>
      </w:pPr>
      <w:r>
        <w:rPr>
          <w:rFonts w:ascii="Arial" w:cs="Arial" w:eastAsia="Arial" w:hAnsi="Arial"/>
          <w:b/>
          <w:bCs/>
          <w:i w:val="false"/>
          <w:iCs w:val="false"/>
          <w:color w:val="1F3864"/>
          <w:sz w:val="28"/>
          <w:szCs w:val="28"/>
        </w:rPr>
        <w:t xml:space="preserve">1. EQUATION FORMAT AUDIT</w:t>
      </w:r>
    </w:p>
    <w:p>
      <w:pPr>
        <w:spacing w:after="120" w:line="276"/>
        <w:jc w:val="both"/>
      </w:pPr>
      <w:r>
        <w:rPr>
          <w:rFonts w:ascii="Arial" w:cs="Arial" w:eastAsia="Arial" w:hAnsi="Arial"/>
          <w:b w:val="false"/>
          <w:bCs w:val="false"/>
          <w:i w:val="false"/>
          <w:iCs w:val="false"/>
          <w:sz w:val="20"/>
          <w:szCs w:val="20"/>
        </w:rPr>
        <w:t xml:space="preserve">The conference template mandates: “Use the equation editor to create your equations.” The template contains 2 OMML (Office Math Markup Language) equation objects with Cambria Math font and a dedicated ‘equation’ style (Symbol font, 240 twip spacing).</w:t>
      </w:r>
    </w:p>
    <w:p>
      <w:pPr>
        <w:pStyle w:val="Heading2"/>
        <w:spacing w:after="120" w:before="280"/>
      </w:pPr>
      <w:r>
        <w:rPr>
          <w:rFonts w:ascii="Arial" w:cs="Arial" w:eastAsia="Arial" w:hAnsi="Arial"/>
          <w:b/>
          <w:bCs/>
          <w:i w:val="false"/>
          <w:iCs w:val="false"/>
          <w:color w:val="2E75B6"/>
          <w:sz w:val="24"/>
          <w:szCs w:val="24"/>
        </w:rPr>
        <w:t xml:space="preserve">1.1 Current Status: FAIL</w:t>
      </w:r>
    </w:p>
    <w:p>
      <w:pPr>
        <w:spacing w:after="120" w:line="276"/>
        <w:jc w:val="both"/>
      </w:pPr>
      <w:r>
        <w:rPr>
          <w:rFonts w:ascii="Arial" w:cs="Arial" w:eastAsia="Arial" w:hAnsi="Arial"/>
          <w:b/>
          <w:bCs/>
          <w:i w:val="false"/>
          <w:iCs w:val="false"/>
          <w:color w:val="CC0000"/>
          <w:sz w:val="20"/>
          <w:szCs w:val="20"/>
        </w:rPr>
        <w:t xml:space="preserve">Both papers contain ZERO OMML equation objects. </w:t>
      </w:r>
      <w:r>
        <w:rPr>
          <w:rFonts w:ascii="Arial" w:cs="Arial" w:eastAsia="Arial" w:hAnsi="Arial"/>
          <w:b w:val="false"/>
          <w:bCs w:val="false"/>
          <w:i w:val="false"/>
          <w:iCs w:val="false"/>
          <w:sz w:val="20"/>
          <w:szCs w:val="20"/>
        </w:rPr>
        <w:t xml:space="preserve">Every equation is rendered as plain Unicode text with superscript characters. This means:</w:t>
      </w:r>
    </w:p>
    <w:p>
      <w:pPr>
        <w:spacing w:after="120" w:line="276"/>
        <w:jc w:val="both"/>
      </w:pPr>
      <w:r>
        <w:rPr>
          <w:rFonts w:ascii="Arial" w:cs="Arial" w:eastAsia="Arial" w:hAnsi="Arial"/>
          <w:b w:val="false"/>
          <w:bCs w:val="false"/>
          <w:i w:val="false"/>
          <w:iCs w:val="false"/>
          <w:sz w:val="20"/>
          <w:szCs w:val="20"/>
        </w:rPr>
        <w:t xml:space="preserve">• Equations cannot be edited by reviewers in the equation editor</w:t>
      </w:r>
    </w:p>
    <w:p>
      <w:pPr>
        <w:spacing w:after="120" w:line="276"/>
        <w:jc w:val="both"/>
      </w:pPr>
      <w:r>
        <w:rPr>
          <w:rFonts w:ascii="Arial" w:cs="Arial" w:eastAsia="Arial" w:hAnsi="Arial"/>
          <w:b w:val="false"/>
          <w:bCs w:val="false"/>
          <w:i w:val="false"/>
          <w:iCs w:val="false"/>
          <w:sz w:val="20"/>
          <w:szCs w:val="20"/>
        </w:rPr>
        <w:t xml:space="preserve">• Subscripts/superscripts are Unicode hacks (₂, ²) not proper math formatting</w:t>
      </w:r>
    </w:p>
    <w:p>
      <w:pPr>
        <w:spacing w:after="120" w:line="276"/>
        <w:jc w:val="both"/>
      </w:pPr>
      <w:r>
        <w:rPr>
          <w:rFonts w:ascii="Arial" w:cs="Arial" w:eastAsia="Arial" w:hAnsi="Arial"/>
          <w:b w:val="false"/>
          <w:bCs w:val="false"/>
          <w:i w:val="false"/>
          <w:iCs w:val="false"/>
          <w:sz w:val="20"/>
          <w:szCs w:val="20"/>
        </w:rPr>
        <w:t xml:space="preserve">• Greek letters are Unicode characters not Cambria Math glyphs</w:t>
      </w:r>
    </w:p>
    <w:p>
      <w:pPr>
        <w:spacing w:after="120" w:line="276"/>
        <w:jc w:val="both"/>
      </w:pPr>
      <w:r>
        <w:rPr>
          <w:rFonts w:ascii="Arial" w:cs="Arial" w:eastAsia="Arial" w:hAnsi="Arial"/>
          <w:b w:val="false"/>
          <w:bCs w:val="false"/>
          <w:i w:val="false"/>
          <w:iCs w:val="false"/>
          <w:sz w:val="20"/>
          <w:szCs w:val="20"/>
        </w:rPr>
        <w:t xml:space="preserve">• No proper fraction, radical, or summation rendering</w:t>
      </w:r>
    </w:p>
    <w:p>
      <w:pPr>
        <w:spacing w:after="120" w:line="276"/>
        <w:jc w:val="both"/>
      </w:pPr>
      <w:r>
        <w:rPr>
          <w:rFonts w:ascii="Arial" w:cs="Arial" w:eastAsia="Arial" w:hAnsi="Arial"/>
          <w:b w:val="false"/>
          <w:bCs w:val="false"/>
          <w:i w:val="false"/>
          <w:iCs w:val="false"/>
          <w:sz w:val="20"/>
          <w:szCs w:val="20"/>
        </w:rPr>
        <w:t xml:space="preserve">• The ‘equation’ paragraph style is not applied</w:t>
      </w:r>
    </w:p>
    <w:p>
      <w:pPr>
        <w:pStyle w:val="Heading2"/>
        <w:spacing w:after="120" w:before="280"/>
      </w:pPr>
      <w:r>
        <w:rPr>
          <w:rFonts w:ascii="Arial" w:cs="Arial" w:eastAsia="Arial" w:hAnsi="Arial"/>
          <w:b/>
          <w:bCs/>
          <w:i w:val="false"/>
          <w:iCs w:val="false"/>
          <w:color w:val="2E75B6"/>
          <w:sz w:val="24"/>
          <w:szCs w:val="24"/>
        </w:rPr>
        <w:t xml:space="preserve">1.2 Equations Requiring Conversion</w:t>
      </w:r>
    </w:p>
    <w:p>
      <w:pPr>
        <w:spacing w:after="120" w:line="276"/>
        <w:jc w:val="both"/>
      </w:pPr>
      <w:r>
        <w:rPr>
          <w:rFonts w:ascii="Arial" w:cs="Arial" w:eastAsia="Arial" w:hAnsi="Arial"/>
          <w:b/>
          <w:bCs/>
          <w:i w:val="false"/>
          <w:iCs w:val="false"/>
          <w:sz w:val="20"/>
          <w:szCs w:val="20"/>
        </w:rPr>
        <w:t xml:space="preserve">Alfie: </w:t>
      </w:r>
      <w:r>
        <w:rPr>
          <w:rFonts w:ascii="Arial" w:cs="Arial" w:eastAsia="Arial" w:hAnsi="Arial"/>
          <w:b w:val="false"/>
          <w:bCs w:val="false"/>
          <w:i w:val="false"/>
          <w:iCs w:val="false"/>
          <w:sz w:val="20"/>
          <w:szCs w:val="20"/>
        </w:rPr>
        <w:t xml:space="preserve">8 equations (Eq. 0–8) — HNC master formula, kinematics, force, B-field, acoustic, energy, time, power</w:t>
      </w:r>
    </w:p>
    <w:p>
      <w:pPr>
        <w:spacing w:after="120" w:line="276"/>
        <w:jc w:val="both"/>
      </w:pPr>
      <w:r>
        <w:rPr>
          <w:rFonts w:ascii="Arial" w:cs="Arial" w:eastAsia="Arial" w:hAnsi="Arial"/>
          <w:b/>
          <w:bCs/>
          <w:i w:val="false"/>
          <w:iCs w:val="false"/>
          <w:sz w:val="20"/>
          <w:szCs w:val="20"/>
        </w:rPr>
        <w:t xml:space="preserve">Druid: </w:t>
      </w:r>
      <w:r>
        <w:rPr>
          <w:rFonts w:ascii="Arial" w:cs="Arial" w:eastAsia="Arial" w:hAnsi="Arial"/>
          <w:b w:val="false"/>
          <w:bCs w:val="false"/>
          <w:i w:val="false"/>
          <w:iCs w:val="false"/>
          <w:sz w:val="20"/>
          <w:szCs w:val="20"/>
        </w:rPr>
        <w:t xml:space="preserve">5 equations (Eq. 1, 2, 4, 5, 6) — Lorentz, energy transfer, Casimir, resonance, cascade product, plus the HNC formula</w:t>
      </w:r>
    </w:p>
    <w:p>
      <w:pPr>
        <w:pStyle w:val="Heading2"/>
        <w:spacing w:after="120" w:before="280"/>
      </w:pPr>
      <w:r>
        <w:rPr>
          <w:rFonts w:ascii="Arial" w:cs="Arial" w:eastAsia="Arial" w:hAnsi="Arial"/>
          <w:b/>
          <w:bCs/>
          <w:i w:val="false"/>
          <w:iCs w:val="false"/>
          <w:color w:val="2E75B6"/>
          <w:sz w:val="24"/>
          <w:szCs w:val="24"/>
        </w:rPr>
        <w:t xml:space="preserve">1.3 Template Equation Specification</w:t>
      </w:r>
    </w:p>
    <w:p>
      <w:pPr>
        <w:spacing w:after="120" w:line="276"/>
        <w:jc w:val="both"/>
      </w:pPr>
      <w:r>
        <w:rPr>
          <w:rFonts w:ascii="Arial" w:cs="Arial" w:eastAsia="Arial" w:hAnsi="Arial"/>
          <w:b w:val="false"/>
          <w:bCs w:val="false"/>
          <w:i w:val="false"/>
          <w:iCs w:val="false"/>
          <w:sz w:val="20"/>
          <w:szCs w:val="20"/>
        </w:rPr>
        <w:t xml:space="preserve">• Font: Cambria Math (set in mathPr settings)</w:t>
      </w:r>
    </w:p>
    <w:p>
      <w:pPr>
        <w:spacing w:after="120" w:line="276"/>
        <w:jc w:val="both"/>
      </w:pPr>
      <w:r>
        <w:rPr>
          <w:rFonts w:ascii="Arial" w:cs="Arial" w:eastAsia="Arial" w:hAnsi="Arial"/>
          <w:b w:val="false"/>
          <w:bCs w:val="false"/>
          <w:i w:val="false"/>
          <w:iCs w:val="false"/>
          <w:sz w:val="20"/>
          <w:szCs w:val="20"/>
        </w:rPr>
        <w:t xml:space="preserve">• Style: ‘equation’ — Symbol font, spacing before/after 240 twip, line 216</w:t>
      </w:r>
    </w:p>
    <w:p>
      <w:pPr>
        <w:spacing w:after="120" w:line="276"/>
        <w:jc w:val="both"/>
      </w:pPr>
      <w:r>
        <w:rPr>
          <w:rFonts w:ascii="Arial" w:cs="Arial" w:eastAsia="Arial" w:hAnsi="Arial"/>
          <w:b w:val="false"/>
          <w:bCs w:val="false"/>
          <w:i w:val="false"/>
          <w:iCs w:val="false"/>
          <w:sz w:val="20"/>
          <w:szCs w:val="20"/>
        </w:rPr>
        <w:t xml:space="preserve">• Numbering: right-aligned tab stop with “(1)” format, NOT “Eq. (1)”</w:t>
      </w:r>
    </w:p>
    <w:p>
      <w:pPr>
        <w:spacing w:after="120" w:line="276"/>
        <w:jc w:val="both"/>
      </w:pPr>
      <w:r>
        <w:rPr>
          <w:rFonts w:ascii="Arial" w:cs="Arial" w:eastAsia="Arial" w:hAnsi="Arial"/>
          <w:b w:val="false"/>
          <w:bCs w:val="false"/>
          <w:i w:val="false"/>
          <w:iCs w:val="false"/>
          <w:sz w:val="20"/>
          <w:szCs w:val="20"/>
        </w:rPr>
        <w:t xml:space="preserve">• Symbol size: must match 10pt body text</w:t>
      </w:r>
    </w:p>
    <w:p>
      <w:r>
        <w:br w:type="page"/>
      </w:r>
    </w:p>
    <w:p>
      <w:pPr>
        <w:pStyle w:val="Heading1"/>
        <w:spacing w:after="200" w:before="360"/>
      </w:pPr>
      <w:r>
        <w:rPr>
          <w:rFonts w:ascii="Arial" w:cs="Arial" w:eastAsia="Arial" w:hAnsi="Arial"/>
          <w:b/>
          <w:bCs/>
          <w:i w:val="false"/>
          <w:iCs w:val="false"/>
          <w:color w:val="1F3864"/>
          <w:sz w:val="28"/>
          <w:szCs w:val="28"/>
        </w:rPr>
        <w:t xml:space="preserve">2. CONFERENCE COMPLIANCE CHECKLIST</w:t>
      </w:r>
    </w:p>
    <w:p>
      <w:pPr>
        <w:spacing w:after="120" w:line="276"/>
        <w:jc w:val="both"/>
      </w:pPr>
      <w:r>
        <w:rPr>
          <w:rFonts w:ascii="Arial" w:cs="Arial" w:eastAsia="Arial" w:hAnsi="Arial"/>
          <w:b w:val="false"/>
          <w:bCs w:val="false"/>
          <w:i w:val="false"/>
          <w:iCs w:val="false"/>
          <w:sz w:val="20"/>
          <w:szCs w:val="20"/>
        </w:rPr>
        <w:t xml:space="preserve">Scored against the official SysTechDev template (downloaded from journal.etrconf.eu/std) and submission guidelines.</w:t>
      </w:r>
    </w:p>
    <w:p>
      <w:pPr>
        <w:pStyle w:val="Heading2"/>
        <w:spacing w:after="120" w:before="280"/>
      </w:pPr>
      <w:r>
        <w:rPr>
          <w:rFonts w:ascii="Arial" w:cs="Arial" w:eastAsia="Arial" w:hAnsi="Arial"/>
          <w:b/>
          <w:bCs/>
          <w:i w:val="false"/>
          <w:iCs w:val="false"/>
          <w:color w:val="2E75B6"/>
          <w:sz w:val="24"/>
          <w:szCs w:val="24"/>
        </w:rPr>
        <w:t xml:space="preserve">2.1 Format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c>
          <w:tcPr>
            <w:tcW w:type="dxa" w:w="3200"/>
            <w:tcBorders>
              <w:top w:val="single" w:color="999999" w:sz="1"/>
              <w:left w:val="single" w:color="999999" w:sz="1"/>
              <w:bottom w:val="single" w:color="999999" w:sz="1"/>
              <w:right w:val="single" w:color="999999" w:sz="1"/>
            </w:tcBorders>
            <w:shd w:fill="1F3864" w:val="clear"/>
            <w:tcMar>
              <w:top w:type="dxa" w:w="40"/>
              <w:left w:type="dxa" w:w="80"/>
              <w:bottom w:type="dxa" w:w="40"/>
              <w:right w:type="dxa" w:w="80"/>
            </w:tcMar>
          </w:tcPr>
          <w:p>
            <w:pPr>
              <w:jc w:val="center"/>
            </w:pPr>
            <w:r>
              <w:rPr>
                <w:rFonts w:ascii="Arial" w:cs="Arial" w:eastAsia="Arial" w:hAnsi="Arial"/>
                <w:b/>
                <w:bCs/>
                <w:i w:val="false"/>
                <w:iCs w:val="false"/>
                <w:color w:val="FFFFFF"/>
                <w:sz w:val="18"/>
                <w:szCs w:val="18"/>
              </w:rPr>
              <w:t xml:space="preserve">Requirement</w:t>
            </w:r>
          </w:p>
        </w:tc>
        <w:tc>
          <w:tcPr>
            <w:tcW w:type="dxa" w:w="900"/>
            <w:tcBorders>
              <w:top w:val="single" w:color="999999" w:sz="1"/>
              <w:left w:val="single" w:color="999999" w:sz="1"/>
              <w:bottom w:val="single" w:color="999999" w:sz="1"/>
              <w:right w:val="single" w:color="999999" w:sz="1"/>
            </w:tcBorders>
            <w:shd w:fill="1F3864" w:val="clear"/>
            <w:tcMar>
              <w:top w:type="dxa" w:w="40"/>
              <w:left w:type="dxa" w:w="80"/>
              <w:bottom w:type="dxa" w:w="40"/>
              <w:right w:type="dxa" w:w="80"/>
            </w:tcMar>
          </w:tcPr>
          <w:p>
            <w:pPr>
              <w:jc w:val="center"/>
            </w:pPr>
            <w:r>
              <w:rPr>
                <w:rFonts w:ascii="Arial" w:cs="Arial" w:eastAsia="Arial" w:hAnsi="Arial"/>
                <w:b/>
                <w:bCs/>
                <w:i w:val="false"/>
                <w:iCs w:val="false"/>
                <w:color w:val="FFFFFF"/>
                <w:sz w:val="18"/>
                <w:szCs w:val="18"/>
              </w:rPr>
              <w:t xml:space="preserve">Score</w:t>
            </w:r>
          </w:p>
        </w:tc>
        <w:tc>
          <w:tcPr>
            <w:tcW w:type="dxa" w:w="5260"/>
            <w:tcBorders>
              <w:top w:val="single" w:color="999999" w:sz="1"/>
              <w:left w:val="single" w:color="999999" w:sz="1"/>
              <w:bottom w:val="single" w:color="999999" w:sz="1"/>
              <w:right w:val="single" w:color="999999" w:sz="1"/>
            </w:tcBorders>
            <w:shd w:fill="1F3864" w:val="clear"/>
            <w:tcMar>
              <w:top w:type="dxa" w:w="40"/>
              <w:left w:type="dxa" w:w="80"/>
              <w:bottom w:type="dxa" w:w="40"/>
              <w:right w:type="dxa" w:w="80"/>
            </w:tcMar>
          </w:tcPr>
          <w:p>
            <w:pPr>
              <w:jc w:val="center"/>
            </w:pPr>
            <w:r>
              <w:rPr>
                <w:rFonts w:ascii="Arial" w:cs="Arial" w:eastAsia="Arial" w:hAnsi="Arial"/>
                <w:b/>
                <w:bCs/>
                <w:i w:val="false"/>
                <w:iCs w:val="false"/>
                <w:color w:val="FFFFFF"/>
                <w:sz w:val="18"/>
                <w:szCs w:val="18"/>
              </w:rPr>
              <w:t xml:space="preserve">Notes</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Paper size: A4 (210×297mm)</w:t>
            </w:r>
          </w:p>
        </w:tc>
        <w:tc>
          <w:tcPr>
            <w:tcW w:type="dxa" w:w="900"/>
            <w:tcBorders>
              <w:top w:val="single" w:color="999999" w:sz="1"/>
              <w:left w:val="single" w:color="999999" w:sz="1"/>
              <w:bottom w:val="single" w:color="999999" w:sz="1"/>
              <w:right w:val="single" w:color="999999" w:sz="1"/>
            </w:tcBorders>
            <w:shd w:fill="FFC7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0/10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FAIL — currently US Letter (8.5×11"). Template specifies 11906×16838 twips = A4</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2-column body layout</w:t>
            </w:r>
          </w:p>
        </w:tc>
        <w:tc>
          <w:tcPr>
            <w:tcW w:type="dxa" w:w="900"/>
            <w:tcBorders>
              <w:top w:val="single" w:color="999999" w:sz="1"/>
              <w:left w:val="single" w:color="999999" w:sz="1"/>
              <w:bottom w:val="single" w:color="999999" w:sz="1"/>
              <w:right w:val="single" w:color="999999" w:sz="1"/>
            </w:tcBorders>
            <w:shd w:fill="FFC7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0/10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FAIL — currently single column. Template uses 2-col with 363 twip spacing</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Margins match template</w:t>
            </w:r>
          </w:p>
        </w:tc>
        <w:tc>
          <w:tcPr>
            <w:tcW w:type="dxa" w:w="900"/>
            <w:tcBorders>
              <w:top w:val="single" w:color="999999" w:sz="1"/>
              <w:left w:val="single" w:color="999999" w:sz="1"/>
              <w:bottom w:val="single" w:color="999999" w:sz="1"/>
              <w:right w:val="single" w:color="999999" w:sz="1"/>
            </w:tcBorders>
            <w:shd w:fill="FFC7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3/10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PARTIAL — close but not identical. Template: T/B=0.79” L=0.98” R=0.79”</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Title: 24pt centered</w:t>
            </w:r>
          </w:p>
        </w:tc>
        <w:tc>
          <w:tcPr>
            <w:tcW w:type="dxa" w:w="900"/>
            <w:tcBorders>
              <w:top w:val="single" w:color="999999" w:sz="1"/>
              <w:left w:val="single" w:color="999999" w:sz="1"/>
              <w:bottom w:val="single" w:color="999999" w:sz="1"/>
              <w:right w:val="single" w:color="999999" w:sz="1"/>
            </w:tcBorders>
            <w:shd w:fill="FFEB9C"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5/10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PARTIAL — our title is 14pt bold. Template papertitle style = 48 half-pts = 24pt</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Body text: 10pt justified, first-line indent</w:t>
            </w:r>
          </w:p>
        </w:tc>
        <w:tc>
          <w:tcPr>
            <w:tcW w:type="dxa" w:w="900"/>
            <w:tcBorders>
              <w:top w:val="single" w:color="999999" w:sz="1"/>
              <w:left w:val="single" w:color="999999" w:sz="1"/>
              <w:bottom w:val="single" w:color="999999" w:sz="1"/>
              <w:right w:val="single" w:color="999999" w:sz="1"/>
            </w:tcBorders>
            <w:shd w:fill="FFEB9C"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6/10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PARTIAL — 10pt justified yes, but missing 288 twip first-line indent consistently</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Heading styles match template</w:t>
            </w:r>
          </w:p>
        </w:tc>
        <w:tc>
          <w:tcPr>
            <w:tcW w:type="dxa" w:w="900"/>
            <w:tcBorders>
              <w:top w:val="single" w:color="999999" w:sz="1"/>
              <w:left w:val="single" w:color="999999" w:sz="1"/>
              <w:bottom w:val="single" w:color="999999" w:sz="1"/>
              <w:right w:val="single" w:color="999999" w:sz="1"/>
            </w:tcBorders>
            <w:shd w:fill="FFC7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4/10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PARTIAL — IEEE Roman numerals correct, but font/spacing don’t match template</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Equations: OMML editor objects</w:t>
            </w:r>
          </w:p>
        </w:tc>
        <w:tc>
          <w:tcPr>
            <w:tcW w:type="dxa" w:w="900"/>
            <w:tcBorders>
              <w:top w:val="single" w:color="999999" w:sz="1"/>
              <w:left w:val="single" w:color="999999" w:sz="1"/>
              <w:bottom w:val="single" w:color="999999" w:sz="1"/>
              <w:right w:val="single" w:color="999999" w:sz="1"/>
            </w:tcBorders>
            <w:shd w:fill="FFC7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0/10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FAIL — zero OMML objects, all plain text. Template explicitly requires equation editor</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Figure captions: 8pt justified</w:t>
            </w:r>
          </w:p>
        </w:tc>
        <w:tc>
          <w:tcPr>
            <w:tcW w:type="dxa" w:w="900"/>
            <w:tcBorders>
              <w:top w:val="single" w:color="999999" w:sz="1"/>
              <w:left w:val="single" w:color="999999" w:sz="1"/>
              <w:bottom w:val="single" w:color="999999" w:sz="1"/>
              <w:right w:val="single" w:color="999999" w:sz="1"/>
            </w:tcBorders>
            <w:shd w:fill="FFEB9C"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5/10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PARTIAL — our captions are 9pt centered. Template: 8pt (val=16) justified</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References: 8pt, 180 line</w:t>
            </w:r>
          </w:p>
        </w:tc>
        <w:tc>
          <w:tcPr>
            <w:tcW w:type="dxa" w:w="900"/>
            <w:tcBorders>
              <w:top w:val="single" w:color="999999" w:sz="1"/>
              <w:left w:val="single" w:color="999999" w:sz="1"/>
              <w:bottom w:val="single" w:color="999999" w:sz="1"/>
              <w:right w:val="single" w:color="999999" w:sz="1"/>
            </w:tcBorders>
            <w:shd w:fill="FFC7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4/10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PARTIAL — our refs are 9pt. Template: 8pt (val=16), line spacing 180 exact</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Grayscale figures</w:t>
            </w:r>
          </w:p>
        </w:tc>
        <w:tc>
          <w:tcPr>
            <w:tcW w:type="dxa" w:w="900"/>
            <w:tcBorders>
              <w:top w:val="single" w:color="999999" w:sz="1"/>
              <w:left w:val="single" w:color="999999" w:sz="1"/>
              <w:bottom w:val="single" w:color="999999" w:sz="1"/>
              <w:right w:val="single" w:color="999999" w:sz="1"/>
            </w:tcBorders>
            <w:shd w:fill="FFC7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0/10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FAIL — all figures are colour. Template: “all papers printed using grayscale”</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Headers/footers</w:t>
            </w:r>
          </w:p>
        </w:tc>
        <w:tc>
          <w:tcPr>
            <w:tcW w:type="dxa" w:w="900"/>
            <w:tcBorders>
              <w:top w:val="single" w:color="999999" w:sz="1"/>
              <w:left w:val="single" w:color="999999" w:sz="1"/>
              <w:bottom w:val="single" w:color="999999" w:sz="1"/>
              <w:right w:val="single" w:color="999999" w:sz="1"/>
            </w:tcBorders>
            <w:shd w:fill="FFC7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0/10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FAIL — no headers or footers. Template has conference-specific headers</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Template styles used</w:t>
            </w:r>
          </w:p>
        </w:tc>
        <w:tc>
          <w:tcPr>
            <w:tcW w:type="dxa" w:w="900"/>
            <w:tcBorders>
              <w:top w:val="single" w:color="999999" w:sz="1"/>
              <w:left w:val="single" w:color="999999" w:sz="1"/>
              <w:bottom w:val="single" w:color="999999" w:sz="1"/>
              <w:right w:val="single" w:color="999999" w:sz="1"/>
            </w:tcBorders>
            <w:shd w:fill="FFC7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0/10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FAIL — none of the template’s named styles applied (equation, figurecaption, etc.)</w:t>
            </w:r>
          </w:p>
        </w:tc>
      </w:tr>
    </w:tbl>
    <w:p>
      <w:pPr>
        <w:spacing w:before="120"/>
      </w:pPr>
    </w:p>
    <w:p>
      <w:pPr>
        <w:spacing w:after="120" w:line="276"/>
        <w:jc w:val="both"/>
      </w:pPr>
      <w:r>
        <w:rPr>
          <w:rFonts w:ascii="Arial" w:cs="Arial" w:eastAsia="Arial" w:hAnsi="Arial"/>
          <w:b/>
          <w:bCs/>
          <w:i w:val="false"/>
          <w:iCs w:val="false"/>
          <w:color w:val="CC0000"/>
          <w:sz w:val="22"/>
          <w:szCs w:val="22"/>
        </w:rPr>
        <w:t xml:space="preserve">FORMAT SCORE: 27/120 (22.5%) </w:t>
      </w:r>
      <w:r>
        <w:rPr>
          <w:rFonts w:ascii="Arial" w:cs="Arial" w:eastAsia="Arial" w:hAnsi="Arial"/>
          <w:b w:val="false"/>
          <w:bCs w:val="false"/>
          <w:i w:val="false"/>
          <w:iCs w:val="false"/>
          <w:sz w:val="20"/>
          <w:szCs w:val="20"/>
        </w:rPr>
        <w:t xml:space="preserve">— This is the critical finding. The conference warns: </w:t>
      </w:r>
      <w:r>
        <w:rPr>
          <w:rFonts w:ascii="Arial" w:cs="Arial" w:eastAsia="Arial" w:hAnsi="Arial"/>
          <w:b w:val="false"/>
          <w:bCs w:val="false"/>
          <w:i/>
          <w:iCs/>
          <w:color w:val="CC0000"/>
          <w:sz w:val="20"/>
          <w:szCs w:val="20"/>
        </w:rPr>
        <w:t xml:space="preserve">“If the final version differs significantly from the required format, it will not be published, even if it has been accepted.”</w:t>
      </w:r>
    </w:p>
    <w:p>
      <w:pPr>
        <w:pStyle w:val="Heading2"/>
        <w:spacing w:after="120" w:before="280"/>
      </w:pPr>
      <w:r>
        <w:rPr>
          <w:rFonts w:ascii="Arial" w:cs="Arial" w:eastAsia="Arial" w:hAnsi="Arial"/>
          <w:b/>
          <w:bCs/>
          <w:i w:val="false"/>
          <w:iCs w:val="false"/>
          <w:color w:val="2E75B6"/>
          <w:sz w:val="24"/>
          <w:szCs w:val="24"/>
        </w:rPr>
        <w:t xml:space="preserve">2.2 Content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c>
          <w:tcPr>
            <w:tcW w:type="dxa" w:w="3200"/>
            <w:tcBorders>
              <w:top w:val="single" w:color="999999" w:sz="1"/>
              <w:left w:val="single" w:color="999999" w:sz="1"/>
              <w:bottom w:val="single" w:color="999999" w:sz="1"/>
              <w:right w:val="single" w:color="999999" w:sz="1"/>
            </w:tcBorders>
            <w:shd w:fill="1F3864" w:val="clear"/>
            <w:tcMar>
              <w:top w:type="dxa" w:w="40"/>
              <w:left w:type="dxa" w:w="80"/>
              <w:bottom w:type="dxa" w:w="40"/>
              <w:right w:type="dxa" w:w="80"/>
            </w:tcMar>
          </w:tcPr>
          <w:p>
            <w:pPr>
              <w:jc w:val="center"/>
            </w:pPr>
            <w:r>
              <w:rPr>
                <w:rFonts w:ascii="Arial" w:cs="Arial" w:eastAsia="Arial" w:hAnsi="Arial"/>
                <w:b/>
                <w:bCs/>
                <w:i w:val="false"/>
                <w:iCs w:val="false"/>
                <w:color w:val="FFFFFF"/>
                <w:sz w:val="18"/>
                <w:szCs w:val="18"/>
              </w:rPr>
              <w:t xml:space="preserve">Requirement</w:t>
            </w:r>
          </w:p>
        </w:tc>
        <w:tc>
          <w:tcPr>
            <w:tcW w:type="dxa" w:w="900"/>
            <w:tcBorders>
              <w:top w:val="single" w:color="999999" w:sz="1"/>
              <w:left w:val="single" w:color="999999" w:sz="1"/>
              <w:bottom w:val="single" w:color="999999" w:sz="1"/>
              <w:right w:val="single" w:color="999999" w:sz="1"/>
            </w:tcBorders>
            <w:shd w:fill="1F3864" w:val="clear"/>
            <w:tcMar>
              <w:top w:type="dxa" w:w="40"/>
              <w:left w:type="dxa" w:w="80"/>
              <w:bottom w:type="dxa" w:w="40"/>
              <w:right w:type="dxa" w:w="80"/>
            </w:tcMar>
          </w:tcPr>
          <w:p>
            <w:pPr>
              <w:jc w:val="center"/>
            </w:pPr>
            <w:r>
              <w:rPr>
                <w:rFonts w:ascii="Arial" w:cs="Arial" w:eastAsia="Arial" w:hAnsi="Arial"/>
                <w:b/>
                <w:bCs/>
                <w:i w:val="false"/>
                <w:iCs w:val="false"/>
                <w:color w:val="FFFFFF"/>
                <w:sz w:val="18"/>
                <w:szCs w:val="18"/>
              </w:rPr>
              <w:t xml:space="preserve">Score</w:t>
            </w:r>
          </w:p>
        </w:tc>
        <w:tc>
          <w:tcPr>
            <w:tcW w:type="dxa" w:w="5260"/>
            <w:tcBorders>
              <w:top w:val="single" w:color="999999" w:sz="1"/>
              <w:left w:val="single" w:color="999999" w:sz="1"/>
              <w:bottom w:val="single" w:color="999999" w:sz="1"/>
              <w:right w:val="single" w:color="999999" w:sz="1"/>
            </w:tcBorders>
            <w:shd w:fill="1F3864" w:val="clear"/>
            <w:tcMar>
              <w:top w:type="dxa" w:w="40"/>
              <w:left w:type="dxa" w:w="80"/>
              <w:bottom w:type="dxa" w:w="40"/>
              <w:right w:type="dxa" w:w="80"/>
            </w:tcMar>
          </w:tcPr>
          <w:p>
            <w:pPr>
              <w:jc w:val="center"/>
            </w:pPr>
            <w:r>
              <w:rPr>
                <w:rFonts w:ascii="Arial" w:cs="Arial" w:eastAsia="Arial" w:hAnsi="Arial"/>
                <w:b/>
                <w:bCs/>
                <w:i w:val="false"/>
                <w:iCs w:val="false"/>
                <w:color w:val="FFFFFF"/>
                <w:sz w:val="18"/>
                <w:szCs w:val="18"/>
              </w:rPr>
              <w:t xml:space="preserve">Notes</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Structure: Abstract→Keywords→Intro→M&amp;M→R&amp;D→Conclusions→Ack→Refs</w:t>
            </w:r>
          </w:p>
        </w:tc>
        <w:tc>
          <w:tcPr>
            <w:tcW w:type="dxa" w:w="9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10/10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PASS — both papers follow required structure exactly</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Abstract &lt; 3000 characters</w:t>
            </w:r>
          </w:p>
        </w:tc>
        <w:tc>
          <w:tcPr>
            <w:tcW w:type="dxa" w:w="9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9/10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PASS — both abstracts within limit</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Keywords: ≤4, alphabetical, after abstract</w:t>
            </w:r>
          </w:p>
        </w:tc>
        <w:tc>
          <w:tcPr>
            <w:tcW w:type="dxa" w:w="9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8/10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GOOD — 4 keywords each, comma-separated, after abstract</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IEEE reference format</w:t>
            </w:r>
          </w:p>
        </w:tc>
        <w:tc>
          <w:tcPr>
            <w:tcW w:type="dxa" w:w="9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8/10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GOOD — square brackets, numbered consecutively, DOIs where available</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Abbreviations defined on first use</w:t>
            </w:r>
          </w:p>
        </w:tc>
        <w:tc>
          <w:tcPr>
            <w:tcW w:type="dxa" w:w="9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9/10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GOOD — EPAS, HNC, LEO, BLE, MMOD all defined</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Tables numbered Roman, caption above</w:t>
            </w:r>
          </w:p>
        </w:tc>
        <w:tc>
          <w:tcPr>
            <w:tcW w:type="dxa" w:w="9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9/10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GOOD — Table I, Table II with captions above</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Figures numbered Arabic, caption below</w:t>
            </w:r>
          </w:p>
        </w:tc>
        <w:tc>
          <w:tcPr>
            <w:tcW w:type="dxa" w:w="9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9/10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GOOD — Fig. 1, 2, 3 with captions below figures</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No previously published content</w:t>
            </w:r>
          </w:p>
        </w:tc>
        <w:tc>
          <w:tcPr>
            <w:tcW w:type="dxa" w:w="9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10/10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PASS — original work, first submission</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DOIs on references</w:t>
            </w:r>
          </w:p>
        </w:tc>
        <w:tc>
          <w:tcPr>
            <w:tcW w:type="dxa" w:w="900"/>
            <w:tcBorders>
              <w:top w:val="single" w:color="999999" w:sz="1"/>
              <w:left w:val="single" w:color="999999" w:sz="1"/>
              <w:bottom w:val="single" w:color="999999" w:sz="1"/>
              <w:right w:val="single" w:color="999999" w:sz="1"/>
            </w:tcBorders>
            <w:shd w:fill="FFEB9C"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6/10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PARTIAL — some refs have DOIs, not all that should</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Copyright/license agreement</w:t>
            </w:r>
          </w:p>
        </w:tc>
        <w:tc>
          <w:tcPr>
            <w:tcW w:type="dxa" w:w="900"/>
            <w:tcBorders>
              <w:top w:val="single" w:color="999999" w:sz="1"/>
              <w:left w:val="single" w:color="999999" w:sz="1"/>
              <w:bottom w:val="single" w:color="999999" w:sz="1"/>
              <w:right w:val="single" w:color="999999" w:sz="1"/>
            </w:tcBorders>
            <w:shd w:fill="FFC7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0/10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NOT DONE — must submit CC BY 4.0 license agreement form</w:t>
            </w:r>
          </w:p>
        </w:tc>
      </w:tr>
    </w:tbl>
    <w:p>
      <w:pPr>
        <w:spacing w:before="120"/>
      </w:pPr>
    </w:p>
    <w:p>
      <w:pPr>
        <w:spacing w:after="120" w:line="276"/>
        <w:jc w:val="both"/>
      </w:pPr>
      <w:r>
        <w:rPr>
          <w:rFonts w:ascii="Arial" w:cs="Arial" w:eastAsia="Arial" w:hAnsi="Arial"/>
          <w:b/>
          <w:bCs/>
          <w:i w:val="false"/>
          <w:iCs w:val="false"/>
          <w:color w:val="2E75B6"/>
          <w:sz w:val="22"/>
          <w:szCs w:val="22"/>
        </w:rPr>
        <w:t xml:space="preserve">CONTENT SCORE: 78/100 (78%) </w:t>
      </w:r>
      <w:r>
        <w:rPr>
          <w:rFonts w:ascii="Arial" w:cs="Arial" w:eastAsia="Arial" w:hAnsi="Arial"/>
          <w:b w:val="false"/>
          <w:bCs w:val="false"/>
          <w:i w:val="false"/>
          <w:iCs w:val="false"/>
          <w:sz w:val="20"/>
          <w:szCs w:val="20"/>
        </w:rPr>
        <w:t xml:space="preserve">— Content is solid. Format is the problem.</w:t>
      </w:r>
    </w:p>
    <w:p>
      <w:pPr>
        <w:pStyle w:val="Heading2"/>
        <w:spacing w:after="120" w:before="280"/>
      </w:pPr>
      <w:r>
        <w:rPr>
          <w:rFonts w:ascii="Arial" w:cs="Arial" w:eastAsia="Arial" w:hAnsi="Arial"/>
          <w:b/>
          <w:bCs/>
          <w:i w:val="false"/>
          <w:iCs w:val="false"/>
          <w:color w:val="2E75B6"/>
          <w:sz w:val="24"/>
          <w:szCs w:val="24"/>
        </w:rPr>
        <w:t xml:space="preserve">2.3 Technical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c>
          <w:tcPr>
            <w:tcW w:type="dxa" w:w="3200"/>
            <w:tcBorders>
              <w:top w:val="single" w:color="999999" w:sz="1"/>
              <w:left w:val="single" w:color="999999" w:sz="1"/>
              <w:bottom w:val="single" w:color="999999" w:sz="1"/>
              <w:right w:val="single" w:color="999999" w:sz="1"/>
            </w:tcBorders>
            <w:shd w:fill="1F3864" w:val="clear"/>
            <w:tcMar>
              <w:top w:type="dxa" w:w="40"/>
              <w:left w:type="dxa" w:w="80"/>
              <w:bottom w:type="dxa" w:w="40"/>
              <w:right w:type="dxa" w:w="80"/>
            </w:tcMar>
          </w:tcPr>
          <w:p>
            <w:pPr>
              <w:jc w:val="center"/>
            </w:pPr>
            <w:r>
              <w:rPr>
                <w:rFonts w:ascii="Arial" w:cs="Arial" w:eastAsia="Arial" w:hAnsi="Arial"/>
                <w:b/>
                <w:bCs/>
                <w:i w:val="false"/>
                <w:iCs w:val="false"/>
                <w:color w:val="FFFFFF"/>
                <w:sz w:val="18"/>
                <w:szCs w:val="18"/>
              </w:rPr>
              <w:t xml:space="preserve">Criterion</w:t>
            </w:r>
          </w:p>
        </w:tc>
        <w:tc>
          <w:tcPr>
            <w:tcW w:type="dxa" w:w="900"/>
            <w:tcBorders>
              <w:top w:val="single" w:color="999999" w:sz="1"/>
              <w:left w:val="single" w:color="999999" w:sz="1"/>
              <w:bottom w:val="single" w:color="999999" w:sz="1"/>
              <w:right w:val="single" w:color="999999" w:sz="1"/>
            </w:tcBorders>
            <w:shd w:fill="1F3864" w:val="clear"/>
            <w:tcMar>
              <w:top w:type="dxa" w:w="40"/>
              <w:left w:type="dxa" w:w="80"/>
              <w:bottom w:type="dxa" w:w="40"/>
              <w:right w:type="dxa" w:w="80"/>
            </w:tcMar>
          </w:tcPr>
          <w:p>
            <w:pPr>
              <w:jc w:val="center"/>
            </w:pPr>
            <w:r>
              <w:rPr>
                <w:rFonts w:ascii="Arial" w:cs="Arial" w:eastAsia="Arial" w:hAnsi="Arial"/>
                <w:b/>
                <w:bCs/>
                <w:i w:val="false"/>
                <w:iCs w:val="false"/>
                <w:color w:val="FFFFFF"/>
                <w:sz w:val="18"/>
                <w:szCs w:val="18"/>
              </w:rPr>
              <w:t xml:space="preserve">Score</w:t>
            </w:r>
          </w:p>
        </w:tc>
        <w:tc>
          <w:tcPr>
            <w:tcW w:type="dxa" w:w="5260"/>
            <w:tcBorders>
              <w:top w:val="single" w:color="999999" w:sz="1"/>
              <w:left w:val="single" w:color="999999" w:sz="1"/>
              <w:bottom w:val="single" w:color="999999" w:sz="1"/>
              <w:right w:val="single" w:color="999999" w:sz="1"/>
            </w:tcBorders>
            <w:shd w:fill="1F3864" w:val="clear"/>
            <w:tcMar>
              <w:top w:type="dxa" w:w="40"/>
              <w:left w:type="dxa" w:w="80"/>
              <w:bottom w:type="dxa" w:w="40"/>
              <w:right w:type="dxa" w:w="80"/>
            </w:tcMar>
          </w:tcPr>
          <w:p>
            <w:pPr>
              <w:jc w:val="center"/>
            </w:pPr>
            <w:r>
              <w:rPr>
                <w:rFonts w:ascii="Arial" w:cs="Arial" w:eastAsia="Arial" w:hAnsi="Arial"/>
                <w:b/>
                <w:bCs/>
                <w:i w:val="false"/>
                <w:iCs w:val="false"/>
                <w:color w:val="FFFFFF"/>
                <w:sz w:val="18"/>
                <w:szCs w:val="18"/>
              </w:rPr>
              <w:t xml:space="preserve">Assessment</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Mathematics verified</w:t>
            </w:r>
          </w:p>
        </w:tc>
        <w:tc>
          <w:tcPr>
            <w:tcW w:type="dxa" w:w="9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10/10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ALL equations computationally verified — zero mismatches (Python audit 8 Apr)</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Claims traceable to sources</w:t>
            </w:r>
          </w:p>
        </w:tc>
        <w:tc>
          <w:tcPr>
            <w:tcW w:type="dxa" w:w="9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8/10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Strong — 23 refs (Alfie), 20 refs (Druid), all verifiable</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Honest gap assessment</w:t>
            </w:r>
          </w:p>
        </w:tc>
        <w:tc>
          <w:tcPr>
            <w:tcW w:type="dxa" w:w="9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10/10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Exemplary — explicitly states what doesn’t work and by how much</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Experimental methodology</w:t>
            </w:r>
          </w:p>
        </w:tc>
        <w:tc>
          <w:tcPr>
            <w:tcW w:type="dxa" w:w="900"/>
            <w:tcBorders>
              <w:top w:val="single" w:color="999999" w:sz="1"/>
              <w:left w:val="single" w:color="999999" w:sz="1"/>
              <w:bottom w:val="single" w:color="999999" w:sz="1"/>
              <w:right w:val="single" w:color="999999" w:sz="1"/>
            </w:tcBorders>
            <w:shd w:fill="FFEB9C"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7/10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Good — 19 experiments documented, but single platform, no independent replication</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Statistical rigour</w:t>
            </w:r>
          </w:p>
        </w:tc>
        <w:tc>
          <w:tcPr>
            <w:tcW w:type="dxa" w:w="900"/>
            <w:tcBorders>
              <w:top w:val="single" w:color="999999" w:sz="1"/>
              <w:left w:val="single" w:color="999999" w:sz="1"/>
              <w:bottom w:val="single" w:color="999999" w:sz="1"/>
              <w:right w:val="single" w:color="999999" w:sz="1"/>
            </w:tcBorders>
            <w:shd w:fill="FFEB9C"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5/10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Weak — 3.9% joint probability acknowledged as below 5% threshold</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Novelty/contribution</w:t>
            </w:r>
          </w:p>
        </w:tc>
        <w:tc>
          <w:tcPr>
            <w:tcW w:type="dxa" w:w="9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8/10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Strong — HNC framework, sensitivity analysis, cascaded defence are genuine contributions</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Reproducibility</w:t>
            </w:r>
          </w:p>
        </w:tc>
        <w:tc>
          <w:tcPr>
            <w:tcW w:type="dxa" w:w="9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8/10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Strong — open source repo, ESP32 firmware, derivation chain traceable</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Sensitivity analysis</w:t>
            </w:r>
          </w:p>
        </w:tc>
        <w:tc>
          <w:tcPr>
            <w:tcW w:type="dxa" w:w="9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9/10</w:t>
            </w:r>
          </w:p>
        </w:tc>
        <w:tc>
          <w:tcPr>
            <w:tcW w:type="dxa" w:w="5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i w:val="false"/>
                <w:iCs w:val="false"/>
                <w:sz w:val="18"/>
                <w:szCs w:val="18"/>
              </w:rPr>
              <w:t xml:space="preserve">Excellent — 5 variants (Alfie), 6 scenarios (Druid), demonstrator configs identified</w:t>
            </w:r>
          </w:p>
        </w:tc>
      </w:tr>
    </w:tbl>
    <w:p>
      <w:pPr>
        <w:spacing w:before="120"/>
      </w:pPr>
    </w:p>
    <w:p>
      <w:pPr>
        <w:spacing w:after="120" w:line="276"/>
        <w:jc w:val="both"/>
      </w:pPr>
      <w:r>
        <w:rPr>
          <w:rFonts w:ascii="Arial" w:cs="Arial" w:eastAsia="Arial" w:hAnsi="Arial"/>
          <w:b/>
          <w:bCs/>
          <w:i w:val="false"/>
          <w:iCs w:val="false"/>
          <w:color w:val="375623"/>
          <w:sz w:val="22"/>
          <w:szCs w:val="22"/>
        </w:rPr>
        <w:t xml:space="preserve">TECHNICAL SCORE: 65/80 (81%) </w:t>
      </w:r>
    </w:p>
    <w:p>
      <w:r>
        <w:br w:type="page"/>
      </w:r>
    </w:p>
    <w:p>
      <w:pPr>
        <w:pStyle w:val="Heading1"/>
        <w:spacing w:after="200" w:before="360"/>
      </w:pPr>
      <w:r>
        <w:rPr>
          <w:rFonts w:ascii="Arial" w:cs="Arial" w:eastAsia="Arial" w:hAnsi="Arial"/>
          <w:b/>
          <w:bCs/>
          <w:i w:val="false"/>
          <w:iCs w:val="false"/>
          <w:color w:val="1F3864"/>
          <w:sz w:val="28"/>
          <w:szCs w:val="28"/>
        </w:rPr>
        <w:t xml:space="preserve">3. SWOT ANALYSIS</w:t>
      </w:r>
    </w:p>
    <w:p>
      <w:pPr>
        <w:spacing w:after="120" w:line="276"/>
        <w:jc w:val="both"/>
      </w:pPr>
      <w:r>
        <w:rPr>
          <w:rFonts w:ascii="Arial" w:cs="Arial" w:eastAsia="Arial" w:hAnsi="Arial"/>
          <w:b w:val="false"/>
          <w:bCs w:val="false"/>
          <w:i w:val="false"/>
          <w:iCs w:val="false"/>
          <w:sz w:val="20"/>
          <w:szCs w:val="20"/>
        </w:rPr>
        <w:t xml:space="preserve">Assessed as a portfolio — both papers together represent Gary Leckey / RA-Consulting at SysTechDev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C6EFCE" w:val="clear"/>
            <w:tcMar>
              <w:top w:type="dxa" w:w="80"/>
              <w:left w:type="dxa" w:w="120"/>
              <w:bottom w:type="dxa" w:w="80"/>
              <w:right w:type="dxa" w:w="120"/>
            </w:tcMar>
          </w:tcPr>
          <w:p>
            <w:pPr>
              <w:spacing w:after="80"/>
            </w:pPr>
            <w:r>
              <w:rPr>
                <w:rFonts w:ascii="Arial" w:cs="Arial" w:eastAsia="Arial" w:hAnsi="Arial"/>
                <w:b/>
                <w:bCs/>
                <w:i w:val="false"/>
                <w:iCs w:val="false"/>
                <w:sz w:val="20"/>
                <w:szCs w:val="20"/>
              </w:rPr>
              <w:t xml:space="preserve">STRENGTHS</w:t>
            </w:r>
          </w:p>
          <w:p>
            <w:pPr>
              <w:spacing w:after="60"/>
            </w:pPr>
            <w:r>
              <w:rPr>
                <w:rFonts w:ascii="Arial" w:cs="Arial" w:eastAsia="Arial" w:hAnsi="Arial"/>
                <w:b w:val="false"/>
                <w:bCs w:val="false"/>
                <w:i w:val="false"/>
                <w:iCs w:val="false"/>
                <w:sz w:val="17"/>
                <w:szCs w:val="17"/>
              </w:rPr>
              <w:t xml:space="preserve">• First-principles derivations — every number traceable, every equation verified</w:t>
            </w:r>
          </w:p>
          <w:p>
            <w:pPr>
              <w:spacing w:after="60"/>
            </w:pPr>
            <w:r>
              <w:rPr>
                <w:rFonts w:ascii="Arial" w:cs="Arial" w:eastAsia="Arial" w:hAnsi="Arial"/>
                <w:b w:val="false"/>
                <w:bCs w:val="false"/>
                <w:i w:val="false"/>
                <w:iCs w:val="false"/>
                <w:sz w:val="17"/>
                <w:szCs w:val="17"/>
              </w:rPr>
              <w:t xml:space="preserve">• Radical honesty — explicitly says what doesn’t work (31x bore gap, 3.9% p-value)</w:t>
            </w:r>
          </w:p>
          <w:p>
            <w:pPr>
              <w:spacing w:after="60"/>
            </w:pPr>
            <w:r>
              <w:rPr>
                <w:rFonts w:ascii="Arial" w:cs="Arial" w:eastAsia="Arial" w:hAnsi="Arial"/>
                <w:b w:val="false"/>
                <w:bCs w:val="false"/>
                <w:i w:val="false"/>
                <w:iCs w:val="false"/>
                <w:sz w:val="17"/>
                <w:szCs w:val="17"/>
              </w:rPr>
              <w:t xml:space="preserve">• Two complementary papers — launch + defence shows breadth, shared physics validates framework</w:t>
            </w:r>
          </w:p>
          <w:p>
            <w:pPr>
              <w:spacing w:after="60"/>
            </w:pPr>
            <w:r>
              <w:rPr>
                <w:rFonts w:ascii="Arial" w:cs="Arial" w:eastAsia="Arial" w:hAnsi="Arial"/>
                <w:b w:val="false"/>
                <w:bCs w:val="false"/>
                <w:i w:val="false"/>
                <w:iCs w:val="false"/>
                <w:sz w:val="17"/>
                <w:szCs w:val="17"/>
              </w:rPr>
              <w:t xml:space="preserve">• Open source — 736 modules, MIT license, anyone can verify</w:t>
            </w:r>
          </w:p>
          <w:p>
            <w:pPr>
              <w:spacing w:after="60"/>
            </w:pPr>
            <w:r>
              <w:rPr>
                <w:rFonts w:ascii="Arial" w:cs="Arial" w:eastAsia="Arial" w:hAnsi="Arial"/>
                <w:b w:val="false"/>
                <w:bCs w:val="false"/>
                <w:i w:val="false"/>
                <w:iCs w:val="false"/>
                <w:sz w:val="17"/>
                <w:szCs w:val="17"/>
              </w:rPr>
              <w:t xml:space="preserve">• Sensitivity analysis — shows the design space, identifies demonstrator configs</w:t>
            </w:r>
          </w:p>
          <w:p>
            <w:pPr>
              <w:spacing w:after="60"/>
            </w:pPr>
            <w:r>
              <w:rPr>
                <w:rFonts w:ascii="Arial" w:cs="Arial" w:eastAsia="Arial" w:hAnsi="Arial"/>
                <w:b w:val="false"/>
                <w:bCs w:val="false"/>
                <w:i w:val="false"/>
                <w:iCs w:val="false"/>
                <w:sz w:val="17"/>
                <w:szCs w:val="17"/>
              </w:rPr>
              <w:t xml:space="preserve">• Hardware implementation exists — ESP32 + AD9850 DDS, not just theory</w:t>
            </w:r>
          </w:p>
          <w:p>
            <w:pPr>
              <w:spacing w:after="60"/>
            </w:pPr>
            <w:r>
              <w:rPr>
                <w:rFonts w:ascii="Arial" w:cs="Arial" w:eastAsia="Arial" w:hAnsi="Arial"/>
                <w:b w:val="false"/>
                <w:bCs w:val="false"/>
                <w:i w:val="false"/>
                <w:iCs w:val="false"/>
                <w:sz w:val="17"/>
                <w:szCs w:val="17"/>
              </w:rPr>
              <w:t xml:space="preserve">• 19 real experiments — not simulations, actual measured data</w:t>
            </w:r>
          </w:p>
          <w:p>
            <w:pPr>
              <w:spacing w:after="60"/>
            </w:pPr>
            <w:r>
              <w:rPr>
                <w:rFonts w:ascii="Arial" w:cs="Arial" w:eastAsia="Arial" w:hAnsi="Arial"/>
                <w:b w:val="false"/>
                <w:bCs w:val="false"/>
                <w:i w:val="false"/>
                <w:iCs w:val="false"/>
                <w:sz w:val="17"/>
                <w:szCs w:val="17"/>
              </w:rPr>
              <w:t xml:space="preserve">• Dual acceptance — conference already accepted both papers</w:t>
            </w:r>
          </w:p>
        </w:tc>
        <w:tc>
          <w:tcPr>
            <w:tcW w:type="dxa" w:w="4680"/>
            <w:tcBorders>
              <w:top w:val="single" w:color="999999" w:sz="1"/>
              <w:left w:val="single" w:color="999999" w:sz="1"/>
              <w:bottom w:val="single" w:color="999999" w:sz="1"/>
              <w:right w:val="single" w:color="999999" w:sz="1"/>
            </w:tcBorders>
            <w:shd w:fill="FFC7CE" w:val="clear"/>
            <w:tcMar>
              <w:top w:type="dxa" w:w="80"/>
              <w:left w:type="dxa" w:w="120"/>
              <w:bottom w:type="dxa" w:w="80"/>
              <w:right w:type="dxa" w:w="120"/>
            </w:tcMar>
          </w:tcPr>
          <w:p>
            <w:pPr>
              <w:spacing w:after="80"/>
            </w:pPr>
            <w:r>
              <w:rPr>
                <w:rFonts w:ascii="Arial" w:cs="Arial" w:eastAsia="Arial" w:hAnsi="Arial"/>
                <w:b/>
                <w:bCs/>
                <w:i w:val="false"/>
                <w:iCs w:val="false"/>
                <w:sz w:val="20"/>
                <w:szCs w:val="20"/>
              </w:rPr>
              <w:t xml:space="preserve">WEAKNESSES</w:t>
            </w:r>
          </w:p>
          <w:p>
            <w:pPr>
              <w:spacing w:after="60"/>
            </w:pPr>
            <w:r>
              <w:rPr>
                <w:rFonts w:ascii="Arial" w:cs="Arial" w:eastAsia="Arial" w:hAnsi="Arial"/>
                <w:b w:val="false"/>
                <w:bCs w:val="false"/>
                <w:i w:val="false"/>
                <w:iCs w:val="false"/>
                <w:sz w:val="17"/>
                <w:szCs w:val="17"/>
              </w:rPr>
              <w:t xml:space="preserve">• FORMAT NON-COMPLIANT — wrong page size, no 2-column, no OMML equations, colour figures</w:t>
            </w:r>
          </w:p>
          <w:p>
            <w:pPr>
              <w:spacing w:after="60"/>
            </w:pPr>
            <w:r>
              <w:rPr>
                <w:rFonts w:ascii="Arial" w:cs="Arial" w:eastAsia="Arial" w:hAnsi="Arial"/>
                <w:b w:val="false"/>
                <w:bCs w:val="false"/>
                <w:i w:val="false"/>
                <w:iCs w:val="false"/>
                <w:sz w:val="17"/>
                <w:szCs w:val="17"/>
              </w:rPr>
              <w:t xml:space="preserve">• Self-citation to unpublished white paper [5/6] — GitHub repo, not peer-reviewed</w:t>
            </w:r>
          </w:p>
          <w:p>
            <w:pPr>
              <w:spacing w:after="60"/>
            </w:pPr>
            <w:r>
              <w:rPr>
                <w:rFonts w:ascii="Arial" w:cs="Arial" w:eastAsia="Arial" w:hAnsi="Arial"/>
                <w:b w:val="false"/>
                <w:bCs w:val="false"/>
                <w:i w:val="false"/>
                <w:iCs w:val="false"/>
                <w:sz w:val="17"/>
                <w:szCs w:val="17"/>
              </w:rPr>
              <w:t xml:space="preserve">• Single author, independent researcher — no institutional backing</w:t>
            </w:r>
          </w:p>
          <w:p>
            <w:pPr>
              <w:spacing w:after="60"/>
            </w:pPr>
            <w:r>
              <w:rPr>
                <w:rFonts w:ascii="Arial" w:cs="Arial" w:eastAsia="Arial" w:hAnsi="Arial"/>
                <w:b w:val="false"/>
                <w:bCs w:val="false"/>
                <w:i w:val="false"/>
                <w:iCs w:val="false"/>
                <w:sz w:val="17"/>
                <w:szCs w:val="17"/>
              </w:rPr>
              <w:t xml:space="preserve">• BLE-to-launcher bridge is acknowledged as indirect</w:t>
            </w:r>
          </w:p>
          <w:p>
            <w:pPr>
              <w:spacing w:after="60"/>
            </w:pPr>
            <w:r>
              <w:rPr>
                <w:rFonts w:ascii="Arial" w:cs="Arial" w:eastAsia="Arial" w:hAnsi="Arial"/>
                <w:b w:val="false"/>
                <w:bCs w:val="false"/>
                <w:i w:val="false"/>
                <w:iCs w:val="false"/>
                <w:sz w:val="17"/>
                <w:szCs w:val="17"/>
              </w:rPr>
              <w:t xml:space="preserve">• No Druid layer has been experimentally validated — all T_i are theoretical</w:t>
            </w:r>
          </w:p>
          <w:p>
            <w:pPr>
              <w:spacing w:after="60"/>
            </w:pPr>
            <w:r>
              <w:rPr>
                <w:rFonts w:ascii="Arial" w:cs="Arial" w:eastAsia="Arial" w:hAnsi="Arial"/>
                <w:b w:val="false"/>
                <w:bCs w:val="false"/>
                <w:i w:val="false"/>
                <w:iCs w:val="false"/>
                <w:sz w:val="17"/>
                <w:szCs w:val="17"/>
              </w:rPr>
              <w:t xml:space="preserve">• 3.9% doesn’t reach 5% significance — honest but still a gap</w:t>
            </w:r>
          </w:p>
          <w:p>
            <w:pPr>
              <w:spacing w:after="60"/>
            </w:pPr>
            <w:r>
              <w:rPr>
                <w:rFonts w:ascii="Arial" w:cs="Arial" w:eastAsia="Arial" w:hAnsi="Arial"/>
                <w:b w:val="false"/>
                <w:bCs w:val="false"/>
                <w:i w:val="false"/>
                <w:iCs w:val="false"/>
                <w:sz w:val="17"/>
                <w:szCs w:val="17"/>
              </w:rPr>
              <w:t xml:space="preserve">• 97.3% cascade mitigation sounds too good — will draw scepticism</w:t>
            </w:r>
          </w:p>
          <w:p>
            <w:pPr>
              <w:spacing w:after="60"/>
            </w:pPr>
            <w:r>
              <w:rPr>
                <w:rFonts w:ascii="Arial" w:cs="Arial" w:eastAsia="Arial" w:hAnsi="Arial"/>
                <w:b w:val="false"/>
                <w:bCs w:val="false"/>
                <w:i w:val="false"/>
                <w:iCs w:val="false"/>
                <w:sz w:val="17"/>
                <w:szCs w:val="17"/>
              </w:rPr>
              <w:t xml:space="preserve">• Casimir layer (L5) adds complexity for negligible contribution (0.1%)</w:t>
            </w:r>
          </w:p>
        </w:tc>
      </w:tr>
      <w:tr>
        <w:tc>
          <w:tcPr>
            <w:tcW w:type="dxa" w:w="468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spacing w:after="80"/>
            </w:pPr>
            <w:r>
              <w:rPr>
                <w:rFonts w:ascii="Arial" w:cs="Arial" w:eastAsia="Arial" w:hAnsi="Arial"/>
                <w:b/>
                <w:bCs/>
                <w:i w:val="false"/>
                <w:iCs w:val="false"/>
                <w:sz w:val="20"/>
                <w:szCs w:val="20"/>
              </w:rPr>
              <w:t xml:space="preserve">OPPORTUNITIES</w:t>
            </w:r>
          </w:p>
          <w:p>
            <w:pPr>
              <w:spacing w:after="60"/>
            </w:pPr>
            <w:r>
              <w:rPr>
                <w:rFonts w:ascii="Arial" w:cs="Arial" w:eastAsia="Arial" w:hAnsi="Arial"/>
                <w:b w:val="false"/>
                <w:bCs w:val="false"/>
                <w:i w:val="false"/>
                <w:iCs w:val="false"/>
                <w:sz w:val="17"/>
                <w:szCs w:val="17"/>
              </w:rPr>
              <w:t xml:space="preserve">• Inaugural conference — less competitive, reviewers more open to novel frameworks</w:t>
            </w:r>
          </w:p>
          <w:p>
            <w:pPr>
              <w:spacing w:after="60"/>
            </w:pPr>
            <w:r>
              <w:rPr>
                <w:rFonts w:ascii="Arial" w:cs="Arial" w:eastAsia="Arial" w:hAnsi="Arial"/>
                <w:b w:val="false"/>
                <w:bCs w:val="false"/>
                <w:i w:val="false"/>
                <w:iCs w:val="false"/>
                <w:sz w:val="17"/>
                <w:szCs w:val="17"/>
              </w:rPr>
              <w:t xml:space="preserve">• Military university venue — defence application (Druid) directly relevant to audience</w:t>
            </w:r>
          </w:p>
          <w:p>
            <w:pPr>
              <w:spacing w:after="60"/>
            </w:pPr>
            <w:r>
              <w:rPr>
                <w:rFonts w:ascii="Arial" w:cs="Arial" w:eastAsia="Arial" w:hAnsi="Arial"/>
                <w:b w:val="false"/>
                <w:bCs w:val="false"/>
                <w:i w:val="false"/>
                <w:iCs w:val="false"/>
                <w:sz w:val="17"/>
                <w:szCs w:val="17"/>
              </w:rPr>
              <w:t xml:space="preserve">• Four organising institutions across 3 countries — potential collaborators</w:t>
            </w:r>
          </w:p>
          <w:p>
            <w:pPr>
              <w:spacing w:after="60"/>
            </w:pPr>
            <w:r>
              <w:rPr>
                <w:rFonts w:ascii="Arial" w:cs="Arial" w:eastAsia="Arial" w:hAnsi="Arial"/>
                <w:b w:val="false"/>
                <w:bCs w:val="false"/>
                <w:i w:val="false"/>
                <w:iCs w:val="false"/>
                <w:sz w:val="17"/>
                <w:szCs w:val="17"/>
              </w:rPr>
              <w:t xml:space="preserve">• Oral presentation format — can demonstrate understanding beyond paper</w:t>
            </w:r>
          </w:p>
          <w:p>
            <w:pPr>
              <w:spacing w:after="60"/>
            </w:pPr>
            <w:r>
              <w:rPr>
                <w:rFonts w:ascii="Arial" w:cs="Arial" w:eastAsia="Arial" w:hAnsi="Arial"/>
                <w:b w:val="false"/>
                <w:bCs w:val="false"/>
                <w:i w:val="false"/>
                <w:iCs w:val="false"/>
                <w:sz w:val="17"/>
                <w:szCs w:val="17"/>
              </w:rPr>
              <w:t xml:space="preserve">• Demonstrator config (2.0 T) is buildable NOW — could have hardware by conference</w:t>
            </w:r>
          </w:p>
          <w:p>
            <w:pPr>
              <w:spacing w:after="60"/>
            </w:pPr>
            <w:r>
              <w:rPr>
                <w:rFonts w:ascii="Arial" w:cs="Arial" w:eastAsia="Arial" w:hAnsi="Arial"/>
                <w:b w:val="false"/>
                <w:bCs w:val="false"/>
                <w:i w:val="false"/>
                <w:iCs w:val="false"/>
                <w:sz w:val="17"/>
                <w:szCs w:val="17"/>
              </w:rPr>
              <w:t xml:space="preserve">• Open source creates collaboration hooks — others can build on it</w:t>
            </w:r>
          </w:p>
          <w:p>
            <w:pPr>
              <w:spacing w:after="60"/>
            </w:pPr>
            <w:r>
              <w:rPr>
                <w:rFonts w:ascii="Arial" w:cs="Arial" w:eastAsia="Arial" w:hAnsi="Arial"/>
                <w:b w:val="false"/>
                <w:bCs w:val="false"/>
                <w:i w:val="false"/>
                <w:iCs w:val="false"/>
                <w:sz w:val="17"/>
                <w:szCs w:val="17"/>
              </w:rPr>
              <w:t xml:space="preserve">• SysTechDev journal publication — first indexed proceedings create citable record</w:t>
            </w:r>
          </w:p>
          <w:p>
            <w:pPr>
              <w:spacing w:after="60"/>
            </w:pPr>
            <w:r>
              <w:rPr>
                <w:rFonts w:ascii="Arial" w:cs="Arial" w:eastAsia="Arial" w:hAnsi="Arial"/>
                <w:b w:val="false"/>
                <w:bCs w:val="false"/>
                <w:i w:val="false"/>
                <w:iCs w:val="false"/>
                <w:sz w:val="17"/>
                <w:szCs w:val="17"/>
              </w:rPr>
              <w:t xml:space="preserve">• Adjacent to defence/security track — Druid has clear military application</w:t>
            </w:r>
          </w:p>
        </w:tc>
        <w:tc>
          <w:tcPr>
            <w:tcW w:type="dxa" w:w="4680"/>
            <w:tcBorders>
              <w:top w:val="single" w:color="999999" w:sz="1"/>
              <w:left w:val="single" w:color="999999" w:sz="1"/>
              <w:bottom w:val="single" w:color="999999" w:sz="1"/>
              <w:right w:val="single" w:color="999999" w:sz="1"/>
            </w:tcBorders>
            <w:shd w:fill="FFEB9C" w:val="clear"/>
            <w:tcMar>
              <w:top w:type="dxa" w:w="80"/>
              <w:left w:type="dxa" w:w="120"/>
              <w:bottom w:type="dxa" w:w="80"/>
              <w:right w:type="dxa" w:w="120"/>
            </w:tcMar>
          </w:tcPr>
          <w:p>
            <w:pPr>
              <w:spacing w:after="80"/>
            </w:pPr>
            <w:r>
              <w:rPr>
                <w:rFonts w:ascii="Arial" w:cs="Arial" w:eastAsia="Arial" w:hAnsi="Arial"/>
                <w:b/>
                <w:bCs/>
                <w:i w:val="false"/>
                <w:iCs w:val="false"/>
                <w:sz w:val="20"/>
                <w:szCs w:val="20"/>
              </w:rPr>
              <w:t xml:space="preserve">THREATS</w:t>
            </w:r>
          </w:p>
          <w:p>
            <w:pPr>
              <w:spacing w:after="60"/>
            </w:pPr>
            <w:r>
              <w:rPr>
                <w:rFonts w:ascii="Arial" w:cs="Arial" w:eastAsia="Arial" w:hAnsi="Arial"/>
                <w:b w:val="false"/>
                <w:bCs w:val="false"/>
                <w:i w:val="false"/>
                <w:iCs w:val="false"/>
                <w:sz w:val="17"/>
                <w:szCs w:val="17"/>
              </w:rPr>
              <w:t xml:space="preserve">• Format rejection — conference explicitly warns non-compliant papers won’t be published</w:t>
            </w:r>
          </w:p>
          <w:p>
            <w:pPr>
              <w:spacing w:after="60"/>
            </w:pPr>
            <w:r>
              <w:rPr>
                <w:rFonts w:ascii="Arial" w:cs="Arial" w:eastAsia="Arial" w:hAnsi="Arial"/>
                <w:b w:val="false"/>
                <w:bCs w:val="false"/>
                <w:i w:val="false"/>
                <w:iCs w:val="false"/>
                <w:sz w:val="17"/>
                <w:szCs w:val="17"/>
              </w:rPr>
              <w:t xml:space="preserve">• ZPE/vacuum energy associations — if any ‘sacred frequency’ language survived, instant credibility kill</w:t>
            </w:r>
          </w:p>
          <w:p>
            <w:pPr>
              <w:spacing w:after="60"/>
            </w:pPr>
            <w:r>
              <w:rPr>
                <w:rFonts w:ascii="Arial" w:cs="Arial" w:eastAsia="Arial" w:hAnsi="Arial"/>
                <w:b w:val="false"/>
                <w:bCs w:val="false"/>
                <w:i w:val="false"/>
                <w:iCs w:val="false"/>
                <w:sz w:val="17"/>
                <w:szCs w:val="17"/>
              </w:rPr>
              <w:t xml:space="preserve">• Reviewer unfamiliarity with HNC — novel framework means no prior literature to validate against</w:t>
            </w:r>
          </w:p>
          <w:p>
            <w:pPr>
              <w:spacing w:after="60"/>
            </w:pPr>
            <w:r>
              <w:rPr>
                <w:rFonts w:ascii="Arial" w:cs="Arial" w:eastAsia="Arial" w:hAnsi="Arial"/>
                <w:b w:val="false"/>
                <w:bCs w:val="false"/>
                <w:i w:val="false"/>
                <w:iCs w:val="false"/>
                <w:sz w:val="17"/>
                <w:szCs w:val="17"/>
              </w:rPr>
              <w:t xml:space="preserve">• Competitor work with institutional backing — Bamford (2024) deflector shield from established lab</w:t>
            </w:r>
          </w:p>
          <w:p>
            <w:pPr>
              <w:spacing w:after="60"/>
            </w:pPr>
            <w:r>
              <w:rPr>
                <w:rFonts w:ascii="Arial" w:cs="Arial" w:eastAsia="Arial" w:hAnsi="Arial"/>
                <w:b w:val="false"/>
                <w:bCs w:val="false"/>
                <w:i w:val="false"/>
                <w:iCs w:val="false"/>
                <w:sz w:val="17"/>
                <w:szCs w:val="17"/>
              </w:rPr>
              <w:t xml:space="preserve">• Single-platform experiments — ‘laptop battery’ sounds unscientific to hardware reviewers</w:t>
            </w:r>
          </w:p>
          <w:p>
            <w:pPr>
              <w:spacing w:after="60"/>
            </w:pPr>
            <w:r>
              <w:rPr>
                <w:rFonts w:ascii="Arial" w:cs="Arial" w:eastAsia="Arial" w:hAnsi="Arial"/>
                <w:b w:val="false"/>
                <w:bCs w:val="false"/>
                <w:i w:val="false"/>
                <w:iCs w:val="false"/>
                <w:sz w:val="17"/>
                <w:szCs w:val="17"/>
              </w:rPr>
              <w:t xml:space="preserve">• Conference proceedings vs journal — lower citation weight for career</w:t>
            </w:r>
          </w:p>
          <w:p>
            <w:pPr>
              <w:spacing w:after="60"/>
            </w:pPr>
            <w:r>
              <w:rPr>
                <w:rFonts w:ascii="Arial" w:cs="Arial" w:eastAsia="Arial" w:hAnsi="Arial"/>
                <w:b w:val="false"/>
                <w:bCs w:val="false"/>
                <w:i w:val="false"/>
                <w:iCs w:val="false"/>
                <w:sz w:val="17"/>
                <w:szCs w:val="17"/>
              </w:rPr>
              <w:t xml:space="preserve">• Scope creep perception — two papers covering launch AND defence may look unfocused</w:t>
            </w:r>
          </w:p>
          <w:p>
            <w:pPr>
              <w:spacing w:after="60"/>
            </w:pPr>
            <w:r>
              <w:rPr>
                <w:rFonts w:ascii="Arial" w:cs="Arial" w:eastAsia="Arial" w:hAnsi="Arial"/>
                <w:b w:val="false"/>
                <w:bCs w:val="false"/>
                <w:i w:val="false"/>
                <w:iCs w:val="false"/>
                <w:sz w:val="17"/>
                <w:szCs w:val="17"/>
              </w:rPr>
              <w:t xml:space="preserve">• Oral presentation pressure — must explain HNC clearly in 15-20 minutes</w:t>
            </w:r>
          </w:p>
        </w:tc>
      </w:tr>
    </w:tbl>
    <w:p>
      <w:r>
        <w:br w:type="page"/>
      </w:r>
    </w:p>
    <w:p>
      <w:pPr>
        <w:pStyle w:val="Heading1"/>
        <w:spacing w:after="200" w:before="360"/>
      </w:pPr>
      <w:r>
        <w:rPr>
          <w:rFonts w:ascii="Arial" w:cs="Arial" w:eastAsia="Arial" w:hAnsi="Arial"/>
          <w:b/>
          <w:bCs/>
          <w:i w:val="false"/>
          <w:iCs w:val="false"/>
          <w:color w:val="1F3864"/>
          <w:sz w:val="28"/>
          <w:szCs w:val="28"/>
        </w:rPr>
        <w:t xml:space="preserve">4. PORTER’S FIVE FORCES</w:t>
      </w:r>
    </w:p>
    <w:p>
      <w:pPr>
        <w:spacing w:after="120" w:line="276"/>
        <w:jc w:val="both"/>
      </w:pPr>
      <w:r>
        <w:rPr>
          <w:rFonts w:ascii="Arial" w:cs="Arial" w:eastAsia="Arial" w:hAnsi="Arial"/>
          <w:b w:val="false"/>
          <w:bCs w:val="false"/>
          <w:i w:val="false"/>
          <w:iCs w:val="false"/>
          <w:sz w:val="20"/>
          <w:szCs w:val="20"/>
        </w:rPr>
        <w:t xml:space="preserve">Applied to the competitive landscape Gary is entering: the academic/defence research market for electromagnetic shielding and launch systems.</w:t>
      </w:r>
    </w:p>
    <w:p>
      <w:pPr>
        <w:pStyle w:val="Heading2"/>
        <w:spacing w:after="120" w:before="280"/>
      </w:pPr>
      <w:r>
        <w:rPr>
          <w:rFonts w:ascii="Arial" w:cs="Arial" w:eastAsia="Arial" w:hAnsi="Arial"/>
          <w:b/>
          <w:bCs/>
          <w:i w:val="false"/>
          <w:iCs w:val="false"/>
          <w:color w:val="2E75B6"/>
          <w:sz w:val="24"/>
          <w:szCs w:val="24"/>
        </w:rPr>
        <w:t xml:space="preserve">4.1 Threat of New Entrants: MEDIUM-HIGH</w:t>
      </w:r>
    </w:p>
    <w:p>
      <w:pPr>
        <w:spacing w:after="120" w:line="276"/>
        <w:jc w:val="both"/>
      </w:pPr>
      <w:r>
        <w:rPr>
          <w:rFonts w:ascii="Arial" w:cs="Arial" w:eastAsia="Arial" w:hAnsi="Arial"/>
          <w:b w:val="false"/>
          <w:bCs w:val="false"/>
          <w:i w:val="false"/>
          <w:iCs w:val="false"/>
          <w:sz w:val="20"/>
          <w:szCs w:val="20"/>
        </w:rPr>
        <w:t xml:space="preserve">The barrier to entry in theoretical physics papers is low — anyone with a computer and arXiv access can publish. However, the barrier to credible experimental work is higher. Gary’s advantage: 19 real experiments, open-source code, and hardware implementation. The ESP32+AD9850 platform costs under £100, making it reproducible by any university lab. This is both a strength (low barrier for collaborators) and a threat (low barrier for competitors to replicate and extend without credit).</w:t>
      </w:r>
    </w:p>
    <w:p>
      <w:pPr>
        <w:pStyle w:val="Heading2"/>
        <w:spacing w:after="120" w:before="280"/>
      </w:pPr>
      <w:r>
        <w:rPr>
          <w:rFonts w:ascii="Arial" w:cs="Arial" w:eastAsia="Arial" w:hAnsi="Arial"/>
          <w:b/>
          <w:bCs/>
          <w:i w:val="false"/>
          <w:iCs w:val="false"/>
          <w:color w:val="2E75B6"/>
          <w:sz w:val="24"/>
          <w:szCs w:val="24"/>
        </w:rPr>
        <w:t xml:space="preserve">4.2 Bargaining Power of Buyers: HIGH</w:t>
      </w:r>
    </w:p>
    <w:p>
      <w:pPr>
        <w:spacing w:after="120" w:line="276"/>
        <w:jc w:val="both"/>
      </w:pPr>
      <w:r>
        <w:rPr>
          <w:rFonts w:ascii="Arial" w:cs="Arial" w:eastAsia="Arial" w:hAnsi="Arial"/>
          <w:b w:val="false"/>
          <w:bCs w:val="false"/>
          <w:i w:val="false"/>
          <w:iCs w:val="false"/>
          <w:sz w:val="20"/>
          <w:szCs w:val="20"/>
        </w:rPr>
        <w:t xml:space="preserve">The ‘buyers’ are conference reviewers, journal editors, funding bodies, and potential collaborators. They have absolute power — they decide whether this work gets published, cited, and funded. The conference’s explicit warning about format compliance shows they exercise this power. A single reviewer with a bias against independent researchers or novel frameworks can kill a paper. Mitigation: the dual-acceptance already passed initial review, but format non-compliance could still prevent publication.</w:t>
      </w:r>
    </w:p>
    <w:p>
      <w:pPr>
        <w:pStyle w:val="Heading2"/>
        <w:spacing w:after="120" w:before="280"/>
      </w:pPr>
      <w:r>
        <w:rPr>
          <w:rFonts w:ascii="Arial" w:cs="Arial" w:eastAsia="Arial" w:hAnsi="Arial"/>
          <w:b/>
          <w:bCs/>
          <w:i w:val="false"/>
          <w:iCs w:val="false"/>
          <w:color w:val="2E75B6"/>
          <w:sz w:val="24"/>
          <w:szCs w:val="24"/>
        </w:rPr>
        <w:t xml:space="preserve">4.3 Bargaining Power of Suppliers: LOW</w:t>
      </w:r>
    </w:p>
    <w:p>
      <w:pPr>
        <w:spacing w:after="120" w:line="276"/>
        <w:jc w:val="both"/>
      </w:pPr>
      <w:r>
        <w:rPr>
          <w:rFonts w:ascii="Arial" w:cs="Arial" w:eastAsia="Arial" w:hAnsi="Arial"/>
          <w:b w:val="false"/>
          <w:bCs w:val="false"/>
          <w:i w:val="false"/>
          <w:iCs w:val="false"/>
          <w:sz w:val="20"/>
          <w:szCs w:val="20"/>
        </w:rPr>
        <w:t xml:space="preserve">The ‘suppliers’ are the physics principles, experimental equipment, and computational tools. These are universal — Maxwell’s equations don’t have licensing fees. The open-source approach means no dependency on proprietary tools. The ESP32 and AD9850 are commodity hardware. The Python scientific stack is free. This is a genuine strategic advantage: the entire research stack is reproducible by anyone, anywhere, for minimal cost.</w:t>
      </w:r>
    </w:p>
    <w:p>
      <w:pPr>
        <w:pStyle w:val="Heading2"/>
        <w:spacing w:after="120" w:before="280"/>
      </w:pPr>
      <w:r>
        <w:rPr>
          <w:rFonts w:ascii="Arial" w:cs="Arial" w:eastAsia="Arial" w:hAnsi="Arial"/>
          <w:b/>
          <w:bCs/>
          <w:i w:val="false"/>
          <w:iCs w:val="false"/>
          <w:color w:val="2E75B6"/>
          <w:sz w:val="24"/>
          <w:szCs w:val="24"/>
        </w:rPr>
        <w:t xml:space="preserve">4.4 Threat of Substitutes: HIGH</w:t>
      </w:r>
    </w:p>
    <w:p>
      <w:pPr>
        <w:spacing w:after="120" w:line="276"/>
        <w:jc w:val="both"/>
      </w:pPr>
      <w:r>
        <w:rPr>
          <w:rFonts w:ascii="Arial" w:cs="Arial" w:eastAsia="Arial" w:hAnsi="Arial"/>
          <w:b w:val="false"/>
          <w:bCs w:val="false"/>
          <w:i w:val="false"/>
          <w:iCs w:val="false"/>
          <w:sz w:val="20"/>
          <w:szCs w:val="20"/>
        </w:rPr>
        <w:t xml:space="preserve">Multiple substitute approaches exist for both applications. For launch: SpaceX reusable rockets are the dominant substitute and improving rapidly (Starship targeting &lt;$100/kg). For MMOD defence: conventional Whipple shields are proven at TRL 9 with decades of flight heritage. Bamford et al.’s integrated deflector shield (2024) is a direct academic substitute with institutional backing. The EPAS framework must demonstrate a clear advantage — the 80 kg mass budget vs 80-120 kg Whipple shield is marginal. The real competitive edge is the frequency-selective, adaptive nature of the cascade, but this is unproven.</w:t>
      </w:r>
    </w:p>
    <w:p>
      <w:pPr>
        <w:pStyle w:val="Heading2"/>
        <w:spacing w:after="120" w:before="280"/>
      </w:pPr>
      <w:r>
        <w:rPr>
          <w:rFonts w:ascii="Arial" w:cs="Arial" w:eastAsia="Arial" w:hAnsi="Arial"/>
          <w:b/>
          <w:bCs/>
          <w:i w:val="false"/>
          <w:iCs w:val="false"/>
          <w:color w:val="2E75B6"/>
          <w:sz w:val="24"/>
          <w:szCs w:val="24"/>
        </w:rPr>
        <w:t xml:space="preserve">4.5 Industry Rivalry: MEDIUM</w:t>
      </w:r>
    </w:p>
    <w:p>
      <w:pPr>
        <w:spacing w:after="120" w:line="276"/>
        <w:jc w:val="both"/>
      </w:pPr>
      <w:r>
        <w:rPr>
          <w:rFonts w:ascii="Arial" w:cs="Arial" w:eastAsia="Arial" w:hAnsi="Arial"/>
          <w:b w:val="false"/>
          <w:bCs w:val="false"/>
          <w:i w:val="false"/>
          <w:iCs w:val="false"/>
          <w:sz w:val="20"/>
          <w:szCs w:val="20"/>
        </w:rPr>
        <w:t xml:space="preserve">The electromagnetic shielding / active defence research space is small but growing. Key players: Bamford (RAL, UK), MEESST consortium (EU), NASA ODPO (US), and various university groups. The EM launch space includes StarTram (US), electromagnetic railgun programmes (US Navy), and coilgun research groups. Gary enters as an independent with no institutional affiliation — the lowest status position in academic rivalry. However, the inaugural conference at a military university levels the playing field somewhat, and the open-source approach invites collaboration rather than competition.</w:t>
      </w:r>
    </w:p>
    <w:p>
      <w:pPr>
        <w:pStyle w:val="Heading2"/>
        <w:spacing w:after="120" w:before="280"/>
      </w:pPr>
      <w:r>
        <w:rPr>
          <w:rFonts w:ascii="Arial" w:cs="Arial" w:eastAsia="Arial" w:hAnsi="Arial"/>
          <w:b/>
          <w:bCs/>
          <w:i w:val="false"/>
          <w:iCs w:val="false"/>
          <w:color w:val="2E75B6"/>
          <w:sz w:val="24"/>
          <w:szCs w:val="24"/>
        </w:rPr>
        <w:t xml:space="preserve">4.6 Porter’s Summary</w:t>
      </w:r>
    </w:p>
    <w:p>
      <w:pPr>
        <w:spacing w:after="120" w:line="276"/>
        <w:jc w:val="both"/>
      </w:pPr>
      <w:r>
        <w:rPr>
          <w:rFonts w:ascii="Arial" w:cs="Arial" w:eastAsia="Arial" w:hAnsi="Arial"/>
          <w:b/>
          <w:bCs/>
          <w:i w:val="false"/>
          <w:iCs w:val="false"/>
          <w:sz w:val="20"/>
          <w:szCs w:val="20"/>
        </w:rPr>
        <w:t xml:space="preserve">Strategic position: Differentiated niche player. </w:t>
      </w:r>
      <w:r>
        <w:rPr>
          <w:rFonts w:ascii="Arial" w:cs="Arial" w:eastAsia="Arial" w:hAnsi="Arial"/>
          <w:b w:val="false"/>
          <w:bCs w:val="false"/>
          <w:i w:val="false"/>
          <w:iCs w:val="false"/>
          <w:sz w:val="20"/>
          <w:szCs w:val="20"/>
        </w:rPr>
        <w:t xml:space="preserve">The EPAS/HNC framework is genuinely novel (no direct competitor uses a coupled oscillator model for multi-mechanism defence). The risk is that novelty without institutional backing gets ignored rather than attacked. The play is to use the conference as a networking event, find collaborators with lab access, and propose joint experimental work that validates the framework beyond laptop batteries.</w:t>
      </w:r>
    </w:p>
    <w:p>
      <w:r>
        <w:br w:type="page"/>
      </w:r>
    </w:p>
    <w:p>
      <w:pPr>
        <w:pStyle w:val="Heading1"/>
        <w:spacing w:after="200" w:before="360"/>
      </w:pPr>
      <w:r>
        <w:rPr>
          <w:rFonts w:ascii="Arial" w:cs="Arial" w:eastAsia="Arial" w:hAnsi="Arial"/>
          <w:b/>
          <w:bCs/>
          <w:i w:val="false"/>
          <w:iCs w:val="false"/>
          <w:color w:val="1F3864"/>
          <w:sz w:val="28"/>
          <w:szCs w:val="28"/>
        </w:rPr>
        <w:t xml:space="preserve">5. DRAGONS’ DEN ANALYSIS</w:t>
      </w:r>
    </w:p>
    <w:p>
      <w:pPr>
        <w:spacing w:after="120" w:line="276"/>
        <w:jc w:val="both"/>
      </w:pPr>
      <w:r>
        <w:rPr>
          <w:rFonts w:ascii="Arial" w:cs="Arial" w:eastAsia="Arial" w:hAnsi="Arial"/>
          <w:b w:val="false"/>
          <w:bCs w:val="false"/>
          <w:i w:val="false"/>
          <w:iCs w:val="false"/>
          <w:sz w:val="20"/>
          <w:szCs w:val="20"/>
        </w:rPr>
        <w:t xml:space="preserve">Imagining five investors/evaluators reviewing these papers. What do they see, what do they ask, and where do they pounce?</w:t>
      </w:r>
    </w:p>
    <w:p>
      <w:pPr>
        <w:pStyle w:val="Heading2"/>
        <w:spacing w:after="120" w:before="280"/>
      </w:pPr>
      <w:r>
        <w:rPr>
          <w:rFonts w:ascii="Arial" w:cs="Arial" w:eastAsia="Arial" w:hAnsi="Arial"/>
          <w:b/>
          <w:bCs/>
          <w:i w:val="false"/>
          <w:iCs w:val="false"/>
          <w:color w:val="2E75B6"/>
          <w:sz w:val="24"/>
          <w:szCs w:val="24"/>
        </w:rPr>
        <w:t xml:space="preserve">5.1 The Technical Dragon (Prof. Engineering)</w:t>
      </w:r>
    </w:p>
    <w:p>
      <w:pPr>
        <w:spacing w:after="120" w:line="276"/>
        <w:jc w:val="both"/>
      </w:pPr>
      <w:r>
        <w:rPr>
          <w:rFonts w:ascii="Arial" w:cs="Arial" w:eastAsia="Arial" w:hAnsi="Arial"/>
          <w:b/>
          <w:bCs/>
          <w:i/>
          <w:iCs/>
          <w:sz w:val="20"/>
          <w:szCs w:val="20"/>
        </w:rPr>
        <w:t xml:space="preserve">“Show me something that works.” </w:t>
      </w:r>
    </w:p>
    <w:p>
      <w:pPr>
        <w:spacing w:after="120" w:line="276"/>
        <w:jc w:val="both"/>
      </w:pPr>
      <w:r>
        <w:rPr>
          <w:rFonts w:ascii="Arial" w:cs="Arial" w:eastAsia="Arial" w:hAnsi="Arial"/>
          <w:b w:val="false"/>
          <w:bCs w:val="false"/>
          <w:i w:val="false"/>
          <w:iCs w:val="false"/>
          <w:sz w:val="20"/>
          <w:szCs w:val="20"/>
        </w:rPr>
        <w:t xml:space="preserve">This dragon respects the first-principles derivations and honest gap assessment. They’ll note the 24.2 T is below the 45 T record and nod. They’ll appreciate the sensitivity analysis showing a 2.0 T demonstrator is buildable. But they’ll zero in on: “You’ve never actually built a demonstrator. You’ve measured laptop battery drain. That’s a 12-order-of-magnitude gap from a launch system. Why should I believe your extrapolation?”</w:t>
      </w:r>
    </w:p>
    <w:p>
      <w:pPr>
        <w:spacing w:after="120" w:line="276"/>
        <w:jc w:val="both"/>
      </w:pPr>
      <w:r>
        <w:rPr>
          <w:rFonts w:ascii="Arial" w:cs="Arial" w:eastAsia="Arial" w:hAnsi="Arial"/>
          <w:b/>
          <w:bCs/>
          <w:i w:val="false"/>
          <w:iCs w:val="false"/>
          <w:sz w:val="20"/>
          <w:szCs w:val="20"/>
        </w:rPr>
        <w:t xml:space="preserve">Defence: </w:t>
      </w:r>
      <w:r>
        <w:rPr>
          <w:rFonts w:ascii="Arial" w:cs="Arial" w:eastAsia="Arial" w:hAnsi="Arial"/>
          <w:b w:val="false"/>
          <w:bCs w:val="false"/>
          <w:i w:val="false"/>
          <w:iCs w:val="false"/>
          <w:sz w:val="20"/>
          <w:szCs w:val="20"/>
        </w:rPr>
        <w:t xml:space="preserve">Don’t try to bridge the gap in one step. The answer is: “The demonstrator at 2.0 T is our next milestone. The BLE experiments validate the frequency selection principle, not the energy scale. We’re proposing a research programme, not a product launch.”</w:t>
      </w:r>
    </w:p>
    <w:p>
      <w:pPr>
        <w:pStyle w:val="Heading2"/>
        <w:spacing w:after="120" w:before="280"/>
      </w:pPr>
      <w:r>
        <w:rPr>
          <w:rFonts w:ascii="Arial" w:cs="Arial" w:eastAsia="Arial" w:hAnsi="Arial"/>
          <w:b/>
          <w:bCs/>
          <w:i w:val="false"/>
          <w:iCs w:val="false"/>
          <w:color w:val="2E75B6"/>
          <w:sz w:val="24"/>
          <w:szCs w:val="24"/>
        </w:rPr>
        <w:t xml:space="preserve">5.2 The Business Dragon (Investor)</w:t>
      </w:r>
    </w:p>
    <w:p>
      <w:pPr>
        <w:spacing w:after="120" w:line="276"/>
        <w:jc w:val="both"/>
      </w:pPr>
      <w:r>
        <w:rPr>
          <w:rFonts w:ascii="Arial" w:cs="Arial" w:eastAsia="Arial" w:hAnsi="Arial"/>
          <w:b/>
          <w:bCs/>
          <w:i/>
          <w:iCs/>
          <w:sz w:val="20"/>
          <w:szCs w:val="20"/>
        </w:rPr>
        <w:t xml:space="preserve">“What’s the market and when do I get my money back?” </w:t>
      </w:r>
    </w:p>
    <w:p>
      <w:pPr>
        <w:spacing w:after="120" w:line="276"/>
        <w:jc w:val="both"/>
      </w:pPr>
      <w:r>
        <w:rPr>
          <w:rFonts w:ascii="Arial" w:cs="Arial" w:eastAsia="Arial" w:hAnsi="Arial"/>
          <w:b w:val="false"/>
          <w:bCs w:val="false"/>
          <w:i w:val="false"/>
          <w:iCs w:val="false"/>
          <w:sz w:val="20"/>
          <w:szCs w:val="20"/>
        </w:rPr>
        <w:t xml:space="preserve">This dragon hears “25-40 year roadmap” and their eyes glaze over. No VC fund has that horizon. But they perk up at: 80 kg defence system replacing 80-120 kg Whipple shields on a $500M spacecraft. If Druid works, every satellite manufacturer is a customer. The TAM for spacecraft protection is growing with the LEO constellation boom (Starlink, OneWeb, Kuiper).</w:t>
      </w:r>
    </w:p>
    <w:p>
      <w:pPr>
        <w:spacing w:after="120" w:line="276"/>
        <w:jc w:val="both"/>
      </w:pPr>
      <w:r>
        <w:rPr>
          <w:rFonts w:ascii="Arial" w:cs="Arial" w:eastAsia="Arial" w:hAnsi="Arial"/>
          <w:b/>
          <w:bCs/>
          <w:i w:val="false"/>
          <w:iCs w:val="false"/>
          <w:sz w:val="20"/>
          <w:szCs w:val="20"/>
        </w:rPr>
        <w:t xml:space="preserve">Defence: </w:t>
      </w:r>
      <w:r>
        <w:rPr>
          <w:rFonts w:ascii="Arial" w:cs="Arial" w:eastAsia="Arial" w:hAnsi="Arial"/>
          <w:b w:val="false"/>
          <w:bCs w:val="false"/>
          <w:i w:val="false"/>
          <w:iCs w:val="false"/>
          <w:sz w:val="20"/>
          <w:szCs w:val="20"/>
        </w:rPr>
        <w:t xml:space="preserve">Lead with Druid, not Alfie. The defence application has a nearer-term market (48 months to TRL 6), a clear customer base (satellite manufacturers, space agencies), and a mass savings value proposition. Alfie is the long-term vision; Druid is the fundable near-term product.</w:t>
      </w:r>
    </w:p>
    <w:p>
      <w:pPr>
        <w:pStyle w:val="Heading2"/>
        <w:spacing w:after="120" w:before="280"/>
      </w:pPr>
      <w:r>
        <w:rPr>
          <w:rFonts w:ascii="Arial" w:cs="Arial" w:eastAsia="Arial" w:hAnsi="Arial"/>
          <w:b/>
          <w:bCs/>
          <w:i w:val="false"/>
          <w:iCs w:val="false"/>
          <w:color w:val="2E75B6"/>
          <w:sz w:val="24"/>
          <w:szCs w:val="24"/>
        </w:rPr>
        <w:t xml:space="preserve">5.3 The Sceptical Dragon (Peer Reviewer)</w:t>
      </w:r>
    </w:p>
    <w:p>
      <w:pPr>
        <w:spacing w:after="120" w:line="276"/>
        <w:jc w:val="both"/>
      </w:pPr>
      <w:r>
        <w:rPr>
          <w:rFonts w:ascii="Arial" w:cs="Arial" w:eastAsia="Arial" w:hAnsi="Arial"/>
          <w:b/>
          <w:bCs/>
          <w:i/>
          <w:iCs/>
          <w:sz w:val="20"/>
          <w:szCs w:val="20"/>
        </w:rPr>
        <w:t xml:space="preserve">“I’ve seen a hundred free-energy claims. Convince me this isn’t one.” </w:t>
      </w:r>
    </w:p>
    <w:p>
      <w:pPr>
        <w:spacing w:after="120" w:line="276"/>
        <w:jc w:val="both"/>
      </w:pPr>
      <w:r>
        <w:rPr>
          <w:rFonts w:ascii="Arial" w:cs="Arial" w:eastAsia="Arial" w:hAnsi="Arial"/>
          <w:b w:val="false"/>
          <w:bCs w:val="false"/>
          <w:i w:val="false"/>
          <w:iCs w:val="false"/>
          <w:sz w:val="20"/>
          <w:szCs w:val="20"/>
        </w:rPr>
        <w:t xml:space="preserve">This is the most dangerous dragon. They see ‘golden ratio’, ‘Schumann resonance’, and ‘harmonic’ in the same paper and their alarm bells go off. Every pseudoscience paper uses this language. The 64.7% battery drain reduction sounds like a free-energy claim.</w:t>
      </w:r>
    </w:p>
    <w:p>
      <w:pPr>
        <w:spacing w:after="120" w:line="276"/>
        <w:jc w:val="both"/>
      </w:pPr>
      <w:r>
        <w:rPr>
          <w:rFonts w:ascii="Arial" w:cs="Arial" w:eastAsia="Arial" w:hAnsi="Arial"/>
          <w:b/>
          <w:bCs/>
          <w:i w:val="false"/>
          <w:iCs w:val="false"/>
          <w:sz w:val="20"/>
          <w:szCs w:val="20"/>
        </w:rPr>
        <w:t xml:space="preserve">Defence: </w:t>
      </w:r>
      <w:r>
        <w:rPr>
          <w:rFonts w:ascii="Arial" w:cs="Arial" w:eastAsia="Arial" w:hAnsi="Arial"/>
          <w:b w:val="false"/>
          <w:bCs w:val="false"/>
          <w:i w:val="false"/>
          <w:iCs w:val="false"/>
          <w:sz w:val="20"/>
          <w:szCs w:val="20"/>
        </w:rPr>
        <w:t xml:space="preserve">The papers already handle this well by (a) never claiming energy creation, (b) presenting the BLE radio’s own power consumption as below measurement floor, (c) stating the 3.9% probability honestly, and (d) calling results ‘preliminary pilot observations’. In the oral presentation, lead with the engineering (Alfie’s gap analysis, Druid’s cascade), not the BLE experiments. Let the experiments support the framework, not define it.</w:t>
      </w:r>
    </w:p>
    <w:p>
      <w:pPr>
        <w:pStyle w:val="Heading2"/>
        <w:spacing w:after="120" w:before="280"/>
      </w:pPr>
      <w:r>
        <w:rPr>
          <w:rFonts w:ascii="Arial" w:cs="Arial" w:eastAsia="Arial" w:hAnsi="Arial"/>
          <w:b/>
          <w:bCs/>
          <w:i w:val="false"/>
          <w:iCs w:val="false"/>
          <w:color w:val="2E75B6"/>
          <w:sz w:val="24"/>
          <w:szCs w:val="24"/>
        </w:rPr>
        <w:t xml:space="preserve">5.4 The Military Dragon (Defence Procurement)</w:t>
      </w:r>
    </w:p>
    <w:p>
      <w:pPr>
        <w:spacing w:after="120" w:line="276"/>
        <w:jc w:val="both"/>
      </w:pPr>
      <w:r>
        <w:rPr>
          <w:rFonts w:ascii="Arial" w:cs="Arial" w:eastAsia="Arial" w:hAnsi="Arial"/>
          <w:b/>
          <w:bCs/>
          <w:i/>
          <w:iCs/>
          <w:sz w:val="20"/>
          <w:szCs w:val="20"/>
        </w:rPr>
        <w:t xml:space="preserve">“Can this protect my spacecraft/assets? When?” </w:t>
      </w:r>
    </w:p>
    <w:p>
      <w:pPr>
        <w:spacing w:after="120" w:line="276"/>
        <w:jc w:val="both"/>
      </w:pPr>
      <w:r>
        <w:rPr>
          <w:rFonts w:ascii="Arial" w:cs="Arial" w:eastAsia="Arial" w:hAnsi="Arial"/>
          <w:b w:val="false"/>
          <w:bCs w:val="false"/>
          <w:i w:val="false"/>
          <w:iCs w:val="false"/>
          <w:sz w:val="20"/>
          <w:szCs w:val="20"/>
        </w:rPr>
        <w:t xml:space="preserve">This dragon is the target audience at a military university conference. They don’t care about golden ratios — they care about threat mitigation percentages, mass budgets, power consumption, and TRL timelines. Druid speaks their language: 97.3% mitigation, 80 kg, 15 kW active, TRL 6 in 48 months.</w:t>
      </w:r>
    </w:p>
    <w:p>
      <w:pPr>
        <w:spacing w:after="120" w:line="276"/>
        <w:jc w:val="both"/>
      </w:pPr>
      <w:r>
        <w:rPr>
          <w:rFonts w:ascii="Arial" w:cs="Arial" w:eastAsia="Arial" w:hAnsi="Arial"/>
          <w:b/>
          <w:bCs/>
          <w:i w:val="false"/>
          <w:iCs w:val="false"/>
          <w:sz w:val="20"/>
          <w:szCs w:val="20"/>
        </w:rPr>
        <w:t xml:space="preserve">Defence: </w:t>
      </w:r>
      <w:r>
        <w:rPr>
          <w:rFonts w:ascii="Arial" w:cs="Arial" w:eastAsia="Arial" w:hAnsi="Arial"/>
          <w:b w:val="false"/>
          <w:bCs w:val="false"/>
          <w:i w:val="false"/>
          <w:iCs w:val="false"/>
          <w:sz w:val="20"/>
          <w:szCs w:val="20"/>
        </w:rPr>
        <w:t xml:space="preserve">This is the strongest audience for this work. Present the sensitivity analysis prominently — “even at half performance, 75.9% mitigation” is a compelling pitch. The 5 falsifiable predictions give them a test plan. The 13.56 MHz ISM band means EMC compliance. Emphasise the graceful degradation — no single point of failure.</w:t>
      </w:r>
    </w:p>
    <w:p>
      <w:pPr>
        <w:pStyle w:val="Heading2"/>
        <w:spacing w:after="120" w:before="280"/>
      </w:pPr>
      <w:r>
        <w:rPr>
          <w:rFonts w:ascii="Arial" w:cs="Arial" w:eastAsia="Arial" w:hAnsi="Arial"/>
          <w:b/>
          <w:bCs/>
          <w:i w:val="false"/>
          <w:iCs w:val="false"/>
          <w:color w:val="2E75B6"/>
          <w:sz w:val="24"/>
          <w:szCs w:val="24"/>
        </w:rPr>
        <w:t xml:space="preserve">5.5 The Academic Dragon (Collaboration Seeker)</w:t>
      </w:r>
    </w:p>
    <w:p>
      <w:pPr>
        <w:spacing w:after="120" w:line="276"/>
        <w:jc w:val="both"/>
      </w:pPr>
      <w:r>
        <w:rPr>
          <w:rFonts w:ascii="Arial" w:cs="Arial" w:eastAsia="Arial" w:hAnsi="Arial"/>
          <w:b/>
          <w:bCs/>
          <w:i/>
          <w:iCs/>
          <w:sz w:val="20"/>
          <w:szCs w:val="20"/>
        </w:rPr>
        <w:t xml:space="preserve">“Interesting framework. Can I use it? Can we publish together?” </w:t>
      </w:r>
    </w:p>
    <w:p>
      <w:pPr>
        <w:spacing w:after="120" w:line="276"/>
        <w:jc w:val="both"/>
      </w:pPr>
      <w:r>
        <w:rPr>
          <w:rFonts w:ascii="Arial" w:cs="Arial" w:eastAsia="Arial" w:hAnsi="Arial"/>
          <w:b w:val="false"/>
          <w:bCs w:val="false"/>
          <w:i w:val="false"/>
          <w:iCs w:val="false"/>
          <w:sz w:val="20"/>
          <w:szCs w:val="20"/>
        </w:rPr>
        <w:t xml:space="preserve">This is the best outcome from the conference. An academic who sees the HNC framework as a tool they can apply to their own work. The open-source repo, MIT license, and ESP32 implementation lower the collaboration barrier to near zero. Four organising institutions across three countries = four potential collaborators.</w:t>
      </w:r>
    </w:p>
    <w:p>
      <w:pPr>
        <w:spacing w:after="120" w:line="276"/>
        <w:jc w:val="both"/>
      </w:pPr>
      <w:r>
        <w:rPr>
          <w:rFonts w:ascii="Arial" w:cs="Arial" w:eastAsia="Arial" w:hAnsi="Arial"/>
          <w:b/>
          <w:bCs/>
          <w:i w:val="false"/>
          <w:iCs w:val="false"/>
          <w:sz w:val="20"/>
          <w:szCs w:val="20"/>
        </w:rPr>
        <w:t xml:space="preserve">Defence: </w:t>
      </w:r>
      <w:r>
        <w:rPr>
          <w:rFonts w:ascii="Arial" w:cs="Arial" w:eastAsia="Arial" w:hAnsi="Arial"/>
          <w:b w:val="false"/>
          <w:bCs w:val="false"/>
          <w:i w:val="false"/>
          <w:iCs w:val="false"/>
          <w:sz w:val="20"/>
          <w:szCs w:val="20"/>
        </w:rPr>
        <w:t xml:space="preserve">Have the GitHub repo URL on every slide. Bring a demo board (ESP32 + AD9850 + oscilloscope) if possible. Offer co-authorship on follow-up experiments. The goal isn’t to win arguments — it’s to find one collaborator with lab access.</w:t>
      </w:r>
    </w:p>
    <w:p>
      <w:pPr>
        <w:pStyle w:val="Heading2"/>
        <w:spacing w:after="120" w:before="280"/>
      </w:pPr>
      <w:r>
        <w:rPr>
          <w:rFonts w:ascii="Arial" w:cs="Arial" w:eastAsia="Arial" w:hAnsi="Arial"/>
          <w:b/>
          <w:bCs/>
          <w:i w:val="false"/>
          <w:iCs w:val="false"/>
          <w:color w:val="2E75B6"/>
          <w:sz w:val="24"/>
          <w:szCs w:val="24"/>
        </w:rPr>
        <w:t xml:space="preserve">5.6 The Unanimous Question</w:t>
      </w:r>
    </w:p>
    <w:p>
      <w:pPr>
        <w:spacing w:after="120" w:line="276"/>
        <w:jc w:val="both"/>
      </w:pPr>
      <w:r>
        <w:rPr>
          <w:rFonts w:ascii="Arial" w:cs="Arial" w:eastAsia="Arial" w:hAnsi="Arial"/>
          <w:b/>
          <w:bCs/>
          <w:i w:val="false"/>
          <w:iCs w:val="false"/>
          <w:sz w:val="20"/>
          <w:szCs w:val="20"/>
        </w:rPr>
        <w:t xml:space="preserve">All five dragons will ask the same thing: </w:t>
      </w:r>
      <w:r>
        <w:rPr>
          <w:rFonts w:ascii="Arial" w:cs="Arial" w:eastAsia="Arial" w:hAnsi="Arial"/>
          <w:b/>
          <w:bCs/>
          <w:i/>
          <w:iCs/>
          <w:sz w:val="20"/>
          <w:szCs w:val="20"/>
        </w:rPr>
        <w:t xml:space="preserve">“What’s the NEXT experiment, and how much does it cost?”</w:t>
      </w:r>
    </w:p>
    <w:p>
      <w:pPr>
        <w:spacing w:after="120" w:line="276"/>
        <w:jc w:val="both"/>
      </w:pPr>
      <w:r>
        <w:rPr>
          <w:rFonts w:ascii="Arial" w:cs="Arial" w:eastAsia="Arial" w:hAnsi="Arial"/>
          <w:b w:val="false"/>
          <w:bCs w:val="false"/>
          <w:i w:val="false"/>
          <w:iCs w:val="false"/>
          <w:sz w:val="20"/>
          <w:szCs w:val="20"/>
        </w:rPr>
        <w:t xml:space="preserve">Answer: The Druid Layer 1 validation (Prediction 1: 0.5 T magnet deflects 1 mm Al at 100 m/s by 0.2 mm over 1 m). Estimated cost: permanent magnets (£200), compressed gas particle launcher (£500), high-speed camera hire (£1,000), consumables (£300). Total: under £2,000. Achievable in any university physics lab.</w:t>
      </w:r>
    </w:p>
    <w:p>
      <w:r>
        <w:br w:type="page"/>
      </w:r>
    </w:p>
    <w:p>
      <w:pPr>
        <w:pStyle w:val="Heading1"/>
        <w:spacing w:after="200" w:before="360"/>
      </w:pPr>
      <w:r>
        <w:rPr>
          <w:rFonts w:ascii="Arial" w:cs="Arial" w:eastAsia="Arial" w:hAnsi="Arial"/>
          <w:b/>
          <w:bCs/>
          <w:i w:val="false"/>
          <w:iCs w:val="false"/>
          <w:color w:val="1F3864"/>
          <w:sz w:val="28"/>
          <w:szCs w:val="28"/>
        </w:rPr>
        <w:t xml:space="preserve">6. CRITICAL PATH TO PUBLICATION</w:t>
      </w:r>
    </w:p>
    <w:p>
      <w:pPr>
        <w:spacing w:after="120" w:line="276"/>
        <w:jc w:val="both"/>
      </w:pPr>
      <w:r>
        <w:rPr>
          <w:rFonts w:ascii="Arial" w:cs="Arial" w:eastAsia="Arial" w:hAnsi="Arial"/>
          <w:b w:val="false"/>
          <w:bCs w:val="false"/>
          <w:i w:val="false"/>
          <w:iCs w:val="false"/>
          <w:sz w:val="20"/>
          <w:szCs w:val="20"/>
        </w:rPr>
        <w:t xml:space="preserve">Based on all the above, here’s what must happen before submission deadline:</w:t>
      </w:r>
    </w:p>
    <w:p>
      <w:pPr>
        <w:pStyle w:val="Heading2"/>
        <w:spacing w:after="120" w:before="280"/>
      </w:pPr>
      <w:r>
        <w:rPr>
          <w:rFonts w:ascii="Arial" w:cs="Arial" w:eastAsia="Arial" w:hAnsi="Arial"/>
          <w:b/>
          <w:bCs/>
          <w:i w:val="false"/>
          <w:iCs w:val="false"/>
          <w:color w:val="2E75B6"/>
          <w:sz w:val="24"/>
          <w:szCs w:val="24"/>
        </w:rPr>
        <w:t xml:space="preserve">6.1 MUST DO (Format — publication depends on it)</w:t>
      </w:r>
    </w:p>
    <w:p>
      <w:pPr>
        <w:spacing w:after="120" w:line="276"/>
        <w:jc w:val="both"/>
      </w:pPr>
      <w:r>
        <w:rPr>
          <w:rFonts w:ascii="Arial" w:cs="Arial" w:eastAsia="Arial" w:hAnsi="Arial"/>
          <w:b w:val="false"/>
          <w:bCs w:val="false"/>
          <w:i w:val="false"/>
          <w:iCs w:val="false"/>
          <w:sz w:val="20"/>
          <w:szCs w:val="20"/>
        </w:rPr>
        <w:t xml:space="preserve">• Rebuild both papers on the official conference template (A4, 2-column, correct styles)</w:t>
      </w:r>
    </w:p>
    <w:p>
      <w:pPr>
        <w:spacing w:after="120" w:line="276"/>
        <w:jc w:val="both"/>
      </w:pPr>
      <w:r>
        <w:rPr>
          <w:rFonts w:ascii="Arial" w:cs="Arial" w:eastAsia="Arial" w:hAnsi="Arial"/>
          <w:b w:val="false"/>
          <w:bCs w:val="false"/>
          <w:i w:val="false"/>
          <w:iCs w:val="false"/>
          <w:sz w:val="20"/>
          <w:szCs w:val="20"/>
        </w:rPr>
        <w:t xml:space="preserve">• Convert ALL equations to OMML using the Word equation editor / programmatic OMML</w:t>
      </w:r>
    </w:p>
    <w:p>
      <w:pPr>
        <w:spacing w:after="120" w:line="276"/>
        <w:jc w:val="both"/>
      </w:pPr>
      <w:r>
        <w:rPr>
          <w:rFonts w:ascii="Arial" w:cs="Arial" w:eastAsia="Arial" w:hAnsi="Arial"/>
          <w:b w:val="false"/>
          <w:bCs w:val="false"/>
          <w:i w:val="false"/>
          <w:iCs w:val="false"/>
          <w:sz w:val="20"/>
          <w:szCs w:val="20"/>
        </w:rPr>
        <w:t xml:space="preserve">• Convert all figures to grayscale</w:t>
      </w:r>
    </w:p>
    <w:p>
      <w:pPr>
        <w:spacing w:after="120" w:line="276"/>
        <w:jc w:val="both"/>
      </w:pPr>
      <w:r>
        <w:rPr>
          <w:rFonts w:ascii="Arial" w:cs="Arial" w:eastAsia="Arial" w:hAnsi="Arial"/>
          <w:b w:val="false"/>
          <w:bCs w:val="false"/>
          <w:i w:val="false"/>
          <w:iCs w:val="false"/>
          <w:sz w:val="20"/>
          <w:szCs w:val="20"/>
        </w:rPr>
        <w:t xml:space="preserve">• Apply template’s named styles: papertitle, Author, Affiliation, Abstract, Keywords, BodyText, equation, figurecaption, references</w:t>
      </w:r>
    </w:p>
    <w:p>
      <w:pPr>
        <w:spacing w:after="120" w:line="276"/>
        <w:jc w:val="both"/>
      </w:pPr>
      <w:r>
        <w:rPr>
          <w:rFonts w:ascii="Arial" w:cs="Arial" w:eastAsia="Arial" w:hAnsi="Arial"/>
          <w:b w:val="false"/>
          <w:bCs w:val="false"/>
          <w:i w:val="false"/>
          <w:iCs w:val="false"/>
          <w:sz w:val="20"/>
          <w:szCs w:val="20"/>
        </w:rPr>
        <w:t xml:space="preserve">• Add conference headers/footers from template</w:t>
      </w:r>
    </w:p>
    <w:p>
      <w:pPr>
        <w:spacing w:after="120" w:line="276"/>
        <w:jc w:val="both"/>
      </w:pPr>
      <w:r>
        <w:rPr>
          <w:rFonts w:ascii="Arial" w:cs="Arial" w:eastAsia="Arial" w:hAnsi="Arial"/>
          <w:b w:val="false"/>
          <w:bCs w:val="false"/>
          <w:i w:val="false"/>
          <w:iCs w:val="false"/>
          <w:sz w:val="20"/>
          <w:szCs w:val="20"/>
        </w:rPr>
        <w:t xml:space="preserve">• Complete copyright/license agreement form</w:t>
      </w:r>
    </w:p>
    <w:p>
      <w:pPr>
        <w:pStyle w:val="Heading2"/>
        <w:spacing w:after="120" w:before="280"/>
      </w:pPr>
      <w:r>
        <w:rPr>
          <w:rFonts w:ascii="Arial" w:cs="Arial" w:eastAsia="Arial" w:hAnsi="Arial"/>
          <w:b/>
          <w:bCs/>
          <w:i w:val="false"/>
          <w:iCs w:val="false"/>
          <w:color w:val="2E75B6"/>
          <w:sz w:val="24"/>
          <w:szCs w:val="24"/>
        </w:rPr>
        <w:t xml:space="preserve">6.2 SHOULD DO (Quality — strengthens the papers)</w:t>
      </w:r>
    </w:p>
    <w:p>
      <w:pPr>
        <w:spacing w:after="120" w:line="276"/>
        <w:jc w:val="both"/>
      </w:pPr>
      <w:r>
        <w:rPr>
          <w:rFonts w:ascii="Arial" w:cs="Arial" w:eastAsia="Arial" w:hAnsi="Arial"/>
          <w:b w:val="false"/>
          <w:bCs w:val="false"/>
          <w:i w:val="false"/>
          <w:iCs w:val="false"/>
          <w:sz w:val="20"/>
          <w:szCs w:val="20"/>
        </w:rPr>
        <w:t xml:space="preserve">• Add DOIs to all references that have them</w:t>
      </w:r>
    </w:p>
    <w:p>
      <w:pPr>
        <w:spacing w:after="120" w:line="276"/>
        <w:jc w:val="both"/>
      </w:pPr>
      <w:r>
        <w:rPr>
          <w:rFonts w:ascii="Arial" w:cs="Arial" w:eastAsia="Arial" w:hAnsi="Arial"/>
          <w:b w:val="false"/>
          <w:bCs w:val="false"/>
          <w:i w:val="false"/>
          <w:iCs w:val="false"/>
          <w:sz w:val="20"/>
          <w:szCs w:val="20"/>
        </w:rPr>
        <w:t xml:space="preserve">• Prepare 15-minute oral presentation for each paper</w:t>
      </w:r>
    </w:p>
    <w:p>
      <w:pPr>
        <w:spacing w:after="120" w:line="276"/>
        <w:jc w:val="both"/>
      </w:pPr>
      <w:r>
        <w:rPr>
          <w:rFonts w:ascii="Arial" w:cs="Arial" w:eastAsia="Arial" w:hAnsi="Arial"/>
          <w:b w:val="false"/>
          <w:bCs w:val="false"/>
          <w:i w:val="false"/>
          <w:iCs w:val="false"/>
          <w:sz w:val="20"/>
          <w:szCs w:val="20"/>
        </w:rPr>
        <w:t xml:space="preserve">• Prepare one-page summary handout for networking</w:t>
      </w:r>
    </w:p>
    <w:p>
      <w:pPr>
        <w:spacing w:after="120" w:line="276"/>
        <w:jc w:val="both"/>
      </w:pPr>
      <w:r>
        <w:rPr>
          <w:rFonts w:ascii="Arial" w:cs="Arial" w:eastAsia="Arial" w:hAnsi="Arial"/>
          <w:b w:val="false"/>
          <w:bCs w:val="false"/>
          <w:i w:val="false"/>
          <w:iCs w:val="false"/>
          <w:sz w:val="20"/>
          <w:szCs w:val="20"/>
        </w:rPr>
        <w:t xml:space="preserve">• Create demo video of ESP32 + AD9850 generating HNC waveform</w:t>
      </w:r>
    </w:p>
    <w:p>
      <w:pPr>
        <w:pStyle w:val="Heading2"/>
        <w:spacing w:after="120" w:before="280"/>
      </w:pPr>
      <w:r>
        <w:rPr>
          <w:rFonts w:ascii="Arial" w:cs="Arial" w:eastAsia="Arial" w:hAnsi="Arial"/>
          <w:b/>
          <w:bCs/>
          <w:i w:val="false"/>
          <w:iCs w:val="false"/>
          <w:color w:val="2E75B6"/>
          <w:sz w:val="24"/>
          <w:szCs w:val="24"/>
        </w:rPr>
        <w:t xml:space="preserve">6.3 COULD DO (Strategy — maximises impact)</w:t>
      </w:r>
    </w:p>
    <w:p>
      <w:pPr>
        <w:spacing w:after="120" w:line="276"/>
        <w:jc w:val="both"/>
      </w:pPr>
      <w:r>
        <w:rPr>
          <w:rFonts w:ascii="Arial" w:cs="Arial" w:eastAsia="Arial" w:hAnsi="Arial"/>
          <w:b w:val="false"/>
          <w:bCs w:val="false"/>
          <w:i w:val="false"/>
          <w:iCs w:val="false"/>
          <w:sz w:val="20"/>
          <w:szCs w:val="20"/>
        </w:rPr>
        <w:t xml:space="preserve">• Build the £2,000 Layer 1 experiment before the conference</w:t>
      </w:r>
    </w:p>
    <w:p>
      <w:pPr>
        <w:spacing w:after="120" w:line="276"/>
        <w:jc w:val="both"/>
      </w:pPr>
      <w:r>
        <w:rPr>
          <w:rFonts w:ascii="Arial" w:cs="Arial" w:eastAsia="Arial" w:hAnsi="Arial"/>
          <w:b w:val="false"/>
          <w:bCs w:val="false"/>
          <w:i w:val="false"/>
          <w:iCs w:val="false"/>
          <w:sz w:val="20"/>
          <w:szCs w:val="20"/>
        </w:rPr>
        <w:t xml:space="preserve">• Contact organising institutions for pre-conference introductions</w:t>
      </w:r>
    </w:p>
    <w:p>
      <w:pPr>
        <w:spacing w:after="120" w:line="276"/>
        <w:jc w:val="both"/>
      </w:pPr>
      <w:r>
        <w:rPr>
          <w:rFonts w:ascii="Arial" w:cs="Arial" w:eastAsia="Arial" w:hAnsi="Arial"/>
          <w:b w:val="false"/>
          <w:bCs w:val="false"/>
          <w:i w:val="false"/>
          <w:iCs w:val="false"/>
          <w:sz w:val="20"/>
          <w:szCs w:val="20"/>
        </w:rPr>
        <w:t xml:space="preserve">• Prepare a “collaboration proposal” slide for the Q&amp;A</w:t>
      </w:r>
    </w:p>
    <w:p>
      <w:pPr>
        <w:spacing w:after="120" w:line="276"/>
        <w:jc w:val="both"/>
      </w:pPr>
      <w:r>
        <w:rPr>
          <w:rFonts w:ascii="Arial" w:cs="Arial" w:eastAsia="Arial" w:hAnsi="Arial"/>
          <w:b w:val="false"/>
          <w:bCs w:val="false"/>
          <w:i w:val="false"/>
          <w:iCs w:val="false"/>
          <w:sz w:val="20"/>
          <w:szCs w:val="20"/>
        </w:rPr>
        <w:t xml:space="preserve">• Register the EPAS framework as a formal research programme with a DOI-tracked pre-registration</w:t>
      </w:r>
    </w:p>
    <w:p>
      <w:pPr>
        <w:pStyle w:val="Heading2"/>
        <w:spacing w:after="120" w:before="280"/>
      </w:pPr>
      <w:r>
        <w:rPr>
          <w:rFonts w:ascii="Arial" w:cs="Arial" w:eastAsia="Arial" w:hAnsi="Arial"/>
          <w:b/>
          <w:bCs/>
          <w:i w:val="false"/>
          <w:iCs w:val="false"/>
          <w:color w:val="2E75B6"/>
          <w:sz w:val="24"/>
          <w:szCs w:val="24"/>
        </w:rPr>
        <w:t xml:space="preserve">6.4 Presentation Order</w:t>
      </w:r>
    </w:p>
    <w:p>
      <w:pPr>
        <w:spacing w:after="120" w:line="276"/>
        <w:jc w:val="both"/>
      </w:pPr>
      <w:r>
        <w:rPr>
          <w:rFonts w:ascii="Arial" w:cs="Arial" w:eastAsia="Arial" w:hAnsi="Arial"/>
          <w:b/>
          <w:bCs/>
          <w:i w:val="false"/>
          <w:iCs w:val="false"/>
          <w:sz w:val="20"/>
          <w:szCs w:val="20"/>
        </w:rPr>
        <w:t xml:space="preserve">Lead with Druid, follow with Alfie. </w:t>
      </w:r>
      <w:r>
        <w:rPr>
          <w:rFonts w:ascii="Arial" w:cs="Arial" w:eastAsia="Arial" w:hAnsi="Arial"/>
          <w:b w:val="false"/>
          <w:bCs w:val="false"/>
          <w:i w:val="false"/>
          <w:iCs w:val="false"/>
          <w:sz w:val="20"/>
          <w:szCs w:val="20"/>
        </w:rPr>
        <w:t xml:space="preserve">Druid is the near-term fundable application at a military university. Alfie is the long-term vision that demonstrates the framework’s breadth. If you only get attention for one, make it the one the audience can act on.</w:t>
      </w:r>
    </w:p>
    <w:p>
      <w:pPr>
        <w:spacing w:before="400"/>
      </w:pPr>
      <w:r>
        <w:rPr>
          <w:rFonts w:ascii="Arial" w:cs="Arial" w:eastAsia="Arial" w:hAnsi="Arial"/>
          <w:b w:val="false"/>
          <w:bCs w:val="false"/>
          <w:i/>
          <w:iCs/>
          <w:color w:val="999999"/>
          <w:sz w:val="20"/>
          <w:szCs w:val="20"/>
        </w:rPr>
        <w:t xml:space="preserve">— End of Audit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2026-04-09T05:50:05.572Z</dcterms:created>
  <dcterms:modified xsi:type="dcterms:W3CDTF">2026-04-09T05:50:05.572Z</dcterms:modified>
</cp:coreProperties>
</file>

<file path=docProps/custom.xml><?xml version="1.0" encoding="utf-8"?>
<Properties xmlns="http://schemas.openxmlformats.org/officeDocument/2006/custom-properties" xmlns:vt="http://schemas.openxmlformats.org/officeDocument/2006/docPropsVTypes"/>
</file>