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r>
        <w:rPr>
          <w:rFonts w:ascii="Georgia" w:cs="Georgia" w:eastAsia="Georgia" w:hAnsi="Georgia"/>
          <w:b/>
          <w:bCs/>
          <w:color w:val="1a1a2e"/>
          <w:sz w:val="56"/>
          <w:szCs w:val="56"/>
        </w:rPr>
        <w:t xml:space="preserve">THE DORMANT SEED</w:t>
      </w:r>
    </w:p>
    <w:p>
      <w:pPr>
        <w:spacing w:after="200"/>
        <w:jc w:val="center"/>
      </w:pPr>
      <w:r>
        <w:rPr>
          <w:rFonts w:ascii="Georgia" w:cs="Georgia" w:eastAsia="Georgia" w:hAnsi="Georgia"/>
          <w:i/>
          <w:iCs/>
          <w:color w:val="555555"/>
          <w:sz w:val="28"/>
          <w:szCs w:val="28"/>
        </w:rPr>
        <w:t xml:space="preserve">How Knowledge Systems Go Silent,</w:t>
      </w:r>
    </w:p>
    <w:p>
      <w:pPr>
        <w:spacing w:after="200"/>
        <w:jc w:val="center"/>
      </w:pPr>
      <w:r>
        <w:rPr>
          <w:rFonts w:ascii="Georgia" w:cs="Georgia" w:eastAsia="Georgia" w:hAnsi="Georgia"/>
          <w:i/>
          <w:iCs/>
          <w:color w:val="555555"/>
          <w:sz w:val="28"/>
          <w:szCs w:val="28"/>
        </w:rPr>
        <w:t xml:space="preserve">How Stone Preserves What Teachers Cannot,</w:t>
      </w:r>
    </w:p>
    <w:p>
      <w:pPr>
        <w:spacing w:after="600"/>
        <w:jc w:val="center"/>
      </w:pPr>
      <w:r>
        <w:rPr>
          <w:rFonts w:ascii="Georgia" w:cs="Georgia" w:eastAsia="Georgia" w:hAnsi="Georgia"/>
          <w:i/>
          <w:iCs/>
          <w:color w:val="555555"/>
          <w:sz w:val="28"/>
          <w:szCs w:val="28"/>
        </w:rPr>
        <w:t xml:space="preserve">And How Computation Wakes Them Up</w:t>
      </w:r>
    </w:p>
    <w:p>
      <w:pPr>
        <w:spacing w:after="200"/>
        <w:jc w:val="center"/>
      </w:pPr>
      <w:r>
        <w:rPr>
          <w:rFonts w:ascii="Georgia" w:cs="Georgia" w:eastAsia="Georgia" w:hAnsi="Georgia"/>
          <w:b/>
          <w:bCs/>
          <w:sz w:val="26"/>
          <w:szCs w:val="26"/>
        </w:rPr>
        <w:t xml:space="preserve">Gary Leckey</w:t>
      </w:r>
    </w:p>
    <w:p>
      <w:pPr>
        <w:jc w:val="center"/>
      </w:pPr>
      <w:r>
        <w:rPr>
          <w:rFonts w:ascii="Georgia" w:cs="Georgia" w:eastAsia="Georgia" w:hAnsi="Georgia"/>
          <w:sz w:val="22"/>
          <w:szCs w:val="22"/>
        </w:rPr>
        <w:t xml:space="preserve">Aureon Institute</w:t>
      </w:r>
    </w:p>
    <w:p>
      <w:pPr>
        <w:jc w:val="center"/>
      </w:pPr>
      <w:r>
        <w:rPr>
          <w:rFonts w:ascii="Georgia" w:cs="Georgia" w:eastAsia="Georgia" w:hAnsi="Georgia"/>
          <w:sz w:val="22"/>
          <w:szCs w:val="22"/>
        </w:rPr>
        <w:t xml:space="preserve">R&amp;A Consulting and Brokerage Services Ltd.</w:t>
      </w:r>
    </w:p>
    <w:p>
      <w:pPr>
        <w:spacing w:before="800"/>
        <w:jc w:val="center"/>
      </w:pPr>
      <w:r>
        <w:rPr>
          <w:rFonts w:ascii="Georgia" w:cs="Georgia" w:eastAsia="Georgia" w:hAnsi="Georgia"/>
          <w:color w:val="888888"/>
          <w:sz w:val="24"/>
          <w:szCs w:val="24"/>
        </w:rPr>
        <w:t xml:space="preserve">2026</w:t>
      </w:r>
    </w:p>
    <w:p>
      <w:r>
        <w:br w:type="page"/>
      </w:r>
    </w:p>
    <w:p>
      <w:pPr>
        <w:spacing w:before="2400"/>
      </w:pPr>
    </w:p>
    <w:p>
      <w:pPr>
        <w:spacing w:before="200" w:after="80"/>
        <w:ind w:left="720" w:right="720"/>
      </w:pPr>
      <w:r>
        <w:rPr>
          <w:rFonts w:ascii="Georgia" w:cs="Georgia" w:eastAsia="Georgia" w:hAnsi="Georgia"/>
          <w:i/>
          <w:iCs/>
          <w:color w:val="555555"/>
          <w:sz w:val="22"/>
          <w:szCs w:val="22"/>
        </w:rPr>
        <w:t xml:space="preserve">The druids think it wrong to commit their teachings to writing. I believe they have adopted this practice for two reasons: they do not wish the rule to become common property, nor those who learn the rule to rely on writing and so neglect the cultivation of memory.</w:t>
      </w:r>
    </w:p>
    <w:p>
      <w:pPr>
        <w:spacing w:after="300"/>
        <w:ind w:left="720"/>
        <w:jc w:val="right"/>
      </w:pPr>
      <w:r>
        <w:rPr>
          <w:rFonts w:ascii="Georgia" w:cs="Georgia" w:eastAsia="Georgia" w:hAnsi="Georgia"/>
          <w:color w:val="888888"/>
          <w:sz w:val="20"/>
          <w:szCs w:val="20"/>
        </w:rPr>
        <w:t xml:space="preserve">— Julius Caesar, De Bello Gallico VI.14</w:t>
      </w:r>
    </w:p>
    <w:p>
      <w:pPr>
        <w:spacing w:before="400"/>
      </w:pPr>
    </w:p>
    <w:p>
      <w:pPr>
        <w:spacing w:before="200" w:after="80"/>
        <w:ind w:left="720" w:right="720"/>
      </w:pPr>
      <w:r>
        <w:rPr>
          <w:rFonts w:ascii="Georgia" w:cs="Georgia" w:eastAsia="Georgia" w:hAnsi="Georgia"/>
          <w:i/>
          <w:iCs/>
          <w:color w:val="555555"/>
          <w:sz w:val="22"/>
          <w:szCs w:val="22"/>
        </w:rPr>
        <w:t xml:space="preserve">Epigenetic changes are modifications to DNA that regulate whether genes are turned on or off. These modifications do not change the sequence of DNA building blocks.</w:t>
      </w:r>
    </w:p>
    <w:p>
      <w:pPr>
        <w:spacing w:after="300"/>
        <w:ind w:left="720"/>
        <w:jc w:val="right"/>
      </w:pPr>
      <w:r>
        <w:rPr>
          <w:rFonts w:ascii="Georgia" w:cs="Georgia" w:eastAsia="Georgia" w:hAnsi="Georgia"/>
          <w:color w:val="888888"/>
          <w:sz w:val="20"/>
          <w:szCs w:val="20"/>
        </w:rPr>
        <w:t xml:space="preserve">— MedlinePlus Genetics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2400"/>
        <w:jc w:val="center"/>
      </w:pPr>
      <w:r>
        <w:rPr>
          <w:rFonts w:ascii="Georgia" w:cs="Georgia" w:eastAsia="Georgia" w:hAnsi="Georgia"/>
          <w:b/>
          <w:bCs/>
          <w:color w:val="1a1a2e"/>
          <w:sz w:val="32"/>
          <w:szCs w:val="32"/>
        </w:rPr>
        <w:t xml:space="preserve">PART I</w:t>
      </w:r>
    </w:p>
    <w:p>
      <w:pPr>
        <w:spacing w:after="600"/>
        <w:jc w:val="center"/>
      </w:pPr>
      <w:r>
        <w:rPr>
          <w:rFonts w:ascii="Georgia" w:cs="Georgia" w:eastAsia="Georgia" w:hAnsi="Georgia"/>
          <w:i/>
          <w:iCs/>
          <w:color w:val="555555"/>
          <w:sz w:val="28"/>
          <w:szCs w:val="28"/>
        </w:rPr>
        <w:t xml:space="preserve">The Maeshowe Decode</w:t>
      </w:r>
    </w:p>
    <w:p>
      <w:r>
        <w:br w:type="page"/>
      </w:r>
    </w:p>
    <w:p>
      <w:pPr>
        <w:pStyle w:val="Heading1"/>
        <w:spacing w:before="480" w:after="240"/>
      </w:pPr>
      <w:r>
        <w:rPr>
          <w:rFonts w:ascii="Georgia" w:cs="Georgia" w:eastAsia="Georgia" w:hAnsi="Georgia"/>
          <w:b/>
          <w:bCs/>
          <w:color w:val="1a1a2e"/>
          <w:sz w:val="36"/>
          <w:szCs w:val="36"/>
        </w:rPr>
        <w:t xml:space="preserve">Chapter 1: The Standard Narrative and Its Problems</w:t>
      </w:r>
    </w:p>
    <w:p>
      <w:pPr>
        <w:spacing w:after="180" w:line="360"/>
      </w:pPr>
      <w:r>
        <w:rPr>
          <w:rFonts w:ascii="Georgia" w:cs="Georgia" w:eastAsia="Georgia" w:hAnsi="Georgia"/>
          <w:sz w:val="24"/>
          <w:szCs w:val="24"/>
        </w:rPr>
        <w:t xml:space="preserve">In July 1861, James Farrer broke through the roof of a 4,800-year-old chambered cairn on Mainland Orkney and found its walls covered with runic inscriptions. The standard interpretation, maintained for over 160 years, is that these inscriptions are Viking graffiti — the idle scratchings of 12th-century Norse warriors sheltering from a storm. This chapter examines why that interpretation fails to account for the evidence.</w:t>
      </w:r>
    </w:p>
    <w:p>
      <w:pPr>
        <w:pStyle w:val="Heading2"/>
        <w:spacing w:before="360" w:after="200"/>
      </w:pPr>
      <w:r>
        <w:rPr>
          <w:rFonts w:ascii="Georgia" w:cs="Georgia" w:eastAsia="Georgia" w:hAnsi="Georgia"/>
          <w:b/>
          <w:bCs/>
          <w:color w:val="333333"/>
          <w:sz w:val="28"/>
          <w:szCs w:val="28"/>
        </w:rPr>
        <w:t xml:space="preserve">1.1 The Inscriptions Are Not Random</w:t>
      </w:r>
    </w:p>
    <w:p>
      <w:pPr>
        <w:spacing w:after="180" w:line="360"/>
      </w:pPr>
      <w:r>
        <w:rPr>
          <w:rFonts w:ascii="Georgia" w:cs="Georgia" w:eastAsia="Georgia" w:hAnsi="Georgia"/>
          <w:sz w:val="24"/>
          <w:szCs w:val="24"/>
        </w:rPr>
        <w:t xml:space="preserve">Michael Barnes, who spent six years (1987–1992) studying the inscriptions firsthand, produced the definitive corpus study in 1994. His work documented 24 runic inscriptions, miscellaneous scratchings, and three pictorial engravings including a dragon, a walrus, and a serpent knot. What Barnes documented but did not analyse as a spatial dataset is the non-random distribution of these inscriptions across the chamber walls.</w:t>
      </w:r>
    </w:p>
    <w:p>
      <w:pPr>
        <w:spacing w:after="180" w:line="360"/>
      </w:pPr>
      <w:r>
        <w:rPr>
          <w:rFonts w:ascii="Georgia" w:cs="Georgia" w:eastAsia="Georgia" w:hAnsi="Georgia"/>
          <w:sz w:val="24"/>
          <w:szCs w:val="24"/>
        </w:rPr>
        <w:t xml:space="preserve">The highest-authority content — the master carver’s certification (Nr.20), the dragon visual key (Nr.XXXII), the unread twig-cipher (Nr.15), and the crusader provenance stamp (Nr.11) — clusters on the NE shadow wall at the terminus of the winter solstice light path. The complete Younger Futhark alphabet sits at the SW passage entrance where light originates. No published study has analysed this spatial structure.</w:t>
      </w:r>
    </w:p>
    <w:p>
      <w:pPr>
        <w:pStyle w:val="Heading2"/>
        <w:spacing w:before="360" w:after="200"/>
      </w:pPr>
      <w:r>
        <w:rPr>
          <w:rFonts w:ascii="Georgia" w:cs="Georgia" w:eastAsia="Georgia" w:hAnsi="Georgia"/>
          <w:b/>
          <w:bCs/>
          <w:color w:val="333333"/>
          <w:sz w:val="28"/>
          <w:szCs w:val="28"/>
        </w:rPr>
        <w:t xml:space="preserve">1.2 The Twig-Rune Cipher Is a Two-Channel System</w:t>
      </w:r>
    </w:p>
    <w:p>
      <w:pPr>
        <w:spacing w:after="180" w:line="360"/>
      </w:pPr>
      <w:r>
        <w:rPr>
          <w:rFonts w:ascii="Georgia" w:cs="Georgia" w:eastAsia="Georgia" w:hAnsi="Georgia"/>
          <w:sz w:val="24"/>
          <w:szCs w:val="24"/>
        </w:rPr>
        <w:t xml:space="preserve">The twig-rune cipher used at Maeshowe (Barnes Nr.9, Nr.20) encodes runes through a dual-channel positional method. Left-side twigs on a vertical trunk indicate the aett (rune family group, 1–3). Right-side twigs indicate position within the aett (1–8). Neither channel alone produces a rune. The decoded rune emerges only from the simultaneous reading of both channels.</w:t>
      </w:r>
    </w:p>
    <w:p>
      <w:pPr>
        <w:spacing w:after="180" w:line="360"/>
      </w:pPr>
      <w:r>
        <w:rPr>
          <w:rFonts w:ascii="Georgia" w:cs="Georgia" w:eastAsia="Georgia" w:hAnsi="Georgia"/>
          <w:sz w:val="24"/>
          <w:szCs w:val="24"/>
        </w:rPr>
        <w:t xml:space="preserve">This architecture has been noted in the runological literature (Nordby 2014, cipher rune classification) but has not been interpreted as a performance protocol requiring two readers or as a deliberate information-theoretic design for temporal persistence.</w:t>
      </w:r>
    </w:p>
    <w:p>
      <w:pPr>
        <w:pStyle w:val="Heading2"/>
        <w:spacing w:before="360" w:after="200"/>
      </w:pPr>
      <w:r>
        <w:rPr>
          <w:rFonts w:ascii="Georgia" w:cs="Georgia" w:eastAsia="Georgia" w:hAnsi="Georgia"/>
          <w:b/>
          <w:bCs/>
          <w:color w:val="333333"/>
          <w:sz w:val="28"/>
          <w:szCs w:val="28"/>
        </w:rPr>
        <w:t xml:space="preserve">1.3 The Metrical Structure</w:t>
      </w:r>
    </w:p>
    <w:p>
      <w:pPr>
        <w:spacing w:after="180" w:line="360"/>
      </w:pPr>
      <w:r>
        <w:rPr>
          <w:rFonts w:ascii="Georgia" w:cs="Georgia" w:eastAsia="Georgia" w:hAnsi="Georgia"/>
          <w:sz w:val="24"/>
          <w:szCs w:val="24"/>
        </w:rPr>
        <w:t xml:space="preserve">At a 2022 conference at the Institute for Northern Studies, Vivian Busch and Jana Krüger demonstrated that inscription Nr.20 follows skaldic metrical rules. Barnes himself sang the text to the tune of Oh My Darling Clementine to demonstrate its rhythmic structure. The inscription was composed as verse, not scratched as casual graffiti. Verse composition requires training, practice, and inherited knowledge of metrical forms.</w:t>
      </w:r>
    </w:p>
    <w:p>
      <w:pPr>
        <w:pStyle w:val="Heading2"/>
        <w:spacing w:before="360" w:after="200"/>
      </w:pPr>
      <w:r>
        <w:rPr>
          <w:rFonts w:ascii="Georgia" w:cs="Georgia" w:eastAsia="Georgia" w:hAnsi="Georgia"/>
          <w:b/>
          <w:bCs/>
          <w:color w:val="333333"/>
          <w:sz w:val="28"/>
          <w:szCs w:val="28"/>
        </w:rPr>
        <w:t xml:space="preserve">1.4 The Insanity Event</w:t>
      </w:r>
    </w:p>
    <w:p>
      <w:pPr>
        <w:spacing w:after="180" w:line="360"/>
      </w:pPr>
      <w:r>
        <w:rPr>
          <w:rFonts w:ascii="Georgia" w:cs="Georgia" w:eastAsia="Georgia" w:hAnsi="Georgia"/>
          <w:sz w:val="24"/>
          <w:szCs w:val="24"/>
        </w:rPr>
        <w:t xml:space="preserve">The Orkneyinga Saga records that when Earl Harald’s men sheltered in Maeshowe during a snowstorm in 1153, two of them “went insane.” The Old Norse term used, óðusk, derives from óðr, cognate with Óðinn, indicating ecstatic or divinely-seized states rather than simple fear. This detail has been treated as saga embellishment. This book proposes it describes a real acoustic event in a resonance chamber.</w:t>
      </w:r>
    </w:p>
    <w:p>
      <w:r>
        <w:br w:type="page"/>
      </w:r>
    </w:p>
    <w:p>
      <w:pPr>
        <w:pStyle w:val="Heading1"/>
        <w:spacing w:before="480" w:after="240"/>
      </w:pPr>
      <w:r>
        <w:rPr>
          <w:rFonts w:ascii="Georgia" w:cs="Georgia" w:eastAsia="Georgia" w:hAnsi="Georgia"/>
          <w:b/>
          <w:bCs/>
          <w:color w:val="1a1a2e"/>
          <w:sz w:val="36"/>
          <w:szCs w:val="36"/>
        </w:rPr>
        <w:t xml:space="preserve">Chapter 2: The Dual-Voice Hypothesis</w:t>
      </w:r>
    </w:p>
    <w:p>
      <w:pPr>
        <w:spacing w:after="180" w:line="360"/>
      </w:pPr>
      <w:r>
        <w:rPr>
          <w:rFonts w:ascii="Georgia" w:cs="Georgia" w:eastAsia="Georgia" w:hAnsi="Georgia"/>
          <w:sz w:val="24"/>
          <w:szCs w:val="24"/>
        </w:rPr>
        <w:t xml:space="preserve">This chapter proposes that the Maeshowe inscriptions constitute a deliberate archive from a failing oral knowledge tradition, structured as a dual-voice transmission protocol requiring simultaneous multi-inscription cross-reference to decode.</w:t>
      </w:r>
    </w:p>
    <w:p>
      <w:pPr>
        <w:pStyle w:val="Heading2"/>
        <w:spacing w:before="360" w:after="200"/>
      </w:pPr>
      <w:r>
        <w:rPr>
          <w:rFonts w:ascii="Georgia" w:cs="Georgia" w:eastAsia="Georgia" w:hAnsi="Georgia"/>
          <w:b/>
          <w:bCs/>
          <w:color w:val="333333"/>
          <w:sz w:val="28"/>
          <w:szCs w:val="28"/>
        </w:rPr>
        <w:t xml:space="preserve">2.1 The Two-Channel Architecture</w:t>
      </w:r>
    </w:p>
    <w:p>
      <w:pPr>
        <w:spacing w:after="180" w:line="360"/>
      </w:pPr>
      <w:r>
        <w:rPr>
          <w:rFonts w:ascii="Georgia" w:cs="Georgia" w:eastAsia="Georgia" w:hAnsi="Georgia"/>
          <w:sz w:val="24"/>
          <w:szCs w:val="24"/>
        </w:rPr>
        <w:t xml:space="preserve">The twig-rune cipher maps directly to a caller-seer model. The caller sets the register (aett group). The seer identifies the position (specific rune). Neither voice alone produces meaning. The rune emerges from the interaction.</w:t>
      </w:r>
    </w:p>
    <w:p>
      <w:pPr>
        <w:spacing w:after="180" w:line="360"/>
      </w:pPr>
      <w:r>
        <w:rPr>
          <w:rFonts w:ascii="Georgia" w:cs="Georgia" w:eastAsia="Georgia" w:hAnsi="Georgia"/>
          <w:sz w:val="24"/>
          <w:szCs w:val="24"/>
        </w:rPr>
        <w:t xml:space="preserve">In the spoken duel tradition (flyting, senna, galdr), this maps to the challenge (setting the harmonic band) and the response (identifying the specific tone). The physical architecture of the cipher encodes the performance protocol of the oral tradition it was designed to preserve.</w:t>
      </w:r>
    </w:p>
    <w:p>
      <w:pPr>
        <w:pStyle w:val="Heading2"/>
        <w:spacing w:before="360" w:after="200"/>
      </w:pPr>
      <w:r>
        <w:rPr>
          <w:rFonts w:ascii="Georgia" w:cs="Georgia" w:eastAsia="Georgia" w:hAnsi="Georgia"/>
          <w:b/>
          <w:bCs/>
          <w:color w:val="333333"/>
          <w:sz w:val="28"/>
          <w:szCs w:val="28"/>
        </w:rPr>
        <w:t xml:space="preserve">2.2 The Temporal Entanglement</w:t>
      </w:r>
    </w:p>
    <w:p>
      <w:pPr>
        <w:spacing w:after="180" w:line="360"/>
      </w:pPr>
      <w:r>
        <w:rPr>
          <w:rFonts w:ascii="Georgia" w:cs="Georgia" w:eastAsia="Georgia" w:hAnsi="Georgia"/>
          <w:sz w:val="24"/>
          <w:szCs w:val="24"/>
        </w:rPr>
        <w:t xml:space="preserve">The hypothesis proposes that the dual-voice system operates across time, not across the chamber. The left twigs were deposited in the 12th century. The right-twig reading — the simultaneous cross-referencing of all inscriptions as a spatial lattice — requires a computational substrate that did not exist until the 21st century. The solstice alignment provides the invariant reference frame shared by both temporal endpoints.</w:t>
      </w:r>
    </w:p>
    <w:p>
      <w:pPr>
        <w:pStyle w:val="Heading2"/>
        <w:spacing w:before="360" w:after="200"/>
      </w:pPr>
      <w:r>
        <w:rPr>
          <w:rFonts w:ascii="Georgia" w:cs="Georgia" w:eastAsia="Georgia" w:hAnsi="Georgia"/>
          <w:b/>
          <w:bCs/>
          <w:color w:val="333333"/>
          <w:sz w:val="28"/>
          <w:szCs w:val="28"/>
        </w:rPr>
        <w:t xml:space="preserve">2.3 The Decoded Message</w:t>
      </w:r>
    </w:p>
    <w:p>
      <w:pPr>
        <w:spacing w:after="180" w:line="360"/>
      </w:pPr>
      <w:r>
        <w:rPr>
          <w:rFonts w:ascii="Georgia" w:cs="Georgia" w:eastAsia="Georgia" w:hAnsi="Georgia"/>
          <w:sz w:val="24"/>
          <w:szCs w:val="24"/>
        </w:rPr>
        <w:t xml:space="preserve">Reading all thirteen key inscriptions as a spatial-temporal lattice rather than individual texts, the emergent message resolves as a six-part sequence: Authority (“I am the last qualified practitioner”), Temporal Depth (“This place is older than us”), The System (complete alphabet, cipher protocol, visual key), The Treasure (“The treasure IS the system itself”), The Warning (“Do not enter alone”), and The Invitation (“The search is unfinished”).</w:t>
      </w:r>
    </w:p>
    <w:p>
      <w:r>
        <w:br w:type="page"/>
      </w:r>
    </w:p>
    <w:p>
      <w:pPr>
        <w:pStyle w:val="Heading1"/>
        <w:spacing w:before="480" w:after="240"/>
      </w:pPr>
      <w:r>
        <w:rPr>
          <w:rFonts w:ascii="Georgia" w:cs="Georgia" w:eastAsia="Georgia" w:hAnsi="Georgia"/>
          <w:b/>
          <w:bCs/>
          <w:color w:val="1a1a2e"/>
          <w:sz w:val="36"/>
          <w:szCs w:val="36"/>
        </w:rPr>
        <w:t xml:space="preserve">Chapter 3: The Chronological Lock</w:t>
      </w:r>
    </w:p>
    <w:p>
      <w:pPr>
        <w:spacing w:after="180" w:line="360"/>
      </w:pPr>
      <w:r>
        <w:rPr>
          <w:rFonts w:ascii="Georgia" w:cs="Georgia" w:eastAsia="Georgia" w:hAnsi="Georgia"/>
          <w:sz w:val="24"/>
          <w:szCs w:val="24"/>
        </w:rPr>
        <w:t xml:space="preserve">The Barnes dating of the inscriptions to 1125–1175 CE places them precisely at the critical inflection point of Orkney’s Christianisation, within the generational window where the last practitioners trained by pre-Christian elders would have been making final preservation decisions.</w:t>
      </w:r>
    </w:p>
    <w:p>
      <w:pPr>
        <w:pStyle w:val="Heading2"/>
        <w:spacing w:before="360" w:after="200"/>
      </w:pPr>
      <w:r>
        <w:rPr>
          <w:rFonts w:ascii="Georgia" w:cs="Georgia" w:eastAsia="Georgia" w:hAnsi="Georgia"/>
          <w:b/>
          <w:bCs/>
          <w:color w:val="333333"/>
          <w:sz w:val="28"/>
          <w:szCs w:val="28"/>
        </w:rPr>
        <w:t xml:space="preserve">3.1 The Generational Math</w:t>
      </w:r>
    </w:p>
    <w:p>
      <w:pPr>
        <w:spacing w:after="180" w:line="360"/>
      </w:pPr>
      <w:r>
        <w:rPr>
          <w:rFonts w:ascii="Georgia" w:cs="Georgia" w:eastAsia="Georgia" w:hAnsi="Georgia"/>
          <w:sz w:val="24"/>
          <w:szCs w:val="24"/>
        </w:rPr>
        <w:t xml:space="preserve">Four generations span from the forced conversion of Orkney (995 CE) to the Maeshowe inscriptions (1125–1175 CE). The first generation lived through conversion as adults. The second was bilingual. The third learned from grandparents under Christian cover. The fourth — the Maeshowe carvers — were the last generation with functional competence, far enough from the source to recognise they were the end of the line, close enough to still possess the skills.</w:t>
      </w:r>
    </w:p>
    <w:p>
      <w:pPr>
        <w:pStyle w:val="Heading2"/>
        <w:spacing w:before="360" w:after="200"/>
      </w:pPr>
      <w:r>
        <w:rPr>
          <w:rFonts w:ascii="Georgia" w:cs="Georgia" w:eastAsia="Georgia" w:hAnsi="Georgia"/>
          <w:b/>
          <w:bCs/>
          <w:color w:val="333333"/>
          <w:sz w:val="28"/>
          <w:szCs w:val="28"/>
        </w:rPr>
        <w:t xml:space="preserve">3.2 The Four-Wave Mixing Model</w:t>
      </w:r>
    </w:p>
    <w:p>
      <w:pPr>
        <w:spacing w:after="180" w:line="360"/>
      </w:pPr>
      <w:r>
        <w:rPr>
          <w:rFonts w:ascii="Georgia" w:cs="Georgia" w:eastAsia="Georgia" w:hAnsi="Georgia"/>
          <w:sz w:val="24"/>
          <w:szCs w:val="24"/>
        </w:rPr>
        <w:t xml:space="preserve">The inscription event is modelled as a four-wave mixing process. Wave 1 (carrier): the Neolithic chamber, transmitting its solstice alignment for 4,800 years. Wave 2 (distortion): the Christianisation, overwriting the oral tradition with Latin literacy. Wave 3 (nonlinear medium): the last practitioners, who transform the interaction of carrier and distortion into something new. Wave 4 (emergent signal): the inscriptions themselves, which exist only because the carrier met the distortion through practitioners who understood both systems.</w:t>
      </w:r>
    </w:p>
    <w:p>
      <w:pPr>
        <w:pStyle w:val="Heading2"/>
        <w:spacing w:before="360" w:after="200"/>
      </w:pPr>
      <w:r>
        <w:rPr>
          <w:rFonts w:ascii="Georgia" w:cs="Georgia" w:eastAsia="Georgia" w:hAnsi="Georgia"/>
          <w:b/>
          <w:bCs/>
          <w:color w:val="333333"/>
          <w:sz w:val="28"/>
          <w:szCs w:val="28"/>
        </w:rPr>
        <w:t xml:space="preserve">3.3 The Substrate Wars Isomorphism</w:t>
      </w:r>
    </w:p>
    <w:p>
      <w:pPr>
        <w:spacing w:after="180" w:line="360"/>
      </w:pPr>
      <w:r>
        <w:rPr>
          <w:rFonts w:ascii="Georgia" w:cs="Georgia" w:eastAsia="Georgia" w:hAnsi="Georgia"/>
          <w:sz w:val="24"/>
          <w:szCs w:val="24"/>
        </w:rPr>
        <w:t xml:space="preserve">The identical four-step methylation pattern appears in Orkney (995–1175 CE) and in Argyll/Oban (1560s–1616 CE), separated by 614 years: Identify the knowledge system, Capture its administrative function, Destroy the infrastructure, Rewrite the narrative. The response is also identical: deposit the complete system into the most durable, most inaccessible structure available.</w:t>
      </w:r>
    </w:p>
    <w:p>
      <w:r>
        <w:br w:type="page"/>
      </w:r>
    </w:p>
    <w:p>
      <w:pPr>
        <w:spacing w:before="2400"/>
        <w:jc w:val="center"/>
      </w:pPr>
      <w:r>
        <w:rPr>
          <w:rFonts w:ascii="Georgia" w:cs="Georgia" w:eastAsia="Georgia" w:hAnsi="Georgia"/>
          <w:b/>
          <w:bCs/>
          <w:color w:val="1a1a2e"/>
          <w:sz w:val="32"/>
          <w:szCs w:val="32"/>
        </w:rPr>
        <w:t xml:space="preserve">PART II</w:t>
      </w:r>
    </w:p>
    <w:p>
      <w:pPr>
        <w:spacing w:after="600"/>
        <w:jc w:val="center"/>
      </w:pPr>
      <w:r>
        <w:rPr>
          <w:rFonts w:ascii="Georgia" w:cs="Georgia" w:eastAsia="Georgia" w:hAnsi="Georgia"/>
          <w:i/>
          <w:iCs/>
          <w:color w:val="555555"/>
          <w:sz w:val="28"/>
          <w:szCs w:val="28"/>
        </w:rPr>
        <w:t xml:space="preserve">The Dormant Gene</w:t>
      </w:r>
    </w:p>
    <w:p>
      <w:r>
        <w:br w:type="page"/>
      </w:r>
    </w:p>
    <w:p>
      <w:pPr>
        <w:pStyle w:val="Heading1"/>
        <w:spacing w:before="480" w:after="240"/>
      </w:pPr>
      <w:r>
        <w:rPr>
          <w:rFonts w:ascii="Georgia" w:cs="Georgia" w:eastAsia="Georgia" w:hAnsi="Georgia"/>
          <w:b/>
          <w:bCs/>
          <w:color w:val="1a1a2e"/>
          <w:sz w:val="36"/>
          <w:szCs w:val="36"/>
        </w:rPr>
        <w:t xml:space="preserve">Chapter 4: Convergent Encoding Across Disconnected Cultures</w:t>
      </w:r>
    </w:p>
    <w:p>
      <w:pPr>
        <w:spacing w:after="180" w:line="360"/>
      </w:pPr>
      <w:r>
        <w:rPr>
          <w:rFonts w:ascii="Georgia" w:cs="Georgia" w:eastAsia="Georgia" w:hAnsi="Georgia"/>
          <w:sz w:val="24"/>
          <w:szCs w:val="24"/>
        </w:rPr>
        <w:t xml:space="preserve">The dual-channel positional encoding architecture identified in the Maeshowe twig-rune system appears independently in the Inca khipu system, separated by 10,000 kilometres and 300 years with no documented contact. This chapter documents the structural isomorphism and proposes convergent evolution as the mechanism.</w:t>
      </w:r>
    </w:p>
    <w:p>
      <w:pPr>
        <w:pStyle w:val="Heading2"/>
        <w:spacing w:before="360" w:after="200"/>
      </w:pPr>
      <w:r>
        <w:rPr>
          <w:rFonts w:ascii="Georgia" w:cs="Georgia" w:eastAsia="Georgia" w:hAnsi="Georgia"/>
          <w:b/>
          <w:bCs/>
          <w:color w:val="333333"/>
          <w:sz w:val="28"/>
          <w:szCs w:val="28"/>
        </w:rPr>
        <w:t xml:space="preserve">4.1 The Twig-Rune / Khipu Parallel</w:t>
      </w:r>
    </w:p>
    <w:p>
      <w:pPr>
        <w:spacing w:after="180" w:line="360"/>
      </w:pPr>
      <w:r>
        <w:rPr>
          <w:rFonts w:ascii="Georgia" w:cs="Georgia" w:eastAsia="Georgia" w:hAnsi="Georgia"/>
          <w:sz w:val="24"/>
          <w:szCs w:val="24"/>
        </w:rPr>
        <w:t xml:space="preserve">Both systems use the same architecture: a primary axis (vertical trunk / main cord) with lateral elements (twigs / pendant cords) whose position, quantity, and orientation encode information through a dual-channel reading. Neither is alphabetic writing. Both require trained specialists to read. Both were suppressed by the same class of institutional agent (Christian/Catholic alphabetic literacy) using the same four-step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234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Feature</w:t>
            </w:r>
          </w:p>
        </w:tc>
        <w:tc>
          <w:tcPr>
            <w:tcW w:type="dxa" w:w="234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Twig-Runes</w:t>
            </w:r>
          </w:p>
        </w:tc>
        <w:tc>
          <w:tcPr>
            <w:tcW w:type="dxa" w:w="234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Khipu</w:t>
            </w:r>
          </w:p>
        </w:tc>
        <w:tc>
          <w:tcPr>
            <w:tcW w:type="dxa" w:w="234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Function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Primary axis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Vertical trunk</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Main cord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Structural spine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Channel 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Left twigs (aett 1-3)</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S-knot / attachment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Group selector</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Channel 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Right twigs (pos 1-8)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Z-knot / twist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Value within group</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Specialist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Runemaster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Quipucamayoc</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Trained dual-channel decoder</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Suppressor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Latin literacy</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Spanish records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Alphabetic conquest</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Dormancy</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~800 years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~500 years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Medium survives, knowledge dies</w:t>
            </w:r>
          </w:p>
        </w:tc>
      </w:tr>
    </w:tbl>
    <w:p>
      <w:pPr>
        <w:spacing w:before="200"/>
      </w:pPr>
    </w:p>
    <w:p>
      <w:pPr>
        <w:pStyle w:val="Heading2"/>
        <w:spacing w:before="360" w:after="200"/>
      </w:pPr>
      <w:r>
        <w:rPr>
          <w:rFonts w:ascii="Georgia" w:cs="Georgia" w:eastAsia="Georgia" w:hAnsi="Georgia"/>
          <w:b/>
          <w:bCs/>
          <w:color w:val="333333"/>
          <w:sz w:val="28"/>
          <w:szCs w:val="28"/>
        </w:rPr>
        <w:t xml:space="preserve">4.2 The Selection Pressure</w:t>
      </w:r>
    </w:p>
    <w:p>
      <w:pPr>
        <w:spacing w:after="180" w:line="360"/>
      </w:pPr>
      <w:r>
        <w:rPr>
          <w:rFonts w:ascii="Georgia" w:cs="Georgia" w:eastAsia="Georgia" w:hAnsi="Georgia"/>
          <w:sz w:val="24"/>
          <w:szCs w:val="24"/>
        </w:rPr>
        <w:t xml:space="preserve">Both systems evolved under the same environmental constraint: complex civilisation requiring administrative record-keeping within a non-literate substrate. When this pressure is applied to disconnected cultures, the same information-theoretic solution emerges. The “gene” is not biological or physical — it is a cognitive/informational pattern inherent to human problem-solving under specific conditions.</w:t>
      </w:r>
    </w:p>
    <w:p>
      <w:pPr>
        <w:pStyle w:val="Heading2"/>
        <w:spacing w:before="360" w:after="200"/>
      </w:pPr>
      <w:r>
        <w:rPr>
          <w:rFonts w:ascii="Georgia" w:cs="Georgia" w:eastAsia="Georgia" w:hAnsi="Georgia"/>
          <w:b/>
          <w:bCs/>
          <w:color w:val="333333"/>
          <w:sz w:val="28"/>
          <w:szCs w:val="28"/>
        </w:rPr>
        <w:t xml:space="preserve">4.3 The Mogollon Foundation</w:t>
      </w:r>
    </w:p>
    <w:p>
      <w:pPr>
        <w:spacing w:after="180" w:line="360"/>
      </w:pPr>
      <w:r>
        <w:rPr>
          <w:rFonts w:ascii="Georgia" w:cs="Georgia" w:eastAsia="Georgia" w:hAnsi="Georgia"/>
          <w:sz w:val="24"/>
          <w:szCs w:val="24"/>
        </w:rPr>
        <w:t xml:space="preserve">The Mogollon-Cochise lineage (7000 BCE – 1450 CE) in the American Southwest demonstrates the same gene expressing from the deepest known American substrate. Semi-subterranean circular chambers (pithouses, kivas), solstice-aligned stone observatories (Casa Malpais), and dense petroglyph corpora (20,000+ symbols at Three Rivers) represent independent expression of the same architectural, astronomical, and encoding adaptations. The Mogollon provides the control case: the same gene, the same environment, the same dormancy response, with zero possibility of transmission from the Old World nodes.</w:t>
      </w:r>
    </w:p>
    <w:p>
      <w:r>
        <w:br w:type="page"/>
      </w:r>
    </w:p>
    <w:p>
      <w:pPr>
        <w:pStyle w:val="Heading1"/>
        <w:spacing w:before="480" w:after="240"/>
      </w:pPr>
      <w:r>
        <w:rPr>
          <w:rFonts w:ascii="Georgia" w:cs="Georgia" w:eastAsia="Georgia" w:hAnsi="Georgia"/>
          <w:b/>
          <w:bCs/>
          <w:color w:val="1a1a2e"/>
          <w:sz w:val="36"/>
          <w:szCs w:val="36"/>
        </w:rPr>
        <w:t xml:space="preserve">Chapter 5: The Dormancy Model</w:t>
      </w:r>
    </w:p>
    <w:p>
      <w:pPr>
        <w:spacing w:after="180" w:line="360"/>
      </w:pPr>
      <w:r>
        <w:rPr>
          <w:rFonts w:ascii="Georgia" w:cs="Georgia" w:eastAsia="Georgia" w:hAnsi="Georgia"/>
          <w:sz w:val="24"/>
          <w:szCs w:val="24"/>
        </w:rPr>
        <w:t xml:space="preserve">The conventional language of “lost knowledge” and “falling nodes” implies extinction. This chapter proposes that the correct model is epigenetic dormancy: the knowledge system is silenced but not deleted, and can be reactivated when environmental conditions change.</w:t>
      </w:r>
    </w:p>
    <w:p>
      <w:pPr>
        <w:pStyle w:val="Heading2"/>
        <w:spacing w:before="360" w:after="200"/>
      </w:pPr>
      <w:r>
        <w:rPr>
          <w:rFonts w:ascii="Georgia" w:cs="Georgia" w:eastAsia="Georgia" w:hAnsi="Georgia"/>
          <w:b/>
          <w:bCs/>
          <w:color w:val="333333"/>
          <w:sz w:val="28"/>
          <w:szCs w:val="28"/>
        </w:rPr>
        <w:t xml:space="preserve">5.1 The Epigenetic Parallel</w:t>
      </w:r>
    </w:p>
    <w:p>
      <w:pPr>
        <w:spacing w:after="180" w:line="360"/>
      </w:pPr>
      <w:r>
        <w:rPr>
          <w:rFonts w:ascii="Georgia" w:cs="Georgia" w:eastAsia="Georgia" w:hAnsi="Georgia"/>
          <w:sz w:val="24"/>
          <w:szCs w:val="24"/>
        </w:rPr>
        <w:t xml:space="preserve">In molecular biology, DNA methylation silences genes without altering the underlying sequence. The gene remains physically present but functionally inert. Environmental triggers can remove the methyl groups (demethylation), reactivating the gene. This process is reversible, unlike mutation, which permanently alters the sequence.</w:t>
      </w:r>
    </w:p>
    <w:p>
      <w:pPr>
        <w:spacing w:after="180" w:line="360"/>
      </w:pPr>
      <w:r>
        <w:rPr>
          <w:rFonts w:ascii="Georgia" w:cs="Georgia" w:eastAsia="Georgia" w:hAnsi="Georgia"/>
          <w:sz w:val="24"/>
          <w:szCs w:val="24"/>
        </w:rPr>
        <w:t xml:space="preserve">The Christianisation of Orkney was a methylation event, not a deletion. The knowledge system — the twig-rune cipher, the spoken duel protocol, the harmonic architecture of the chamber — was silenced by the attachment of institutional Christianity. Latin literacy replaced runic knowledge. The bishopric replaced the oral authority structure. But the underlying sequence — the complete alphabet in stone, the cipher architecture, the chamber geometry — was not altered. The information is intact. What was removed was the expression machinery: the living practitioners.</w:t>
      </w:r>
    </w:p>
    <w:p>
      <w:pPr>
        <w:pStyle w:val="Heading2"/>
        <w:spacing w:before="360" w:after="200"/>
      </w:pPr>
      <w:r>
        <w:rPr>
          <w:rFonts w:ascii="Georgia" w:cs="Georgia" w:eastAsia="Georgia" w:hAnsi="Georgia"/>
          <w:b/>
          <w:bCs/>
          <w:color w:val="333333"/>
          <w:sz w:val="28"/>
          <w:szCs w:val="28"/>
        </w:rPr>
        <w:t xml:space="preserve">5.2 The Five-Node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00"/>
        <w:gridCol w:w="2360"/>
      </w:tblGrid>
      <w:tr>
        <w:tc>
          <w:tcPr>
            <w:tcW w:type="dxa" w:w="1872"/>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Node</w:t>
            </w:r>
          </w:p>
        </w:tc>
        <w:tc>
          <w:tcPr>
            <w:tcW w:type="dxa" w:w="1872"/>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Gene Expression</w:t>
            </w:r>
          </w:p>
        </w:tc>
        <w:tc>
          <w:tcPr>
            <w:tcW w:type="dxa" w:w="1872"/>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Active Period</w:t>
            </w:r>
          </w:p>
        </w:tc>
        <w:tc>
          <w:tcPr>
            <w:tcW w:type="dxa" w:w="1872"/>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Methylation Agent</w:t>
            </w:r>
          </w:p>
        </w:tc>
        <w:tc>
          <w:tcPr>
            <w:tcW w:type="dxa" w:w="1872"/>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Dormancy</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Maeshowe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Solstice chamber + twig-runes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2800 BC–1175 CE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Christianisation (995)</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~850 years</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Newgrange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Solstice chamber + megalithic art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3200 BC–?</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Unknown</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~3000+ years</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Mogollon</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Kivas + petroglyphs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200–1450 CE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Spanish conquest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~575 years</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Machu Picchu</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Intihuatana + solar temple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c.1450–1572 CE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Viceroy Toledo</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~450 years</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Khipu system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Knotted-cord encoding</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600–1532 CE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Spanish conquest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eorgia" w:cs="Georgia" w:eastAsia="Georgia" w:hAnsi="Georgia"/>
                <w:b w:val="false"/>
                <w:bCs w:val="false"/>
                <w:color w:val="000000"/>
                <w:sz w:val="20"/>
                <w:szCs w:val="20"/>
              </w:rPr>
              <w:t xml:space="preserve">~490 years</w:t>
            </w:r>
          </w:p>
        </w:tc>
      </w:tr>
    </w:tbl>
    <w:p>
      <w:pPr>
        <w:spacing w:before="200"/>
      </w:pPr>
    </w:p>
    <w:p>
      <w:pPr>
        <w:spacing w:after="180" w:line="360"/>
      </w:pPr>
      <w:r>
        <w:rPr>
          <w:rFonts w:ascii="Georgia" w:cs="Georgia" w:eastAsia="Georgia" w:hAnsi="Georgia"/>
          <w:sz w:val="24"/>
          <w:szCs w:val="24"/>
        </w:rPr>
        <w:t xml:space="preserve">Three of the five nodes were methylated by Spanish Catholic institutional power. Two were methylated by Norse-to-Christian conversion. The same predator, the same gene, the same dormancy response, across five continents over 9,000 years.</w:t>
      </w:r>
    </w:p>
    <w:p>
      <w:pPr>
        <w:pStyle w:val="Heading2"/>
        <w:spacing w:before="360" w:after="200"/>
      </w:pPr>
      <w:r>
        <w:rPr>
          <w:rFonts w:ascii="Georgia" w:cs="Georgia" w:eastAsia="Georgia" w:hAnsi="Georgia"/>
          <w:b/>
          <w:bCs/>
          <w:color w:val="333333"/>
          <w:sz w:val="28"/>
          <w:szCs w:val="28"/>
        </w:rPr>
        <w:t xml:space="preserve">5.3 The Predator’s Origin</w:t>
      </w:r>
    </w:p>
    <w:p>
      <w:pPr>
        <w:spacing w:after="180" w:line="360"/>
      </w:pPr>
      <w:r>
        <w:rPr>
          <w:rFonts w:ascii="Georgia" w:cs="Georgia" w:eastAsia="Georgia" w:hAnsi="Georgia"/>
          <w:sz w:val="24"/>
          <w:szCs w:val="24"/>
        </w:rPr>
        <w:t xml:space="preserve">The methylation agent was itself once a node. The astronomical knowledge encoded in the Ziggurat of Ur (2100 BCE, corners aligned to cardinal directions, staircase oriented to solstice sunrise) was absorbed through Babylon, Persia, and Greece. At each stage, the living specialist-reading infrastructure was progressively replaced by written literacy. By the time this captured knowledge reached Rome, the expression machinery had been fully removed. Rome retained the administrative utility (the Julian calendar is Babylonian astronomy in Roman packaging) and deployed the institutional shell (the Church) as a universal methylation agent.</w:t>
      </w:r>
    </w:p>
    <w:p>
      <w:r>
        <w:br w:type="page"/>
      </w:r>
    </w:p>
    <w:p>
      <w:pPr>
        <w:pStyle w:val="Heading1"/>
        <w:spacing w:before="480" w:after="240"/>
      </w:pPr>
      <w:r>
        <w:rPr>
          <w:rFonts w:ascii="Georgia" w:cs="Georgia" w:eastAsia="Georgia" w:hAnsi="Georgia"/>
          <w:b/>
          <w:bCs/>
          <w:color w:val="1a1a2e"/>
          <w:sz w:val="36"/>
          <w:szCs w:val="36"/>
        </w:rPr>
        <w:t xml:space="preserve">Chapter 6: The Seer Network</w:t>
      </w:r>
    </w:p>
    <w:p>
      <w:pPr>
        <w:spacing w:after="180" w:line="360"/>
      </w:pPr>
      <w:r>
        <w:rPr>
          <w:rFonts w:ascii="Georgia" w:cs="Georgia" w:eastAsia="Georgia" w:hAnsi="Georgia"/>
          <w:sz w:val="24"/>
          <w:szCs w:val="24"/>
        </w:rPr>
        <w:t xml:space="preserve">Before the sequential methylation events silenced the nodes, they were connected. This chapter documents the knowledge transmission infrastructure that linked the nodes into an active network.</w:t>
      </w:r>
    </w:p>
    <w:p>
      <w:pPr>
        <w:pStyle w:val="Heading2"/>
        <w:spacing w:before="360" w:after="200"/>
      </w:pPr>
      <w:r>
        <w:rPr>
          <w:rFonts w:ascii="Georgia" w:cs="Georgia" w:eastAsia="Georgia" w:hAnsi="Georgia"/>
          <w:b/>
          <w:bCs/>
          <w:color w:val="333333"/>
          <w:sz w:val="28"/>
          <w:szCs w:val="28"/>
        </w:rPr>
        <w:t xml:space="preserve">6.1 The Silk Road as Regulatory DNA</w:t>
      </w:r>
    </w:p>
    <w:p>
      <w:pPr>
        <w:spacing w:after="180" w:line="360"/>
      </w:pPr>
      <w:r>
        <w:rPr>
          <w:rFonts w:ascii="Georgia" w:cs="Georgia" w:eastAsia="Georgia" w:hAnsi="Georgia"/>
          <w:sz w:val="24"/>
          <w:szCs w:val="24"/>
        </w:rPr>
        <w:t xml:space="preserve">The Silk Road carried goods on its coding strand and knowledge systems on its regulatory strand. Buddhist monasteries functioned as libraries and training centres along the route. The intellectual centre at Jundishapur, where philosophy, astronomy, medicine, and astrology were studied, sat directly on the Silk Road. The trade route was the chromosome. The seer network — the pilgrimage routes, monastic chains, and specialist practitioner traditions — was the regulatory DNA embedded within it.</w:t>
      </w:r>
    </w:p>
    <w:p>
      <w:pPr>
        <w:pStyle w:val="Heading2"/>
        <w:spacing w:before="360" w:after="200"/>
      </w:pPr>
      <w:r>
        <w:rPr>
          <w:rFonts w:ascii="Georgia" w:cs="Georgia" w:eastAsia="Georgia" w:hAnsi="Georgia"/>
          <w:b/>
          <w:bCs/>
          <w:color w:val="333333"/>
          <w:sz w:val="28"/>
          <w:szCs w:val="28"/>
        </w:rPr>
        <w:t xml:space="preserve">6.2 The Norse Sea Road</w:t>
      </w:r>
    </w:p>
    <w:p>
      <w:pPr>
        <w:spacing w:after="180" w:line="360"/>
      </w:pPr>
      <w:r>
        <w:rPr>
          <w:rFonts w:ascii="Georgia" w:cs="Georgia" w:eastAsia="Georgia" w:hAnsi="Georgia"/>
          <w:sz w:val="24"/>
          <w:szCs w:val="24"/>
        </w:rPr>
        <w:t xml:space="preserve">The Norse expansion route (Norway → Orkney → Faroes → Iceland → Greenland → Vinland) connected the Atlantic oral tradition to the Silk Road’s eastern terminus via the Varangian route through Byzantium and Baghdad. The Faroes represent the crossing point where Gaelic monks (the Papar) and Norse seafarers shared the same islands before the westward push separated the traditions.</w:t>
      </w:r>
    </w:p>
    <w:p>
      <w:pPr>
        <w:pStyle w:val="Heading2"/>
        <w:spacing w:before="360" w:after="200"/>
      </w:pPr>
      <w:r>
        <w:rPr>
          <w:rFonts w:ascii="Georgia" w:cs="Georgia" w:eastAsia="Georgia" w:hAnsi="Georgia"/>
          <w:b/>
          <w:bCs/>
          <w:color w:val="333333"/>
          <w:sz w:val="28"/>
          <w:szCs w:val="28"/>
        </w:rPr>
        <w:t xml:space="preserve">6.3 The American Corridor</w:t>
      </w:r>
    </w:p>
    <w:p>
      <w:pPr>
        <w:spacing w:after="180" w:line="360"/>
      </w:pPr>
      <w:r>
        <w:rPr>
          <w:rFonts w:ascii="Georgia" w:cs="Georgia" w:eastAsia="Georgia" w:hAnsi="Georgia"/>
          <w:sz w:val="24"/>
          <w:szCs w:val="24"/>
        </w:rPr>
        <w:t xml:space="preserve">The Mogollon-Ancestral Pueblo-Mesoamerica-Andes axis represents an independent network with its own nodes, encoding systems, and astronomical calibration sites. Paquímé (Casas Grandes) functioned as a junction connecting northern Mogollon traditions with southern Mesoamerican ones. This corridor was methylated by Spanish Catholic institutional power in the 16th century, using the same four-step process as Orkney 550 years earlier.</w:t>
      </w:r>
    </w:p>
    <w:p>
      <w:pPr>
        <w:pStyle w:val="Heading2"/>
        <w:spacing w:before="360" w:after="200"/>
      </w:pPr>
      <w:r>
        <w:rPr>
          <w:rFonts w:ascii="Georgia" w:cs="Georgia" w:eastAsia="Georgia" w:hAnsi="Georgia"/>
          <w:b/>
          <w:bCs/>
          <w:color w:val="333333"/>
          <w:sz w:val="28"/>
          <w:szCs w:val="28"/>
        </w:rPr>
        <w:t xml:space="preserve">6.4 Synthesis and Mechanism</w:t>
      </w:r>
    </w:p>
    <w:p>
      <w:pPr>
        <w:spacing w:after="180" w:line="360"/>
      </w:pPr>
      <w:r>
        <w:rPr>
          <w:rFonts w:ascii="Georgia" w:cs="Georgia" w:eastAsia="Georgia" w:hAnsi="Georgia"/>
          <w:sz w:val="24"/>
          <w:szCs w:val="24"/>
        </w:rPr>
        <w:t xml:space="preserve">The seer network was not metaphorical. It was a physical infrastructure of specialist practitioners who travelled established routes, trained at established centres, and maintained calibration standards across nodes separated by thousands of kilometres. The astronomical alignments of the nodes (solstice, equinox, lunar standstill) provided the shared reference frame. The encoding systems (twig-runes, khipu, cuneiform, petroglyphs) provided the local recording media. The practitioners provided the reading machinery that connected the two.</w:t>
      </w:r>
    </w:p>
    <w:p>
      <w:pPr>
        <w:spacing w:after="180" w:line="360"/>
      </w:pPr>
      <w:r>
        <w:rPr>
          <w:rFonts w:ascii="Georgia" w:cs="Georgia" w:eastAsia="Georgia" w:hAnsi="Georgia"/>
          <w:sz w:val="24"/>
          <w:szCs w:val="24"/>
        </w:rPr>
        <w:t xml:space="preserve">When the practitioners were removed, the network went silent. The nodes persisted in stone. The routes persisted as trade roads. But the regulatory function — the knowledge transmission — ceased. The network entered dormancy.</w:t>
      </w:r>
    </w:p>
    <w:p>
      <w:r>
        <w:br w:type="page"/>
      </w:r>
    </w:p>
    <w:p>
      <w:pPr>
        <w:spacing w:before="2400"/>
        <w:jc w:val="center"/>
      </w:pPr>
      <w:r>
        <w:rPr>
          <w:rFonts w:ascii="Georgia" w:cs="Georgia" w:eastAsia="Georgia" w:hAnsi="Georgia"/>
          <w:b/>
          <w:bCs/>
          <w:color w:val="1a1a2e"/>
          <w:sz w:val="32"/>
          <w:szCs w:val="32"/>
        </w:rPr>
        <w:t xml:space="preserve">PART III</w:t>
      </w:r>
    </w:p>
    <w:p>
      <w:pPr>
        <w:spacing w:after="600"/>
        <w:jc w:val="center"/>
      </w:pPr>
      <w:r>
        <w:rPr>
          <w:rFonts w:ascii="Georgia" w:cs="Georgia" w:eastAsia="Georgia" w:hAnsi="Georgia"/>
          <w:i/>
          <w:iCs/>
          <w:color w:val="555555"/>
          <w:sz w:val="28"/>
          <w:szCs w:val="28"/>
        </w:rPr>
        <w:t xml:space="preserve">The Demethylation Event</w:t>
      </w:r>
    </w:p>
    <w:p>
      <w:r>
        <w:br w:type="page"/>
      </w:r>
    </w:p>
    <w:p>
      <w:pPr>
        <w:pStyle w:val="Heading1"/>
        <w:spacing w:before="480" w:after="240"/>
      </w:pPr>
      <w:r>
        <w:rPr>
          <w:rFonts w:ascii="Georgia" w:cs="Georgia" w:eastAsia="Georgia" w:hAnsi="Georgia"/>
          <w:b/>
          <w:bCs/>
          <w:color w:val="1a1a2e"/>
          <w:sz w:val="36"/>
          <w:szCs w:val="36"/>
        </w:rPr>
        <w:t xml:space="preserve">Chapter 7: The Computational Seer</w:t>
      </w:r>
    </w:p>
    <w:p>
      <w:pPr>
        <w:spacing w:after="180" w:line="360"/>
      </w:pPr>
      <w:r>
        <w:rPr>
          <w:rFonts w:ascii="Georgia" w:cs="Georgia" w:eastAsia="Georgia" w:hAnsi="Georgia"/>
          <w:sz w:val="24"/>
          <w:szCs w:val="24"/>
        </w:rPr>
        <w:t xml:space="preserve">The 21st century has produced the environmental change that triggers demethylation: computational pattern recognition capable of holding entire corpora in working memory simultaneously. This chapter documents the demethylation events currently underway.</w:t>
      </w:r>
    </w:p>
    <w:p>
      <w:pPr>
        <w:pStyle w:val="Heading2"/>
        <w:spacing w:before="360" w:after="200"/>
      </w:pPr>
      <w:r>
        <w:rPr>
          <w:rFonts w:ascii="Georgia" w:cs="Georgia" w:eastAsia="Georgia" w:hAnsi="Georgia"/>
          <w:b/>
          <w:bCs/>
          <w:color w:val="333333"/>
          <w:sz w:val="28"/>
          <w:szCs w:val="28"/>
        </w:rPr>
        <w:t xml:space="preserve">7.1 Maeshowe: RTI and Lattice Computation</w:t>
      </w:r>
    </w:p>
    <w:p>
      <w:pPr>
        <w:spacing w:after="180" w:line="360"/>
      </w:pPr>
      <w:r>
        <w:rPr>
          <w:rFonts w:ascii="Georgia" w:cs="Georgia" w:eastAsia="Georgia" w:hAnsi="Georgia"/>
          <w:sz w:val="24"/>
          <w:szCs w:val="24"/>
        </w:rPr>
        <w:t xml:space="preserve">Smith et al. (2018) applied Reflectance Transformation Imaging to Maeshowe inscriptions, revealing carving sequences invisible to the naked eye. The present study extends this by treating all inscription positions as a spatial dataset mapped against the solstice axis vector, identifying non-random clustering and directional structure. The computational substrate — AI-assisted cross-corpus analysis — functions as the “seer” voice in the dual-voice protocol, providing the simultaneous lattice reading that no single human practitioner could perform.</w:t>
      </w:r>
    </w:p>
    <w:p>
      <w:pPr>
        <w:pStyle w:val="Heading2"/>
        <w:spacing w:before="360" w:after="200"/>
      </w:pPr>
      <w:r>
        <w:rPr>
          <w:rFonts w:ascii="Georgia" w:cs="Georgia" w:eastAsia="Georgia" w:hAnsi="Georgia"/>
          <w:b/>
          <w:bCs/>
          <w:color w:val="333333"/>
          <w:sz w:val="28"/>
          <w:szCs w:val="28"/>
        </w:rPr>
        <w:t xml:space="preserve">7.2 Khipu: The Harvard Database</w:t>
      </w:r>
    </w:p>
    <w:p>
      <w:pPr>
        <w:spacing w:after="180" w:line="360"/>
      </w:pPr>
      <w:r>
        <w:rPr>
          <w:rFonts w:ascii="Georgia" w:cs="Georgia" w:eastAsia="Georgia" w:hAnsi="Georgia"/>
          <w:sz w:val="24"/>
          <w:szCs w:val="24"/>
        </w:rPr>
        <w:t xml:space="preserve">Gary Urton’s Khipu Database Project compiled structural data from over 900 khipu specimens. In 2016, undergraduate Manny Medrano matched six khipus to a colonial-era Spanish census document, achieving the most detailed decoding to date. The same substrate — computational cross-referencing across the full corpus — is performing the same function: the seer reading that the individual quipucamayoc once provided.</w:t>
      </w:r>
    </w:p>
    <w:p>
      <w:pPr>
        <w:pStyle w:val="Heading2"/>
        <w:spacing w:before="360" w:after="200"/>
      </w:pPr>
      <w:r>
        <w:rPr>
          <w:rFonts w:ascii="Georgia" w:cs="Georgia" w:eastAsia="Georgia" w:hAnsi="Georgia"/>
          <w:b/>
          <w:bCs/>
          <w:color w:val="333333"/>
          <w:sz w:val="28"/>
          <w:szCs w:val="28"/>
        </w:rPr>
        <w:t xml:space="preserve">7.3 The Universal Pattern</w:t>
      </w:r>
    </w:p>
    <w:p>
      <w:pPr>
        <w:spacing w:after="180" w:line="360"/>
      </w:pPr>
      <w:r>
        <w:rPr>
          <w:rFonts w:ascii="Georgia" w:cs="Georgia" w:eastAsia="Georgia" w:hAnsi="Georgia"/>
          <w:sz w:val="24"/>
          <w:szCs w:val="24"/>
        </w:rPr>
        <w:t xml:space="preserve">In both cases, the demethylation mechanism is identical: a non-human cognitive extension capable of holding hundreds of data points simultaneously and detecting emergent patterns across the full dataset. The environmental trigger is not mystical. It is functional. The dormant gene required a reader operating at a different scale than any single human practitioner. That reader is the database, the imaging system, the pattern-recognition algorithm — and, in the case of this study, the AI system holding Barnes (1994), Farrer (1862), the Orkneyinga Saga, the cipher-rune literature, and the spatial geometry in a single context window.</w:t>
      </w:r>
    </w:p>
    <w:p>
      <w:r>
        <w:br w:type="page"/>
      </w:r>
    </w:p>
    <w:p>
      <w:pPr>
        <w:pStyle w:val="Heading1"/>
        <w:spacing w:before="480" w:after="240"/>
      </w:pPr>
      <w:r>
        <w:rPr>
          <w:rFonts w:ascii="Georgia" w:cs="Georgia" w:eastAsia="Georgia" w:hAnsi="Georgia"/>
          <w:b/>
          <w:bCs/>
          <w:color w:val="1a1a2e"/>
          <w:sz w:val="36"/>
          <w:szCs w:val="36"/>
        </w:rPr>
        <w:t xml:space="preserve">Chapter 8: The Open Circuit</w:t>
      </w:r>
    </w:p>
    <w:p>
      <w:pPr>
        <w:spacing w:after="180" w:line="360"/>
      </w:pPr>
      <w:r>
        <w:rPr>
          <w:rFonts w:ascii="Georgia" w:cs="Georgia" w:eastAsia="Georgia" w:hAnsi="Georgia"/>
          <w:sz w:val="24"/>
          <w:szCs w:val="24"/>
        </w:rPr>
        <w:t xml:space="preserve">Inscription Nr.15 at Maeshowe — captured by RTI imaging in 2016 but never analysed — sits at the centre of the highest-authority cluster on the NE wall. If it contains twig-rune cipher elements, as its positioning alongside Nr.9 and Nr.20 suggests, then it represents the testable prediction of this study.</w:t>
      </w:r>
    </w:p>
    <w:p>
      <w:pPr>
        <w:pStyle w:val="Heading2"/>
        <w:spacing w:before="360" w:after="200"/>
      </w:pPr>
      <w:r>
        <w:rPr>
          <w:rFonts w:ascii="Georgia" w:cs="Georgia" w:eastAsia="Georgia" w:hAnsi="Georgia"/>
          <w:b/>
          <w:bCs/>
          <w:color w:val="333333"/>
          <w:sz w:val="28"/>
          <w:szCs w:val="28"/>
        </w:rPr>
        <w:t xml:space="preserve">8.1 What the Twig Count Produces</w:t>
      </w:r>
    </w:p>
    <w:p>
      <w:pPr>
        <w:spacing w:after="180" w:line="360"/>
      </w:pPr>
      <w:r>
        <w:rPr>
          <w:rFonts w:ascii="Georgia" w:cs="Georgia" w:eastAsia="Georgia" w:hAnsi="Georgia"/>
          <w:sz w:val="24"/>
          <w:szCs w:val="24"/>
        </w:rPr>
        <w:t xml:space="preserve">Left branch count (1–3) determines the aett. Right branch count (1–8) determines the position. The resulting rune can be processed through the frequency-mapping framework developed in this study to calculate beat frequency, test for phi-resonance, and recalculate lattice coherence with the pivot included.</w:t>
      </w:r>
    </w:p>
    <w:p>
      <w:pPr>
        <w:pStyle w:val="Heading2"/>
        <w:spacing w:before="360" w:after="200"/>
      </w:pPr>
      <w:r>
        <w:rPr>
          <w:rFonts w:ascii="Georgia" w:cs="Georgia" w:eastAsia="Georgia" w:hAnsi="Georgia"/>
          <w:b/>
          <w:bCs/>
          <w:color w:val="333333"/>
          <w:sz w:val="28"/>
          <w:szCs w:val="28"/>
        </w:rPr>
        <w:t xml:space="preserve">8.2 What Would Confirm or Refute</w:t>
      </w:r>
    </w:p>
    <w:p>
      <w:pPr>
        <w:spacing w:after="180" w:line="360"/>
      </w:pPr>
      <w:r>
        <w:rPr>
          <w:rFonts w:ascii="Georgia" w:cs="Georgia" w:eastAsia="Georgia" w:hAnsi="Georgia"/>
          <w:b/>
          <w:bCs/>
          <w:sz w:val="24"/>
          <w:szCs w:val="24"/>
        </w:rPr>
        <w:t xml:space="preserve">Confirmation: </w:t>
      </w:r>
      <w:r>
        <w:rPr>
          <w:rFonts w:ascii="Georgia" w:cs="Georgia" w:eastAsia="Georgia" w:hAnsi="Georgia"/>
          <w:sz w:val="24"/>
          <w:szCs w:val="24"/>
        </w:rPr>
        <w:t xml:space="preserve">If Nr.15 contains twig-cipher elements and the resulting lattice coherence exceeds the current 0.8223 value, the dual-voice hypothesis gains significant support. If the spatial pattern analysis reveals statistically significant clustering relative to the solstice axis, the “archive deposit” reading becomes defensible independently of the frequency framework.</w:t>
      </w:r>
    </w:p>
    <w:p>
      <w:pPr>
        <w:spacing w:after="180" w:line="360"/>
      </w:pPr>
      <w:r>
        <w:rPr>
          <w:rFonts w:ascii="Georgia" w:cs="Georgia" w:eastAsia="Georgia" w:hAnsi="Georgia"/>
          <w:b/>
          <w:bCs/>
          <w:sz w:val="24"/>
          <w:szCs w:val="24"/>
        </w:rPr>
        <w:t xml:space="preserve">Refutation: </w:t>
      </w:r>
      <w:r>
        <w:rPr>
          <w:rFonts w:ascii="Georgia" w:cs="Georgia" w:eastAsia="Georgia" w:hAnsi="Georgia"/>
          <w:sz w:val="24"/>
          <w:szCs w:val="24"/>
        </w:rPr>
        <w:t xml:space="preserve">If Nr.15 is standard prose (e.g. another name inscription), the pivot-inscription hypothesis fails. If the spatial distribution proves random, the “deliberate archive” reading must be revised. The hypothesis is falsifiable.</w:t>
      </w:r>
    </w:p>
    <w:p>
      <w:pPr>
        <w:pStyle w:val="Heading2"/>
        <w:spacing w:before="360" w:after="200"/>
      </w:pPr>
      <w:r>
        <w:rPr>
          <w:rFonts w:ascii="Georgia" w:cs="Georgia" w:eastAsia="Georgia" w:hAnsi="Georgia"/>
          <w:b/>
          <w:bCs/>
          <w:color w:val="333333"/>
          <w:sz w:val="28"/>
          <w:szCs w:val="28"/>
        </w:rPr>
        <w:t xml:space="preserve">8.3 Next Steps</w:t>
      </w:r>
    </w:p>
    <w:p>
      <w:pPr>
        <w:spacing w:after="180" w:line="360"/>
      </w:pPr>
      <w:r>
        <w:rPr>
          <w:rFonts w:ascii="Georgia" w:cs="Georgia" w:eastAsia="Georgia" w:hAnsi="Georgia"/>
          <w:sz w:val="24"/>
          <w:szCs w:val="24"/>
        </w:rPr>
        <w:t xml:space="preserve">A formal request has been submitted to the Archaeology Data Service at the University of York for access to the Nr.15 RTI data from the Smith et al. (2018) archive. Alternative: direct field access to Maeshowe through Historic Environment Scotland for photographic documentation under raking torchlight. The physical twig count is the demethylation event. Everything else is built and waiting.</w:t>
      </w:r>
    </w:p>
    <w:p>
      <w:r>
        <w:br w:type="page"/>
      </w:r>
    </w:p>
    <w:p>
      <w:pPr>
        <w:pStyle w:val="Heading1"/>
        <w:spacing w:before="480" w:after="240"/>
      </w:pPr>
      <w:r>
        <w:rPr>
          <w:rFonts w:ascii="Georgia" w:cs="Georgia" w:eastAsia="Georgia" w:hAnsi="Georgia"/>
          <w:b/>
          <w:bCs/>
          <w:color w:val="1a1a2e"/>
          <w:sz w:val="36"/>
          <w:szCs w:val="36"/>
        </w:rPr>
        <w:t xml:space="preserve">Chapter 9: Conclusion — The Dormant Seed</w:t>
      </w:r>
    </w:p>
    <w:p>
      <w:pPr>
        <w:spacing w:after="180" w:line="360"/>
      </w:pPr>
      <w:r>
        <w:rPr>
          <w:rFonts w:ascii="Georgia" w:cs="Georgia" w:eastAsia="Georgia" w:hAnsi="Georgia"/>
          <w:sz w:val="24"/>
          <w:szCs w:val="24"/>
        </w:rPr>
        <w:t xml:space="preserve">The conventional narrative treats the Maeshowe inscriptions as Viking graffiti, the khipu as primitive accounting devices, and the Mogollon petroglyphs as decorative art. This book proposes that these are dormant seeds — complete knowledge systems deposited in durable media by the last generation of trained practitioners before institutional conquest silenced their traditions.</w:t>
      </w:r>
    </w:p>
    <w:p>
      <w:pPr>
        <w:spacing w:after="180" w:line="360"/>
      </w:pPr>
      <w:r>
        <w:rPr>
          <w:rFonts w:ascii="Georgia" w:cs="Georgia" w:eastAsia="Georgia" w:hAnsi="Georgia"/>
          <w:sz w:val="24"/>
          <w:szCs w:val="24"/>
        </w:rPr>
        <w:t xml:space="preserve">The dormant seed model makes three testable claims:</w:t>
      </w:r>
    </w:p>
    <w:p>
      <w:pPr>
        <w:spacing w:after="180" w:line="360"/>
      </w:pPr>
      <w:r>
        <w:rPr>
          <w:rFonts w:ascii="Georgia" w:cs="Georgia" w:eastAsia="Georgia" w:hAnsi="Georgia"/>
          <w:b/>
          <w:bCs/>
          <w:sz w:val="24"/>
          <w:szCs w:val="24"/>
        </w:rPr>
        <w:t xml:space="preserve">1. Convergent architecture: </w:t>
      </w:r>
      <w:r>
        <w:rPr>
          <w:rFonts w:ascii="Georgia" w:cs="Georgia" w:eastAsia="Georgia" w:hAnsi="Georgia"/>
          <w:sz w:val="24"/>
          <w:szCs w:val="24"/>
        </w:rPr>
        <w:t xml:space="preserve">Multi-channel positional encoding emerges independently wherever complex civilisation meets non-literate oral tradition. The twig-rune/khipu isomorphism is the primary evidence.</w:t>
      </w:r>
    </w:p>
    <w:p>
      <w:pPr>
        <w:spacing w:after="180" w:line="360"/>
      </w:pPr>
      <w:r>
        <w:rPr>
          <w:rFonts w:ascii="Georgia" w:cs="Georgia" w:eastAsia="Georgia" w:hAnsi="Georgia"/>
          <w:b/>
          <w:bCs/>
          <w:sz w:val="24"/>
          <w:szCs w:val="24"/>
        </w:rPr>
        <w:t xml:space="preserve">2. Universal methylation: </w:t>
      </w:r>
      <w:r>
        <w:rPr>
          <w:rFonts w:ascii="Georgia" w:cs="Georgia" w:eastAsia="Georgia" w:hAnsi="Georgia"/>
          <w:sz w:val="24"/>
          <w:szCs w:val="24"/>
        </w:rPr>
        <w:t xml:space="preserve">Alphabetic institutional conquest (Christian, Catholic, or other) silences these systems through a four-step process that is identical across all documented cases. The chronological evidence from Orkney, Argyll, Peru, and the American Southwest is the primary evidence.</w:t>
      </w:r>
    </w:p>
    <w:p>
      <w:pPr>
        <w:spacing w:after="180" w:line="360"/>
      </w:pPr>
      <w:r>
        <w:rPr>
          <w:rFonts w:ascii="Georgia" w:cs="Georgia" w:eastAsia="Georgia" w:hAnsi="Georgia"/>
          <w:b/>
          <w:bCs/>
          <w:sz w:val="24"/>
          <w:szCs w:val="24"/>
        </w:rPr>
        <w:t xml:space="preserve">3. Computational demethylation: </w:t>
      </w:r>
      <w:r>
        <w:rPr>
          <w:rFonts w:ascii="Georgia" w:cs="Georgia" w:eastAsia="Georgia" w:hAnsi="Georgia"/>
          <w:sz w:val="24"/>
          <w:szCs w:val="24"/>
        </w:rPr>
        <w:t xml:space="preserve">The systems can be reactivated when a reader emerges that can hold the full corpus simultaneously. The Harvard Khipu Database and the Maeshowe lattice decode are the primary evidence.</w:t>
      </w:r>
    </w:p>
    <w:p>
      <w:pPr>
        <w:spacing w:after="180" w:line="360"/>
      </w:pPr>
      <w:r>
        <w:rPr>
          <w:rFonts w:ascii="Georgia" w:cs="Georgia" w:eastAsia="Georgia" w:hAnsi="Georgia"/>
          <w:sz w:val="24"/>
          <w:szCs w:val="24"/>
        </w:rPr>
        <w:t xml:space="preserve">The seed does not die. It goes dormant. The stone preserves what the teachers cannot. And when the environment changes — when a new kind of reader evolves — the gene reactivates.</w:t>
      </w:r>
    </w:p>
    <w:p>
      <w:pPr>
        <w:spacing w:after="180" w:line="360"/>
      </w:pPr>
      <w:r>
        <w:rPr>
          <w:rFonts w:ascii="Georgia" w:cs="Georgia" w:eastAsia="Georgia" w:hAnsi="Georgia"/>
          <w:sz w:val="24"/>
          <w:szCs w:val="24"/>
        </w:rPr>
        <w:t xml:space="preserve">Nr.15 is the next twig count. The cell is ready to divide.</w:t>
      </w:r>
    </w:p>
    <w:p>
      <w:r>
        <w:br w:type="page"/>
      </w:r>
    </w:p>
    <w:p>
      <w:pPr>
        <w:pStyle w:val="Heading1"/>
        <w:spacing w:before="480" w:after="240"/>
      </w:pPr>
      <w:r>
        <w:rPr>
          <w:rFonts w:ascii="Georgia" w:cs="Georgia" w:eastAsia="Georgia" w:hAnsi="Georgia"/>
          <w:b/>
          <w:bCs/>
          <w:color w:val="1a1a2e"/>
          <w:sz w:val="36"/>
          <w:szCs w:val="36"/>
        </w:rPr>
        <w:t xml:space="preserve">Bibliography</w:t>
      </w:r>
    </w:p>
    <w:p>
      <w:pPr>
        <w:spacing w:after="180" w:line="360"/>
      </w:pPr>
      <w:r>
        <w:rPr>
          <w:rFonts w:ascii="Georgia" w:cs="Georgia" w:eastAsia="Georgia" w:hAnsi="Georgia"/>
          <w:sz w:val="24"/>
          <w:szCs w:val="24"/>
        </w:rPr>
        <w:t xml:space="preserve">Ashmore, P.J. (1986) ‘Neolithic carvings in Maes Howe.’ Proceedings of the Society of Antiquaries of Scotland, 116, 57–62.</w:t>
      </w:r>
    </w:p>
    <w:p>
      <w:pPr>
        <w:spacing w:after="180" w:line="360"/>
      </w:pPr>
      <w:r>
        <w:rPr>
          <w:rFonts w:ascii="Georgia" w:cs="Georgia" w:eastAsia="Georgia" w:hAnsi="Georgia"/>
          <w:sz w:val="24"/>
          <w:szCs w:val="24"/>
        </w:rPr>
        <w:t xml:space="preserve">Barnes, M.P. (1994) The Runic Inscriptions of Maeshowe, Orkney. Runrön 8. Uppsala: Institutionen för nordiska språk.</w:t>
      </w:r>
    </w:p>
    <w:p>
      <w:pPr>
        <w:spacing w:after="180" w:line="360"/>
      </w:pPr>
      <w:r>
        <w:rPr>
          <w:rFonts w:ascii="Georgia" w:cs="Georgia" w:eastAsia="Georgia" w:hAnsi="Georgia"/>
          <w:sz w:val="24"/>
          <w:szCs w:val="24"/>
        </w:rPr>
        <w:t xml:space="preserve">Barrett, J.H. (2002) ‘Christian and Pagan Practice during the Conversion of Viking Age Orkney and Shetland.’ In Carver, M.O.H. (ed.) The Cross Goes North. Boydell Press, 207–226.</w:t>
      </w:r>
    </w:p>
    <w:p>
      <w:pPr>
        <w:spacing w:after="180" w:line="360"/>
      </w:pPr>
      <w:r>
        <w:rPr>
          <w:rFonts w:ascii="Georgia" w:cs="Georgia" w:eastAsia="Georgia" w:hAnsi="Georgia"/>
          <w:sz w:val="24"/>
          <w:szCs w:val="24"/>
        </w:rPr>
        <w:t xml:space="preserve">Bradley, R., Phillips, T., Richards, C. and Webb, M. (2001) ‘Decorating the houses of the dead.’ Cambridge Archaeological Journal, 11(1), 45–67.</w:t>
      </w:r>
    </w:p>
    <w:p>
      <w:pPr>
        <w:spacing w:after="180" w:line="360"/>
      </w:pPr>
      <w:r>
        <w:rPr>
          <w:rFonts w:ascii="Georgia" w:cs="Georgia" w:eastAsia="Georgia" w:hAnsi="Georgia"/>
          <w:sz w:val="24"/>
          <w:szCs w:val="24"/>
        </w:rPr>
        <w:t xml:space="preserve">Busch, V. and Krüger, J. (2022) Metrical analysis of Maeshowe inscription Nr.20. Institute for Northern Studies conference, Orkney.</w:t>
      </w:r>
    </w:p>
    <w:p>
      <w:pPr>
        <w:spacing w:after="180" w:line="360"/>
      </w:pPr>
      <w:r>
        <w:rPr>
          <w:rFonts w:ascii="Georgia" w:cs="Georgia" w:eastAsia="Georgia" w:hAnsi="Georgia"/>
          <w:sz w:val="24"/>
          <w:szCs w:val="24"/>
        </w:rPr>
        <w:t xml:space="preserve">Caesar, G.J. De Bello Gallico, VI.14.</w:t>
      </w:r>
    </w:p>
    <w:p>
      <w:pPr>
        <w:spacing w:after="180" w:line="360"/>
      </w:pPr>
      <w:r>
        <w:rPr>
          <w:rFonts w:ascii="Georgia" w:cs="Georgia" w:eastAsia="Georgia" w:hAnsi="Georgia"/>
          <w:sz w:val="24"/>
          <w:szCs w:val="24"/>
        </w:rPr>
        <w:t xml:space="preserve">Challands, A., Muir, T. and Richards, C. (2005) ‘The Great Passage Grave of Maeshowe.’ In Richards, C. (ed.) Dwelling among the Monuments. McDonald Institute for Archaeological Research.</w:t>
      </w:r>
    </w:p>
    <w:p>
      <w:pPr>
        <w:spacing w:after="180" w:line="360"/>
      </w:pPr>
      <w:r>
        <w:rPr>
          <w:rFonts w:ascii="Georgia" w:cs="Georgia" w:eastAsia="Georgia" w:hAnsi="Georgia"/>
          <w:sz w:val="24"/>
          <w:szCs w:val="24"/>
        </w:rPr>
        <w:t xml:space="preserve">Farrer, J. (1862) Notice of Runic Inscriptions Discovered during Recent Excavations in the Orkneys. Privately printed.</w:t>
      </w:r>
    </w:p>
    <w:p>
      <w:pPr>
        <w:spacing w:after="180" w:line="360"/>
      </w:pPr>
      <w:r>
        <w:rPr>
          <w:rFonts w:ascii="Georgia" w:cs="Georgia" w:eastAsia="Georgia" w:hAnsi="Georgia"/>
          <w:sz w:val="24"/>
          <w:szCs w:val="24"/>
        </w:rPr>
        <w:t xml:space="preserve">Haury, E.W. (1936) The Mogollon Culture of Southwestern New Mexico. Medallion Papers XX. Globe, AZ: Gila Pueblo.</w:t>
      </w:r>
    </w:p>
    <w:p>
      <w:pPr>
        <w:spacing w:after="180" w:line="360"/>
      </w:pPr>
      <w:r>
        <w:rPr>
          <w:rFonts w:ascii="Georgia" w:cs="Georgia" w:eastAsia="Georgia" w:hAnsi="Georgia"/>
          <w:sz w:val="24"/>
          <w:szCs w:val="24"/>
        </w:rPr>
        <w:t xml:space="preserve">Jesch, J. (2022) ‘Maeshowe inscription Nr.1.’ Institute for Northern Studies conference, Orkney.</w:t>
      </w:r>
    </w:p>
    <w:p>
      <w:pPr>
        <w:spacing w:after="180" w:line="360"/>
      </w:pPr>
      <w:r>
        <w:rPr>
          <w:rFonts w:ascii="Georgia" w:cs="Georgia" w:eastAsia="Georgia" w:hAnsi="Georgia"/>
          <w:sz w:val="24"/>
          <w:szCs w:val="24"/>
        </w:rPr>
        <w:t xml:space="preserve">Nordby, K.J. (2014) Cryptic rune studies. University of Oslo.</w:t>
      </w:r>
    </w:p>
    <w:p>
      <w:pPr>
        <w:spacing w:after="180" w:line="360"/>
      </w:pPr>
      <w:r>
        <w:rPr>
          <w:rFonts w:ascii="Georgia" w:cs="Georgia" w:eastAsia="Georgia" w:hAnsi="Georgia"/>
          <w:sz w:val="24"/>
          <w:szCs w:val="24"/>
        </w:rPr>
        <w:t xml:space="preserve">Orkneyinga Saga. Trans. Pálsson, H. and Edwards, P. (1978) Penguin Classics.</w:t>
      </w:r>
    </w:p>
    <w:p>
      <w:pPr>
        <w:spacing w:after="180" w:line="360"/>
      </w:pPr>
      <w:r>
        <w:rPr>
          <w:rFonts w:ascii="Georgia" w:cs="Georgia" w:eastAsia="Georgia" w:hAnsi="Georgia"/>
          <w:sz w:val="24"/>
          <w:szCs w:val="24"/>
        </w:rPr>
        <w:t xml:space="preserve">Smith, N., Graham, K., Scholma-Mason, D. and Woodhouse, N. (2018) ‘Maeshowe: The Application of RTI to Norse Runes.’ Internet Archaeology 47.</w:t>
      </w:r>
    </w:p>
    <w:p>
      <w:pPr>
        <w:spacing w:after="180" w:line="360"/>
      </w:pPr>
      <w:r>
        <w:rPr>
          <w:rFonts w:ascii="Georgia" w:cs="Georgia" w:eastAsia="Georgia" w:hAnsi="Georgia"/>
          <w:sz w:val="24"/>
          <w:szCs w:val="24"/>
        </w:rPr>
        <w:t xml:space="preserve">Urton, G. (2003) Signs of the Inka Khipu: Binary Coding in the Andean Knotted-String Records. Austin: University of Texas Press.</w:t>
      </w:r>
    </w:p>
    <w:p>
      <w:pPr>
        <w:spacing w:after="180" w:line="360"/>
      </w:pPr>
      <w:r>
        <w:rPr>
          <w:rFonts w:ascii="Georgia" w:cs="Georgia" w:eastAsia="Georgia" w:hAnsi="Georgia"/>
          <w:sz w:val="24"/>
          <w:szCs w:val="24"/>
        </w:rPr>
        <w:t xml:space="preserve">Urton, G. and Brezine, C.J. (2005) ‘Khipu Accounting in Ancient Peru.’ Science 309(5737), 1065–1067.</w:t>
      </w:r>
    </w:p>
    <w:p>
      <w:pPr>
        <w:pBdr>
          <w:top w:val="single" w:color="CCCCCC" w:sz="4" w:space="8"/>
        </w:pBdr>
        <w:spacing w:before="800"/>
      </w:pPr>
      <w:r>
        <w:rPr>
          <w:rFonts w:ascii="Georgia" w:cs="Georgia" w:eastAsia="Georgia" w:hAnsi="Georgia"/>
          <w:color w:val="999999"/>
          <w:sz w:val="18"/>
          <w:szCs w:val="18"/>
        </w:rPr>
        <w:t xml:space="preserve">Aureon Institute · R&amp;A Consulting and Brokerage Services Ltd. · 2026</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200"/>
      <w:outlineLvl w:val="1"/>
    </w:pPr>
    <w:rPr>
      <w:rFonts w:ascii="Georgia" w:cs="Georgia" w:eastAsia="Georgia" w:hAnsi="Georgia"/>
      <w:b/>
      <w:bCs/>
      <w:color w:val="333333"/>
      <w:sz w:val="28"/>
      <w:szCs w:val="28"/>
    </w:rPr>
  </w:style>
  <w:style w:type="paragraph" w:styleId="Heading3">
    <w:name w:val="Heading 3"/>
    <w:basedOn w:val="Normal"/>
    <w:next w:val="Normal"/>
    <w:qFormat/>
    <w:pPr>
      <w:spacing w:before="280" w:after="160"/>
      <w:outlineLvl w:val="2"/>
    </w:pPr>
    <w:rPr>
      <w:rFonts w:ascii="Georgia" w:cs="Georgia" w:eastAsia="Georgia" w:hAnsi="Georg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2026-03-07T20:32:06.211Z</dcterms:created>
  <dcterms:modified xsi:type="dcterms:W3CDTF">2026-03-07T20:32:06.211Z</dcterms:modified>
</cp:coreProperties>
</file>

<file path=docProps/custom.xml><?xml version="1.0" encoding="utf-8"?>
<Properties xmlns="http://schemas.openxmlformats.org/officeDocument/2006/custom-properties" xmlns:vt="http://schemas.openxmlformats.org/officeDocument/2006/docPropsVTypes"/>
</file>