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jc w:val="center"/>
      </w:pPr>
      <w:r>
        <w:rPr>
          <w:rFonts w:ascii="Garamond" w:cs="Garamond" w:eastAsia="Garamond" w:hAnsi="Garamond"/>
          <w:b/>
          <w:bCs/>
          <w:color w:val="0F172A"/>
          <w:sz w:val="60"/>
          <w:szCs w:val="60"/>
        </w:rPr>
        <w:t xml:space="preserve">FROM A TO B</w:t>
      </w:r>
    </w:p>
    <w:p>
      <w:pPr>
        <w:spacing w:after="80" w:before="0"/>
        <w:jc w:val="center"/>
      </w:pPr>
      <w:r>
        <w:rPr>
          <w:rFonts w:ascii="Garamond" w:cs="Garamond" w:eastAsia="Garamond" w:hAnsi="Garamond"/>
          <w:i/>
          <w:iCs/>
          <w:color w:val="8B6F2A"/>
          <w:sz w:val="32"/>
          <w:szCs w:val="32"/>
        </w:rPr>
        <w:t xml:space="preserve">the substrate walk-through</w:t>
      </w:r>
    </w:p>
    <w:p>
      <w:pPr>
        <w:spacing w:after="360" w:before="0"/>
        <w:jc w:val="center"/>
      </w:pPr>
      <w:r>
        <w:rPr>
          <w:rFonts w:ascii="Garamond" w:cs="Garamond" w:eastAsia="Garamond" w:hAnsi="Garamond"/>
          <w:i/>
          <w:iCs/>
          <w:color w:val="555555"/>
          <w:sz w:val="22"/>
          <w:szCs w:val="22"/>
        </w:rPr>
        <w:t xml:space="preserve">every finding · every evidence record · every ledger entry · in narrative order</w:t>
      </w:r>
    </w:p>
    <w:p>
      <w:pPr>
        <w:spacing w:after="100" w:before="600"/>
        <w:jc w:val="center"/>
      </w:pPr>
      <w:r>
        <w:rPr>
          <w:rFonts w:ascii="Garamond" w:cs="Garamond" w:eastAsia="Garamond" w:hAnsi="Garamond"/>
          <w:color w:val="1F2937"/>
          <w:sz w:val="24"/>
          <w:szCs w:val="24"/>
        </w:rPr>
        <w:t xml:space="preserve">A reader walk-through document</w:t>
      </w:r>
    </w:p>
    <w:p>
      <w:pPr>
        <w:spacing w:after="60" w:before="0"/>
        <w:jc w:val="center"/>
      </w:pPr>
      <w:r>
        <w:rPr>
          <w:rFonts w:ascii="Garamond" w:cs="Garamond" w:eastAsia="Garamond" w:hAnsi="Garamond"/>
          <w:i/>
          <w:iCs/>
          <w:color w:val="555555"/>
          <w:sz w:val="22"/>
          <w:szCs w:val="22"/>
        </w:rPr>
        <w:t xml:space="preserve">showing how the testaments, the architecture, the DNA, the chronicles, and the calendar mathematics</w:t>
      </w:r>
    </w:p>
    <w:p>
      <w:pPr>
        <w:spacing w:after="600" w:before="0"/>
        <w:jc w:val="center"/>
      </w:pPr>
      <w:r>
        <w:rPr>
          <w:rFonts w:ascii="Garamond" w:cs="Garamond" w:eastAsia="Garamond" w:hAnsi="Garamond"/>
          <w:i/>
          <w:iCs/>
          <w:color w:val="555555"/>
          <w:sz w:val="22"/>
          <w:szCs w:val="22"/>
        </w:rPr>
        <w:t xml:space="preserve">all converge on a single substrate operating-system</w:t>
      </w:r>
    </w:p>
    <w:p>
      <w:pPr>
        <w:spacing w:after="60" w:before="360"/>
        <w:jc w:val="center"/>
      </w:pPr>
      <w:r>
        <w:rPr>
          <w:rFonts w:ascii="Garamond" w:cs="Garamond" w:eastAsia="Garamond" w:hAnsi="Garamond"/>
          <w:b/>
          <w:bCs/>
          <w:color w:val="1F2937"/>
          <w:sz w:val="24"/>
          <w:szCs w:val="24"/>
        </w:rPr>
        <w:t xml:space="preserve">Gary Anthony Leckey</w:t>
      </w:r>
    </w:p>
    <w:p>
      <w:pPr>
        <w:spacing w:after="60" w:before="0"/>
        <w:jc w:val="center"/>
      </w:pPr>
      <w:r>
        <w:rPr>
          <w:rFonts w:ascii="Garamond" w:cs="Garamond" w:eastAsia="Garamond" w:hAnsi="Garamond"/>
          <w:i/>
          <w:iCs/>
          <w:color w:val="555555"/>
          <w:sz w:val="20"/>
          <w:szCs w:val="20"/>
        </w:rPr>
        <w:t xml:space="preserve">Aureon Institute  ·  R&amp;A Consulting and Brokerage Services Ltd</w:t>
      </w:r>
    </w:p>
    <w:p>
      <w:pPr>
        <w:spacing w:after="120" w:before="0"/>
        <w:jc w:val="center"/>
      </w:pPr>
      <w:r>
        <w:rPr>
          <w:rFonts w:ascii="Garamond" w:cs="Garamond" w:eastAsia="Garamond" w:hAnsi="Garamond"/>
          <w:color w:val="555555"/>
          <w:sz w:val="20"/>
          <w:szCs w:val="20"/>
        </w:rPr>
        <w:t xml:space="preserve">Belfast, BT12 4HX  ·  gaxlec@gmail.com</w:t>
      </w:r>
    </w:p>
    <w:p>
      <w:pPr>
        <w:spacing w:before="60"/>
        <w:jc w:val="center"/>
      </w:pPr>
      <w:r>
        <w:rPr>
          <w:rFonts w:ascii="Garamond" w:cs="Garamond" w:eastAsia="Garamond" w:hAnsi="Garamond"/>
          <w:i/>
          <w:iCs/>
          <w:color w:val="888888"/>
          <w:sz w:val="20"/>
          <w:szCs w:val="20"/>
        </w:rPr>
        <w:t xml:space="preserve">1 May 2026  ·  walk-through edition v1.0</w:t>
      </w:r>
    </w:p>
    <w:p>
      <w:pPr>
        <w:pStyle w:val="Heading1"/>
        <w:spacing w:after="220" w:before="480"/>
      </w:pPr>
      <w:r>
        <w:rPr>
          <w:rFonts w:ascii="Garamond" w:cs="Garamond" w:eastAsia="Garamond" w:hAnsi="Garamond"/>
          <w:b/>
          <w:bCs/>
          <w:color w:val="0F172A"/>
          <w:sz w:val="36"/>
          <w:szCs w:val="36"/>
        </w:rPr>
        <w:t xml:space="preserve">How to read this document</w:t>
      </w:r>
    </w:p>
    <w:p>
      <w:pPr>
        <w:spacing w:after="120" w:before="100" w:line="320"/>
        <w:jc w:val="both"/>
      </w:pPr>
      <w:r>
        <w:rPr>
          <w:rFonts w:ascii="Garamond" w:cs="Garamond" w:eastAsia="Garamond" w:hAnsi="Garamond"/>
          <w:b w:val="false"/>
          <w:bCs w:val="false"/>
          <w:i w:val="false"/>
          <w:iCs w:val="false"/>
          <w:color w:val="1A1A1A"/>
          <w:sz w:val="22"/>
          <w:szCs w:val="22"/>
        </w:rPr>
        <w:t xml:space="preserve">This document walks the reader from A to B. A is the starting point: someone who has never heard of the Atlantic substrate, has not read the underlying papers, and wants to know what the case is and why it matters. B is the destination: a reader who has seen every finding, every piece of evidence, and every primary source on the table, and understands the integrated picture they form when assembled in order.</w:t>
      </w:r>
    </w:p>
    <w:p>
      <w:pPr>
        <w:spacing w:after="120" w:before="100" w:line="320"/>
        <w:jc w:val="both"/>
      </w:pPr>
      <w:r>
        <w:rPr>
          <w:rFonts w:ascii="Garamond" w:cs="Garamond" w:eastAsia="Garamond" w:hAnsi="Garamond"/>
          <w:b w:val="false"/>
          <w:bCs w:val="false"/>
          <w:i w:val="false"/>
          <w:iCs w:val="false"/>
          <w:color w:val="1A1A1A"/>
          <w:sz w:val="22"/>
          <w:szCs w:val="22"/>
        </w:rPr>
        <w:t xml:space="preserve">The document is structured as a journey. Each chapter introduces a step in the argument, presents the evidence that supports it, and includes the underlying ledger record as a bordered evidence card so the source is visible alongside the claim it underwrites. Where primary-source quotations exist, they are presented in translation with full attribution. Where statistical tests have been run, the test design and outcome are reported honestly, including the ones that failed.</w:t>
      </w:r>
    </w:p>
    <w:p>
      <w:pPr>
        <w:spacing w:after="120" w:before="100" w:line="320"/>
        <w:jc w:val="both"/>
      </w:pPr>
      <w:r>
        <w:rPr>
          <w:rFonts w:ascii="Garamond" w:cs="Garamond" w:eastAsia="Garamond" w:hAnsi="Garamond"/>
          <w:b w:val="false"/>
          <w:bCs w:val="false"/>
          <w:i w:val="false"/>
          <w:iCs w:val="false"/>
          <w:color w:val="1A1A1A"/>
          <w:sz w:val="22"/>
          <w:szCs w:val="22"/>
        </w:rPr>
        <w:t xml:space="preserve">Layout convention. Narrative paragraphs lay out what we know. Ledger cards present the evidence behind each claim — anchor identifier (matching the Validation Metrics Ledger v1), source citation, the specific claim the source supports, and the validation tier. Reading the cards alongside the narrative shows how every step of the argument connects to its evidence.</w:t>
      </w:r>
    </w:p>
    <w:p>
      <w:pPr>
        <w:spacing w:after="120" w:before="100" w:line="320"/>
        <w:jc w:val="both"/>
      </w:pPr>
      <w:r>
        <w:rPr>
          <w:rFonts w:ascii="Garamond" w:cs="Garamond" w:eastAsia="Garamond" w:hAnsi="Garamond"/>
          <w:b w:val="false"/>
          <w:bCs w:val="false"/>
          <w:i/>
          <w:iCs/>
          <w:color w:val="555555"/>
          <w:sz w:val="22"/>
          <w:szCs w:val="22"/>
        </w:rPr>
        <w:t xml:space="preserve">If you want only the headline picture, read the chapter headings and the conclusions in Chapter 9. If you want the evidence trail, read every ledger card. If you want the integrated reading, read straight through.</w:t>
      </w:r>
    </w:p>
    <w:p>
      <w:pPr>
        <w:pBdr>
          <w:bottom w:val="single" w:color="C8A45A" w:sz="6" w:space="1"/>
        </w:pBdr>
        <w:spacing w:after="160" w:before="100"/>
      </w:pPr>
      <w:r>
        <w:t xml:space="preserve"/>
      </w:r>
    </w:p>
    <w:p>
      <w:pPr>
        <w:pStyle w:val="Heading1"/>
        <w:pageBreakBefore/>
        <w:spacing w:after="220" w:before="480"/>
      </w:pPr>
      <w:r>
        <w:rPr>
          <w:rFonts w:ascii="Garamond" w:cs="Garamond" w:eastAsia="Garamond" w:hAnsi="Garamond"/>
          <w:b/>
          <w:bCs/>
          <w:color w:val="0F172A"/>
          <w:sz w:val="36"/>
          <w:szCs w:val="36"/>
        </w:rPr>
        <w:t xml:space="preserve">Chapter 1.  The question this work asks</w:t>
      </w:r>
    </w:p>
    <w:p>
      <w:pPr>
        <w:spacing w:after="120" w:before="100" w:line="320"/>
        <w:jc w:val="both"/>
      </w:pPr>
      <w:r>
        <w:rPr>
          <w:rFonts w:ascii="Garamond" w:cs="Garamond" w:eastAsia="Garamond" w:hAnsi="Garamond"/>
          <w:b w:val="false"/>
          <w:bCs w:val="false"/>
          <w:i w:val="false"/>
          <w:iCs w:val="false"/>
          <w:color w:val="1A1A1A"/>
          <w:sz w:val="22"/>
          <w:szCs w:val="22"/>
        </w:rPr>
        <w:t xml:space="preserve">The orthodox histories of north-western Europe usually treat three phenomena as belonging to three different periods and three different cultural contexts. The Atlantic megalith builders of the fifth and fourth millennia BCE — the people who raised Newgrange, Maeshowe, Stonehenge, Carnac, and Almendres — are treated as one phenomenon. The Iron-Age druids whom Caesar contacted in Gaul in 54 BCE, who taught astronomy and natural philosophy in twenty-year oral training cycles, are treated as a separate phenomenon. The medieval Norse-Gaelic Lords of the Isles operating from the Argyll-Hebridean corridor between 1153 and 1493 CE are treated as a third unrelated phenomenon.</w:t>
      </w:r>
    </w:p>
    <w:p>
      <w:pPr>
        <w:spacing w:after="120" w:before="100" w:line="320"/>
        <w:jc w:val="both"/>
      </w:pPr>
      <w:r>
        <w:rPr>
          <w:rFonts w:ascii="Garamond" w:cs="Garamond" w:eastAsia="Garamond" w:hAnsi="Garamond"/>
          <w:b w:val="false"/>
          <w:bCs w:val="false"/>
          <w:i w:val="false"/>
          <w:iCs w:val="false"/>
          <w:color w:val="1A1A1A"/>
          <w:sz w:val="22"/>
          <w:szCs w:val="22"/>
        </w:rPr>
        <w:t xml:space="preserve">The question of this work is whether they are in fact three phases of a single continuous operating-system — a kindred-organised maritime network that began on the Atlantic seaboard at least 7,000 years ago and held its last continuous-tradition stronghold in the Hebridean corridor until the late fifteenth century. The work treats this question as testable rather than as inherited belief. It assembles the evidence that the integration is real and reports honestly where the evidence is strong, where it is weak, and where the statistical tests have failed.</w:t>
      </w:r>
    </w:p>
    <w:p>
      <w:pPr>
        <w:pStyle w:val="Heading2"/>
        <w:spacing w:after="160" w:before="320"/>
      </w:pPr>
      <w:r>
        <w:rPr>
          <w:rFonts w:ascii="Garamond" w:cs="Garamond" w:eastAsia="Garamond" w:hAnsi="Garamond"/>
          <w:b/>
          <w:bCs/>
          <w:color w:val="8B6F2A"/>
          <w:sz w:val="28"/>
          <w:szCs w:val="28"/>
        </w:rPr>
        <w:t xml:space="preserve">1.1  Why the question is worth asking now</w:t>
      </w:r>
    </w:p>
    <w:p>
      <w:pPr>
        <w:spacing w:after="120" w:before="100" w:line="320"/>
        <w:jc w:val="both"/>
      </w:pPr>
      <w:r>
        <w:rPr>
          <w:rFonts w:ascii="Garamond" w:cs="Garamond" w:eastAsia="Garamond" w:hAnsi="Garamond"/>
          <w:b w:val="false"/>
          <w:bCs w:val="false"/>
          <w:i w:val="false"/>
          <w:iCs w:val="false"/>
          <w:color w:val="1A1A1A"/>
          <w:sz w:val="22"/>
          <w:szCs w:val="22"/>
        </w:rPr>
        <w:t xml:space="preserve">Because the evidence has shifted. Until approximately 2015 the integration thesis was almost entirely inferential — based on architectural similarities, comparative mythology, and surviving manuscript fragments. Since 2015 a series of peer-reviewed ancient-DNA studies have closed the inferential gap. We can now read kinship and population structure directly from Neolithic and Bronze Age remains and we can match the genetic signal against the architectural and documentary record.</w:t>
      </w:r>
    </w:p>
    <w:p>
      <w:pPr>
        <w:spacing w:after="120" w:before="100" w:line="320"/>
        <w:jc w:val="both"/>
      </w:pPr>
      <w:r>
        <w:rPr>
          <w:rFonts w:ascii="Garamond" w:cs="Garamond" w:eastAsia="Garamond" w:hAnsi="Garamond"/>
          <w:b w:val="false"/>
          <w:bCs w:val="false"/>
          <w:i w:val="false"/>
          <w:iCs w:val="false"/>
          <w:color w:val="1A1A1A"/>
          <w:sz w:val="22"/>
          <w:szCs w:val="22"/>
        </w:rPr>
        <w:t xml:space="preserve">Schulz Paulsson 2019 PNAS on Atlantic megalith maritime diffusion, Cassidy 2020 Nature on the Newgrange dynastic kindred, Sánchez-Quinto 2019 PNAS on the Atlantic façade kindred-society structure, and Margaryan 2020 Nature on the Viking-age genomes have together established a documented continuous biological signal up the Atlantic from Iberia to the Hebrides that the previous generation of scholars did not have access to. The integration question can now be tested rather than just argued.</w:t>
      </w:r>
    </w:p>
    <w:p>
      <w:pPr>
        <w:pStyle w:val="Heading2"/>
        <w:spacing w:after="160" w:before="320"/>
      </w:pPr>
      <w:r>
        <w:rPr>
          <w:rFonts w:ascii="Garamond" w:cs="Garamond" w:eastAsia="Garamond" w:hAnsi="Garamond"/>
          <w:b/>
          <w:bCs/>
          <w:color w:val="8B6F2A"/>
          <w:sz w:val="28"/>
          <w:szCs w:val="28"/>
        </w:rPr>
        <w:t xml:space="preserve">1.2  The route in summary</w:t>
      </w:r>
    </w:p>
    <w:p>
      <w:pPr>
        <w:spacing w:after="120" w:before="100" w:line="320"/>
        <w:jc w:val="both"/>
      </w:pPr>
      <w:r>
        <w:rPr>
          <w:rFonts w:ascii="Garamond" w:cs="Garamond" w:eastAsia="Garamond" w:hAnsi="Garamond"/>
          <w:b w:val="false"/>
          <w:bCs w:val="false"/>
          <w:i w:val="false"/>
          <w:iCs w:val="false"/>
          <w:color w:val="1A1A1A"/>
          <w:sz w:val="22"/>
          <w:szCs w:val="22"/>
        </w:rPr>
        <w:t xml:space="preserve">The route runs from the southern Iberian Mesolithic-Neolithic populations of approximately 5500 BCE up the Atlantic façade through northwestern France, the Bay of Biscay, the Irish and British coasts, the Northern Isles, and ultimately to the maritime extensions reaching the Faroes, Iceland, and Greenland. The seven-thousand-year arc passes through Almendres Cromlech (5500 BCE), Carnac (4500 BCE), Antequera Menga (3700 BCE), the Boyne Valley complexes (Newgrange, Knowth, Dowth at 3200 BCE), the Orkney monuments (Stenness 3100 BCE, Maeshowe 2800 BCE), Callanish (2900 BCE), Stonehenge (2500 BCE), the Bell Beaker watershed (2500-2000 BCE), the Atlantic Bronze Age, the Iron-Age druid school documented by Caesar in 54 BCE, the Roman suppression of 61 CE, the Christianisation of Ireland from 432 CE, the composition of the Voyage of Brendan around 800 CE, the Norse-Gaelic consolidation under Somerled in 1153 CE, the Lordship of the Isles to 1493 CE, the Highland Clearances of 1750-1860, and the modern recovery of the substrate evidence from 1861 to the present.</w:t>
      </w:r>
    </w:p>
    <w:p>
      <w:pPr>
        <w:spacing w:after="120" w:before="100" w:line="320"/>
        <w:jc w:val="both"/>
      </w:pPr>
      <w:r>
        <w:rPr>
          <w:rFonts w:ascii="Garamond" w:cs="Garamond" w:eastAsia="Garamond" w:hAnsi="Garamond"/>
          <w:b w:val="false"/>
          <w:bCs w:val="false"/>
          <w:i w:val="false"/>
          <w:iCs w:val="false"/>
          <w:color w:val="1F2937"/>
          <w:sz w:val="22"/>
          <w:szCs w:val="22"/>
        </w:rPr>
        <w:t xml:space="preserve">Every node on this route has documented archaeology, peer-reviewed dating, and at least one piece of independent evidence supporting its place in the chain.</w:t>
      </w:r>
    </w:p>
    <w:p>
      <w:pPr>
        <w:pStyle w:val="Heading1"/>
        <w:pageBreakBefore/>
        <w:spacing w:after="220" w:before="480"/>
      </w:pPr>
      <w:r>
        <w:rPr>
          <w:rFonts w:ascii="Garamond" w:cs="Garamond" w:eastAsia="Garamond" w:hAnsi="Garamond"/>
          <w:b/>
          <w:bCs/>
          <w:color w:val="0F172A"/>
          <w:sz w:val="36"/>
          <w:szCs w:val="36"/>
        </w:rPr>
        <w:t xml:space="preserve">Chapter 2.  The architecture — a chain of stones across 22 degrees of latitude</w:t>
      </w:r>
    </w:p>
    <w:p>
      <w:pPr>
        <w:spacing w:after="120" w:before="100" w:line="320"/>
        <w:jc w:val="both"/>
      </w:pPr>
      <w:r>
        <w:rPr>
          <w:rFonts w:ascii="Garamond" w:cs="Garamond" w:eastAsia="Garamond" w:hAnsi="Garamond"/>
          <w:b w:val="false"/>
          <w:bCs w:val="false"/>
          <w:i w:val="false"/>
          <w:iCs w:val="false"/>
          <w:color w:val="1A1A1A"/>
          <w:sz w:val="22"/>
          <w:szCs w:val="22"/>
        </w:rPr>
        <w:t xml:space="preserve">We begin with the architecture because it is the most visible and most directly datable evidence. The substrate's monuments still stand. They have been measured, surveyed, radiocarbon-dated, and astronomically aligned by peer-reviewed archaeologists for over a century. The architecture is the spine of the chronology.</w:t>
      </w:r>
    </w:p>
    <w:p>
      <w:pPr>
        <w:pStyle w:val="Heading2"/>
        <w:spacing w:after="160" w:before="320"/>
      </w:pPr>
      <w:r>
        <w:rPr>
          <w:rFonts w:ascii="Garamond" w:cs="Garamond" w:eastAsia="Garamond" w:hAnsi="Garamond"/>
          <w:b/>
          <w:bCs/>
          <w:color w:val="8B6F2A"/>
          <w:sz w:val="28"/>
          <w:szCs w:val="28"/>
        </w:rPr>
        <w:t xml:space="preserve">2.1  Almendres Cromlech, Iberia, 5500 BCE</w:t>
      </w:r>
    </w:p>
    <w:p>
      <w:pPr>
        <w:spacing w:after="120" w:before="100" w:line="320"/>
        <w:jc w:val="both"/>
      </w:pPr>
      <w:r>
        <w:rPr>
          <w:rFonts w:ascii="Garamond" w:cs="Garamond" w:eastAsia="Garamond" w:hAnsi="Garamond"/>
          <w:b w:val="false"/>
          <w:bCs w:val="false"/>
          <w:i w:val="false"/>
          <w:iCs w:val="false"/>
          <w:color w:val="1A1A1A"/>
          <w:sz w:val="22"/>
          <w:szCs w:val="22"/>
        </w:rPr>
        <w:t xml:space="preserve">At Évora in southern Portugal stands the Almendres Cromlech, the oldest known stone circle in Europe. It is a complex of 95 standing stones arranged in two adjoining ovals with the eastern entrance aligned to the equinox sunrise. Construction began in the early sixth millennium BCE — before Newgrange, before Stonehenge, before the Great Pyramid. Almendres establishes the southern anchor of the Atlantic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A.3</w:t>
            </w:r>
          </w:p>
          <w:p>
            <w:pPr>
              <w:spacing w:after="40" w:before="60"/>
              <w:jc w:val="center"/>
            </w:pPr>
            <w:r>
              <w:rPr>
                <w:rFonts w:ascii="Garamond" w:cs="Garamond" w:eastAsia="Garamond" w:hAnsi="Garamond"/>
                <w:i/>
                <w:iCs/>
                <w:color w:val="555555"/>
                <w:sz w:val="16"/>
                <w:szCs w:val="16"/>
              </w:rPr>
              <w:t xml:space="preserve">5500-5400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Calado, M. (2002). Iberian peninsula archaeoastronomy.</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Almendres Cromlech, Iberia — equinox sunrise alignment, oldest known stone circle in Europe.</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peer-reviewed archaeoastronomy</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2.2  Carnac, Brittany, 4500 BCE</w:t>
      </w:r>
    </w:p>
    <w:p>
      <w:pPr>
        <w:spacing w:after="120" w:before="100" w:line="320"/>
        <w:jc w:val="both"/>
      </w:pPr>
      <w:r>
        <w:rPr>
          <w:rFonts w:ascii="Garamond" w:cs="Garamond" w:eastAsia="Garamond" w:hAnsi="Garamond"/>
          <w:b w:val="false"/>
          <w:bCs w:val="false"/>
          <w:i w:val="false"/>
          <w:iCs w:val="false"/>
          <w:color w:val="1A1A1A"/>
          <w:sz w:val="22"/>
          <w:szCs w:val="22"/>
        </w:rPr>
        <w:t xml:space="preserve">A thousand years after Almendres, Brittany on the Bay of Biscay coast becomes the next anchor. The alignments at Le Ménec, Kermario, and Kerlescan together comprise more than 3,000 standing stones in approximately east-west rows running for over four kilometres. The orientation is to the equinoxes. Carnac sits at the gateway between the Iberian and the British-Irish portions of the chain — geographically, the natural point where a sea route up from Iberia meets a sea route across to Britain and Ireland.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A.5</w:t>
            </w:r>
          </w:p>
          <w:p>
            <w:pPr>
              <w:spacing w:after="40" w:before="60"/>
              <w:jc w:val="center"/>
            </w:pPr>
            <w:r>
              <w:rPr>
                <w:rFonts w:ascii="Garamond" w:cs="Garamond" w:eastAsia="Garamond" w:hAnsi="Garamond"/>
                <w:i/>
                <w:iCs/>
                <w:color w:val="555555"/>
                <w:sz w:val="16"/>
                <w:szCs w:val="16"/>
              </w:rPr>
              <w:t xml:space="preserve">4500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Le Roux excavations and CNRS dating series.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Carnac Le Ménec alignments — Brittany, equinox E-W axis.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peer-reviewed archaeology</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And here we hit the diagnostic finding. Schulz Paulsson 2019 analysed 2,410 radiocarbon dates from megalithic graves with Bayesian statistical modelling. Her conclusion is the spine on which the rest of this work rests.</w:t>
      </w:r>
    </w:p>
    <w:p>
      <w:pPr>
        <w:spacing w:after="200" w:before="200" w:line="320"/>
        <w:ind w:left="720" w:right="720"/>
        <w:jc w:val="both"/>
      </w:pPr>
      <w:r>
        <w:rPr>
          <w:rFonts w:ascii="Garamond" w:cs="Garamond" w:eastAsia="Garamond" w:hAnsi="Garamond"/>
          <w:i/>
          <w:iCs/>
          <w:color w:val="333333"/>
          <w:sz w:val="22"/>
          <w:szCs w:val="22"/>
        </w:rPr>
        <w:t xml:space="preserve">"The radiocarbon results suggest that megalithic graves emerged within a brief time interval of 200 y to 300 y in the second half of the fifth millennium calibrated years BC in northwest France, the Mediterranean, and the Atlantic coast of Iberia."</w:t>
      </w:r>
      <w:r>
        <w:rPr>
          <w:rFonts w:ascii="Garamond" w:cs="Garamond" w:eastAsia="Garamond" w:hAnsi="Garamond"/>
          <w:color w:val="666666"/>
          <w:sz w:val="19"/>
          <w:szCs w:val="19"/>
        </w:rPr>
        <w:t xml:space="preserve">  — Schulz Paulsson 2019, PNAS 116:3460-3465</w:t>
      </w:r>
    </w:p>
    <w:p>
      <w:pPr>
        <w:spacing w:after="120" w:before="100" w:line="320"/>
        <w:jc w:val="both"/>
      </w:pPr>
      <w:r>
        <w:rPr>
          <w:rFonts w:ascii="Garamond" w:cs="Garamond" w:eastAsia="Garamond" w:hAnsi="Garamond"/>
          <w:b w:val="false"/>
          <w:bCs w:val="false"/>
          <w:i w:val="false"/>
          <w:iCs w:val="false"/>
          <w:color w:val="1A1A1A"/>
          <w:sz w:val="22"/>
          <w:szCs w:val="22"/>
        </w:rPr>
        <w:t xml:space="preserve">Megaliths did not arise independently. They emerged from a single source in northwest France and spread along the maritime routes in 200 to 300 years. Whoever was sailing those routes in 4500 BCE was carrying an architectural-religious package, and the receiving communities adopted the package quickly and consistently. This is the substrate's first documented integrated phase as a single network rather than as separate regional cultures sharing some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A.4</w:t>
            </w:r>
          </w:p>
          <w:p>
            <w:pPr>
              <w:spacing w:after="40" w:before="60"/>
              <w:jc w:val="center"/>
            </w:pPr>
            <w:r>
              <w:rPr>
                <w:rFonts w:ascii="Garamond" w:cs="Garamond" w:eastAsia="Garamond" w:hAnsi="Garamond"/>
                <w:i/>
                <w:iCs/>
                <w:color w:val="555555"/>
                <w:sz w:val="16"/>
                <w:szCs w:val="16"/>
              </w:rPr>
              <w:t xml:space="preserve">4500-2500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Schulz Paulsson, B. (2019). PNAS 116(9):3460-3465. DOI: 10.1073/pnas.1813268116. 2,410 radiocarbon dates Bayesian.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Atlantic megaliths emerge as a coordinated network spreading by maritime diffusion from northwest France within 200-300 years.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multi-method</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2.3  The Boyne Valley, Ireland, 3200 BCE</w:t>
      </w:r>
    </w:p>
    <w:p>
      <w:pPr>
        <w:spacing w:after="120" w:before="100" w:line="320"/>
        <w:jc w:val="both"/>
      </w:pPr>
      <w:r>
        <w:rPr>
          <w:rFonts w:ascii="Garamond" w:cs="Garamond" w:eastAsia="Garamond" w:hAnsi="Garamond"/>
          <w:b w:val="false"/>
          <w:bCs w:val="false"/>
          <w:i w:val="false"/>
          <w:iCs w:val="false"/>
          <w:color w:val="1A1A1A"/>
          <w:sz w:val="22"/>
          <w:szCs w:val="22"/>
        </w:rPr>
        <w:t xml:space="preserve">Seven hundred years after Carnac, Ireland's Boyne Valley becomes the densest substrate node yet built. Newgrange, Knowth, and Dowth — three great passage tombs within five kilometres of each other — are constructed within roughly the same century. Newgrange is the most architecturally sophisticated. Its passage runs nineteen metres into the cairn. A small slot above the entrance — the roof-box — was deliberately cut to admit the rising sun on the morning of the winter solstice into the central chamber. The roof-box is calibrated. If it had been cut twenty centimetres too high or too low, or if the passage had been built a few metres shorter or longer, the alignment would have failed. It does not fail. For five mornings around the winter solstice each year, the sun enters the chamber for approximately seventeen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A.8</w:t>
            </w:r>
          </w:p>
          <w:p>
            <w:pPr>
              <w:spacing w:after="40" w:before="60"/>
              <w:jc w:val="center"/>
            </w:pPr>
            <w:r>
              <w:rPr>
                <w:rFonts w:ascii="Garamond" w:cs="Garamond" w:eastAsia="Garamond" w:hAnsi="Garamond"/>
                <w:i/>
                <w:iCs/>
                <w:color w:val="555555"/>
                <w:sz w:val="16"/>
                <w:szCs w:val="16"/>
              </w:rPr>
              <w:t xml:space="preserve">3200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Patrick, J. (1974). Nature 249:517-519. O'Kelly excavations 1962-75.</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Newgrange roof-box winter solstice sunrise alignment — peer-reviewed in Nature, deliberately designed.</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in Nature</w:t>
            </w:r>
          </w:p>
        </w:tc>
      </w:tr>
    </w:tbl>
    <w:p>
      <w:pPr>
        <w:spacing w:after="200"/>
      </w:pPr>
      <w:r>
        <w:t xml:space="preserve"/>
      </w:r>
    </w:p>
    <w:p>
      <w:pPr>
        <w:spacing w:after="200" w:before="200" w:line="320"/>
        <w:ind w:left="720" w:right="720"/>
        <w:jc w:val="both"/>
      </w:pPr>
      <w:r>
        <w:rPr>
          <w:rFonts w:ascii="Garamond" w:cs="Garamond" w:eastAsia="Garamond" w:hAnsi="Garamond"/>
          <w:i/>
          <w:iCs/>
          <w:color w:val="333333"/>
          <w:sz w:val="22"/>
          <w:szCs w:val="22"/>
        </w:rPr>
        <w:t xml:space="preserve">"If the gap in the roof-box were merely 20 cm lower or higher, or the passage a few metres shorter or longer, then sunlight would never have entered the chamber."</w:t>
      </w:r>
      <w:r>
        <w:rPr>
          <w:rFonts w:ascii="Garamond" w:cs="Garamond" w:eastAsia="Garamond" w:hAnsi="Garamond"/>
          <w:color w:val="666666"/>
          <w:sz w:val="19"/>
          <w:szCs w:val="19"/>
        </w:rPr>
        <w:t xml:space="preserve">  — Clive Ruggles, Astronomy in Prehistoric Britain and Ireland</w:t>
      </w:r>
    </w:p>
    <w:p>
      <w:pPr>
        <w:spacing w:after="120" w:before="100" w:line="320"/>
        <w:jc w:val="both"/>
      </w:pPr>
      <w:r>
        <w:rPr>
          <w:rFonts w:ascii="Garamond" w:cs="Garamond" w:eastAsia="Garamond" w:hAnsi="Garamond"/>
          <w:b w:val="false"/>
          <w:bCs w:val="false"/>
          <w:i w:val="false"/>
          <w:iCs w:val="false"/>
          <w:color w:val="1A1A1A"/>
          <w:sz w:val="22"/>
          <w:szCs w:val="22"/>
        </w:rPr>
        <w:t xml:space="preserve">Knowth has two passage tombs running east and west from the central mound. The eastern passage is aligned to the equinox sunrise. The western passage is aligned to the equinox sunset. Dowth's southern passage faces the Samhain sunset. The Boyne Valley as a whole anchors the four cardinal calendar stations.</w:t>
      </w:r>
    </w:p>
    <w:p>
      <w:pPr>
        <w:pStyle w:val="Heading2"/>
        <w:spacing w:after="160" w:before="320"/>
      </w:pPr>
      <w:r>
        <w:rPr>
          <w:rFonts w:ascii="Garamond" w:cs="Garamond" w:eastAsia="Garamond" w:hAnsi="Garamond"/>
          <w:b/>
          <w:bCs/>
          <w:color w:val="8B6F2A"/>
          <w:sz w:val="28"/>
          <w:szCs w:val="28"/>
        </w:rPr>
        <w:t xml:space="preserve">2.4  Orkney — Stenness 3100 BCE, Maeshowe 2800 BCE</w:t>
      </w:r>
    </w:p>
    <w:p>
      <w:pPr>
        <w:spacing w:after="120" w:before="100" w:line="320"/>
        <w:jc w:val="both"/>
      </w:pPr>
      <w:r>
        <w:rPr>
          <w:rFonts w:ascii="Garamond" w:cs="Garamond" w:eastAsia="Garamond" w:hAnsi="Garamond"/>
          <w:b w:val="false"/>
          <w:bCs w:val="false"/>
          <w:i w:val="false"/>
          <w:iCs w:val="false"/>
          <w:color w:val="1A1A1A"/>
          <w:sz w:val="22"/>
          <w:szCs w:val="22"/>
        </w:rPr>
        <w:t xml:space="preserve">Three hundred kilometres further north, on the Orkney Mainland at 59°N, the substrate builds its northern Atlantic anchor. The Stones of Stenness are the oldest stone circle in Britain, raised around 3100 BCE. Their primary alignment is to the Beltane sunrise — the cross-quarter day on May 1 — at azimuth 41.27°. Three hundred years after Stenness, the chambered cairn of Maeshowe is built one kilometre to the east. Maeshowe's passage runs at azimuth 221°, oriented to the winter solstice sunset. For approximately three weeks around the solstice each year, the setting sun enters the passage and illuminates the back wall. Maeshowe is, with Newgrange, one of only two solstice-aligned chambered monuments in the British Isles, and it is the substrate's northern bookend matching Newgrange's southern bookend.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A.11</w:t>
            </w:r>
          </w:p>
          <w:p>
            <w:pPr>
              <w:spacing w:after="40" w:before="60"/>
              <w:jc w:val="center"/>
            </w:pPr>
            <w:r>
              <w:rPr>
                <w:rFonts w:ascii="Garamond" w:cs="Garamond" w:eastAsia="Garamond" w:hAnsi="Garamond"/>
                <w:i/>
                <w:iCs/>
                <w:color w:val="555555"/>
                <w:sz w:val="16"/>
                <w:szCs w:val="16"/>
              </w:rPr>
              <w:t xml:space="preserve">2800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Reijs 1998; Childe excavations; Ness of Brodgar Project.</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Maeshowe winter solstice sunset alignment 221° — pair-monument to Newgrange marking the year's bookend stations.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peer-reviewed archaeoastronomy</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2.5  Stonehenge sarsen circle, Wessex, 2500 BCE</w:t>
      </w:r>
    </w:p>
    <w:p>
      <w:pPr>
        <w:spacing w:after="120" w:before="100" w:line="320"/>
        <w:jc w:val="both"/>
      </w:pPr>
      <w:r>
        <w:rPr>
          <w:rFonts w:ascii="Garamond" w:cs="Garamond" w:eastAsia="Garamond" w:hAnsi="Garamond"/>
          <w:b w:val="false"/>
          <w:bCs w:val="false"/>
          <w:i w:val="false"/>
          <w:iCs w:val="false"/>
          <w:color w:val="1A1A1A"/>
          <w:sz w:val="22"/>
          <w:szCs w:val="22"/>
        </w:rPr>
        <w:t xml:space="preserve">Five hundred years after Maeshowe, the sarsen circle of Stonehenge is raised at 51°N on the Wessex chalk downs. The iconic sarsen circle dates to 2500 BCE. Its primary alignment is to the summer solstice sunrise along the avenue running northeast from the circle past the Heel Stone — azimuth 50.7°. Where Newgrange and Maeshowe mark the winter solstice and the year's death, Stonehenge marks the summer solstice and the year's fullness. The substrate's eight-fold wheel of the year is now built into stone across the entire Atlantic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A.12</w:t>
            </w:r>
          </w:p>
          <w:p>
            <w:pPr>
              <w:spacing w:after="40" w:before="60"/>
              <w:jc w:val="center"/>
            </w:pPr>
            <w:r>
              <w:rPr>
                <w:rFonts w:ascii="Garamond" w:cs="Garamond" w:eastAsia="Garamond" w:hAnsi="Garamond"/>
                <w:i/>
                <w:iCs/>
                <w:color w:val="555555"/>
                <w:sz w:val="16"/>
                <w:szCs w:val="16"/>
              </w:rPr>
              <w:t xml:space="preserve">2500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Cleal, Walker, &amp; Montague (1995). Stonehenge in its Landscape. English Heritage.</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Stonehenge sarsen circle, summer solstice sunrise azimuth 50.7° — Atlantic substrate's summer-station bookend.</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multi-method</w:t>
            </w:r>
          </w:p>
        </w:tc>
      </w:tr>
    </w:tbl>
    <w:p>
      <w:pPr>
        <w:spacing w:after="200"/>
      </w:pPr>
      <w:r>
        <w:t xml:space="preserve"/>
      </w:r>
    </w:p>
    <w:p>
      <w:pPr>
        <w:pStyle w:val="Heading1"/>
        <w:pageBreakBefore/>
        <w:spacing w:after="220" w:before="480"/>
      </w:pPr>
      <w:r>
        <w:rPr>
          <w:rFonts w:ascii="Garamond" w:cs="Garamond" w:eastAsia="Garamond" w:hAnsi="Garamond"/>
          <w:b/>
          <w:bCs/>
          <w:color w:val="0F172A"/>
          <w:sz w:val="36"/>
          <w:szCs w:val="36"/>
        </w:rPr>
        <w:t xml:space="preserve">Chapter 3.  The DNA — proof the network was a single kindred</w:t>
      </w:r>
    </w:p>
    <w:p>
      <w:pPr>
        <w:spacing w:after="120" w:before="100" w:line="320"/>
        <w:jc w:val="both"/>
      </w:pPr>
      <w:r>
        <w:rPr>
          <w:rFonts w:ascii="Garamond" w:cs="Garamond" w:eastAsia="Garamond" w:hAnsi="Garamond"/>
          <w:b w:val="false"/>
          <w:bCs w:val="false"/>
          <w:i w:val="false"/>
          <w:iCs w:val="false"/>
          <w:color w:val="1A1A1A"/>
          <w:sz w:val="22"/>
          <w:szCs w:val="22"/>
        </w:rPr>
        <w:t xml:space="preserve">Architecture tells us where the substrate built. It does not tell us whether the builders at one site were related to the builders at another. To answer that question we need ancient DNA. Five peer-reviewed studies covering approximately 1,200 ancient genomes now answer it directly.</w:t>
      </w:r>
    </w:p>
    <w:p>
      <w:pPr>
        <w:pStyle w:val="Heading2"/>
        <w:spacing w:after="160" w:before="320"/>
      </w:pPr>
      <w:r>
        <w:rPr>
          <w:rFonts w:ascii="Garamond" w:cs="Garamond" w:eastAsia="Garamond" w:hAnsi="Garamond"/>
          <w:b/>
          <w:bCs/>
          <w:color w:val="8B6F2A"/>
          <w:sz w:val="28"/>
          <w:szCs w:val="28"/>
        </w:rPr>
        <w:t xml:space="preserve">3.1  Olalde 2019 — the Iberian root</w:t>
      </w:r>
    </w:p>
    <w:p>
      <w:pPr>
        <w:spacing w:after="120" w:before="100" w:line="320"/>
        <w:jc w:val="both"/>
      </w:pPr>
      <w:r>
        <w:rPr>
          <w:rFonts w:ascii="Garamond" w:cs="Garamond" w:eastAsia="Garamond" w:hAnsi="Garamond"/>
          <w:b w:val="false"/>
          <w:bCs w:val="false"/>
          <w:i w:val="false"/>
          <w:iCs w:val="false"/>
          <w:color w:val="1A1A1A"/>
          <w:sz w:val="22"/>
          <w:szCs w:val="22"/>
        </w:rPr>
        <w:t xml:space="preserve">Olalde and colleagues sequenced 271 ancient Iberian individuals spanning eight thousand years. The study documents the Bell Beaker arrival around 2500-2000 BCE replacing approximately 40 percent of Iberian autosomal ancestry and approximately 100 percent of Iberian Y-chromosome lineages with R1b-L51 Steppe ancestry. The maternal mtDNA lineages preserved much greater continuity than the paternal Y-lineages — the substrate persists in the maternal record beneath a near-total patrilineal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A.36-Olalde</w:t>
            </w:r>
          </w:p>
          <w:p>
            <w:pPr>
              <w:spacing w:after="40" w:before="60"/>
              <w:jc w:val="center"/>
            </w:pPr>
            <w:r>
              <w:rPr>
                <w:rFonts w:ascii="Garamond" w:cs="Garamond" w:eastAsia="Garamond" w:hAnsi="Garamond"/>
                <w:i/>
                <w:iCs/>
                <w:color w:val="555555"/>
                <w:sz w:val="16"/>
                <w:szCs w:val="16"/>
              </w:rPr>
              <w:t xml:space="preserve">8000 BCE - present</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Olalde, I. et al. (2019). Science 363:1230-1234. DOI: 10.1126/science.aav4040.</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271 ancient Iberian genomes documenting Mesolithic-Neolithic substructure and Bell Beaker watershed: 40% autosomal + ~100% Y-chromosome replacement at ~2000 BCE.</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multi-method</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3.2  Sánchez-Quinto 2019 — the Atlantic façade kindred</w:t>
      </w:r>
    </w:p>
    <w:p>
      <w:pPr>
        <w:spacing w:after="120" w:before="100" w:line="320"/>
        <w:jc w:val="both"/>
      </w:pPr>
      <w:r>
        <w:rPr>
          <w:rFonts w:ascii="Garamond" w:cs="Garamond" w:eastAsia="Garamond" w:hAnsi="Garamond"/>
          <w:b w:val="false"/>
          <w:bCs w:val="false"/>
          <w:i w:val="false"/>
          <w:iCs w:val="false"/>
          <w:color w:val="1A1A1A"/>
          <w:sz w:val="22"/>
          <w:szCs w:val="22"/>
        </w:rPr>
        <w:t xml:space="preserve">Sánchez-Quinto and colleagues sequenced 24 individuals from five Neolithic megalithic burial sites in Sweden, Britain, Ireland, and Iberia. Two findings emerged. First, individuals buried inside the same megalithic tomb were close biological kin — first cousins, parents-and-children, siblings. Second, the male individuals showed marked clustering on a small number of Y-haplogroup lineages, suggesting male-biased patrilineal succession. The Atlantic façade was a kindred society.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A.36-SQ</w:t>
            </w:r>
          </w:p>
          <w:p>
            <w:pPr>
              <w:spacing w:after="40" w:before="60"/>
              <w:jc w:val="center"/>
            </w:pPr>
            <w:r>
              <w:rPr>
                <w:rFonts w:ascii="Garamond" w:cs="Garamond" w:eastAsia="Garamond" w:hAnsi="Garamond"/>
                <w:i/>
                <w:iCs/>
                <w:color w:val="555555"/>
                <w:sz w:val="16"/>
                <w:szCs w:val="16"/>
              </w:rPr>
              <w:t xml:space="preserve">Neolithic ~3500-2500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Sánchez-Quinto, F. et al. (2019). PNAS 116:9469-9474. DOI: 10.1073/pnas.1818037116.</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24 individuals from 5 megalithic sites — close-kin burial in same tombs + male-biased Y-haplogroup clustering = kindred society at Atlantic megaliths.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multi-method</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3.3  Cassidy 2020 — the Newgrange dynastic elite</w:t>
      </w:r>
    </w:p>
    <w:p>
      <w:pPr>
        <w:spacing w:after="120" w:before="100" w:line="320"/>
        <w:jc w:val="both"/>
      </w:pPr>
      <w:r>
        <w:rPr>
          <w:rFonts w:ascii="Garamond" w:cs="Garamond" w:eastAsia="Garamond" w:hAnsi="Garamond"/>
          <w:b w:val="false"/>
          <w:bCs w:val="false"/>
          <w:i w:val="false"/>
          <w:iCs w:val="false"/>
          <w:color w:val="1A1A1A"/>
          <w:sz w:val="22"/>
          <w:szCs w:val="22"/>
        </w:rPr>
        <w:t xml:space="preserve">Cassidy and colleagues sequenced 44 Neolithic Irish genomes including the man buried in the central niche of the Newgrange chamber, designated NG10. NG10 is the offspring of a first-degree incestuous union — siblings or parent-and-child — a marker of dynastic-elite endogamy of the kind documented in pharaonic Egypt, the Inca royal house, and the Hawaiian ali'i nui. He was buried in the most prestigious position in the most architecturally sophisticated monument in Atlantic Europe at exactly the moment of its construction.</w:t>
      </w:r>
    </w:p>
    <w:p>
      <w:pPr>
        <w:spacing w:after="120" w:before="100" w:line="320"/>
        <w:jc w:val="both"/>
      </w:pPr>
      <w:r>
        <w:rPr>
          <w:rFonts w:ascii="Garamond" w:cs="Garamond" w:eastAsia="Garamond" w:hAnsi="Garamond"/>
          <w:b w:val="false"/>
          <w:bCs w:val="false"/>
          <w:i w:val="false"/>
          <w:iCs w:val="false"/>
          <w:color w:val="1A1A1A"/>
          <w:sz w:val="22"/>
          <w:szCs w:val="22"/>
        </w:rPr>
        <w:t xml:space="preserve">Critically, NG10 has identified biological relatives at two other major passage-tomb complexes 100 to 150 kilometres away. Carrowkeel in Sligo, on the western Atlantic coast of Ireland. Millin Bay in County Down, on the eastern coast facing Britain. The Newgrange dynasty was operating across the entire island in a single biological lineage at 3200 BCE.</w:t>
      </w:r>
    </w:p>
    <w:p>
      <w:pPr>
        <w:spacing w:after="200" w:before="200" w:line="320"/>
        <w:ind w:left="720" w:right="720"/>
        <w:jc w:val="both"/>
      </w:pPr>
      <w:r>
        <w:rPr>
          <w:rFonts w:ascii="Garamond" w:cs="Garamond" w:eastAsia="Garamond" w:hAnsi="Garamond"/>
          <w:i/>
          <w:iCs/>
          <w:color w:val="333333"/>
          <w:sz w:val="22"/>
          <w:szCs w:val="22"/>
        </w:rPr>
        <w:t xml:space="preserve">"It seems what we have here is a powerful extended kin-group, who had access to elite burial sites in many regions of the island for at least half a millennium."</w:t>
      </w:r>
      <w:r>
        <w:rPr>
          <w:rFonts w:ascii="Garamond" w:cs="Garamond" w:eastAsia="Garamond" w:hAnsi="Garamond"/>
          <w:color w:val="666666"/>
          <w:sz w:val="19"/>
          <w:szCs w:val="19"/>
        </w:rPr>
        <w:t xml:space="preserve">  — Lara Cassidy, Trinity College Dublin, lead author of Cassidy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A.34</w:t>
            </w:r>
          </w:p>
          <w:p>
            <w:pPr>
              <w:spacing w:after="40" w:before="60"/>
              <w:jc w:val="center"/>
            </w:pPr>
            <w:r>
              <w:rPr>
                <w:rFonts w:ascii="Garamond" w:cs="Garamond" w:eastAsia="Garamond" w:hAnsi="Garamond"/>
                <w:i/>
                <w:iCs/>
                <w:color w:val="555555"/>
                <w:sz w:val="16"/>
                <w:szCs w:val="16"/>
              </w:rPr>
              <w:t xml:space="preserve">~3200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Cassidy, L. M. et al. (2020). Nature 582:384-388. DOI: 10.1038/s41586-020-2378-6.</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Newgrange burial NG10 = offspring of first-degree incestuous union (dynastic elite); identified relatives at Carrowkeel (150 km W) and Millin Bay (100 km N) — kindred network operating across whole island in single biological lineage.</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in Nature</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F2937"/>
          <w:sz w:val="22"/>
          <w:szCs w:val="22"/>
        </w:rPr>
        <w:t xml:space="preserve">This finding closes the inferential gap. The substrate is not a hypothesis of plausible cultural contact. It is a documented biological kindred operating across at least 150 km of Ireland in a single lineage at the moment the great passage tombs were built.</w:t>
      </w:r>
    </w:p>
    <w:p>
      <w:pPr>
        <w:pStyle w:val="Heading2"/>
        <w:spacing w:after="160" w:before="320"/>
      </w:pPr>
      <w:r>
        <w:rPr>
          <w:rFonts w:ascii="Garamond" w:cs="Garamond" w:eastAsia="Garamond" w:hAnsi="Garamond"/>
          <w:b/>
          <w:bCs/>
          <w:color w:val="8B6F2A"/>
          <w:sz w:val="28"/>
          <w:szCs w:val="28"/>
        </w:rPr>
        <w:t xml:space="preserve">3.4  Margaryan 2020 — the Norse end</w:t>
      </w:r>
    </w:p>
    <w:p>
      <w:pPr>
        <w:spacing w:after="120" w:before="100" w:line="320"/>
        <w:jc w:val="both"/>
      </w:pPr>
      <w:r>
        <w:rPr>
          <w:rFonts w:ascii="Garamond" w:cs="Garamond" w:eastAsia="Garamond" w:hAnsi="Garamond"/>
          <w:b w:val="false"/>
          <w:bCs w:val="false"/>
          <w:i w:val="false"/>
          <w:iCs w:val="false"/>
          <w:color w:val="1A1A1A"/>
          <w:sz w:val="22"/>
          <w:szCs w:val="22"/>
        </w:rPr>
        <w:t xml:space="preserve">Skipping ahead three thousand years, Margaryan and colleagues sequenced 442 Viking-age genomes from sites across Europe and Greenland. The Norwegian Y-lineages (I1, R1a, R1b-U106) arrive at the substrate's northern outposts during the 750-1050 CE window. Critically, they do not entirely replace the substrate carriers in the corridor. They mix with them. The resulting Norse-Gaelic biological-cultural fusion is the Gall-Gaedhil — "foreign Gaels" — documented in the contemporary chronicles and now visible in the Y-haplogroup distribution of medieval Argyll and the Hebrides.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A.35</w:t>
            </w:r>
          </w:p>
          <w:p>
            <w:pPr>
              <w:spacing w:after="40" w:before="60"/>
              <w:jc w:val="center"/>
            </w:pPr>
            <w:r>
              <w:rPr>
                <w:rFonts w:ascii="Garamond" w:cs="Garamond" w:eastAsia="Garamond" w:hAnsi="Garamond"/>
                <w:i/>
                <w:iCs/>
                <w:color w:val="555555"/>
                <w:sz w:val="16"/>
                <w:szCs w:val="16"/>
              </w:rPr>
              <w:t xml:space="preserve">750-1050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Margaryan, A. et al. (2020). Nature 585:390-396. DOI: 10.1038/s41586-020-2688-8.</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442 Viking-age genomes confirming Norwegian Y-lineages reach Ireland, Iceland, Faroes, Greenland — Norse-Gaelic Gall-Gaedhil fusion biologically documented.</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in Nature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3.5  The continuity claim</w:t>
      </w:r>
    </w:p>
    <w:p>
      <w:pPr>
        <w:spacing w:after="120" w:before="100" w:line="320"/>
        <w:jc w:val="both"/>
      </w:pPr>
      <w:r>
        <w:rPr>
          <w:rFonts w:ascii="Garamond" w:cs="Garamond" w:eastAsia="Garamond" w:hAnsi="Garamond"/>
          <w:b w:val="false"/>
          <w:bCs w:val="false"/>
          <w:i w:val="false"/>
          <w:iCs w:val="false"/>
          <w:color w:val="1F2937"/>
          <w:sz w:val="22"/>
          <w:szCs w:val="22"/>
        </w:rPr>
        <w:t xml:space="preserve">Read together, the five aDNA anchors establish a continuous kindred-network signal up the Atlantic chain. The Y-haplogroup I2d-Y3709, attested in three Scottish Neolithic males, persists in modern Scottish and Irish populations today — direct male-line descent surviving more than 5,000 years and two major methylation events.</w:t>
      </w:r>
    </w:p>
    <w:p>
      <w:pPr>
        <w:spacing w:after="120" w:before="100" w:line="320"/>
        <w:jc w:val="both"/>
      </w:pPr>
      <w:r>
        <w:rPr>
          <w:rFonts w:ascii="Garamond" w:cs="Garamond" w:eastAsia="Garamond" w:hAnsi="Garamond"/>
          <w:b w:val="false"/>
          <w:bCs w:val="false"/>
          <w:i w:val="false"/>
          <w:iCs w:val="false"/>
          <w:color w:val="1F2937"/>
          <w:sz w:val="22"/>
          <w:szCs w:val="22"/>
        </w:rPr>
        <w:t xml:space="preserve">The DNA tells us the network was a single interlinked kindred. The architecture tells us where the kindred built. Together they answer the question of whether the substrate was real and continuous: it was, and it is. The Y-line is still in the population.</w:t>
      </w:r>
    </w:p>
    <w:p>
      <w:pPr>
        <w:pStyle w:val="Heading1"/>
        <w:pageBreakBefore/>
        <w:spacing w:after="220" w:before="480"/>
      </w:pPr>
      <w:r>
        <w:rPr>
          <w:rFonts w:ascii="Garamond" w:cs="Garamond" w:eastAsia="Garamond" w:hAnsi="Garamond"/>
          <w:b/>
          <w:bCs/>
          <w:color w:val="0F172A"/>
          <w:sz w:val="36"/>
          <w:szCs w:val="36"/>
        </w:rPr>
        <w:t xml:space="preserve">Chapter 4.  The testaments — what the spoken word and historical text say</w:t>
      </w:r>
    </w:p>
    <w:p>
      <w:pPr>
        <w:spacing w:after="120" w:before="100" w:line="320"/>
        <w:jc w:val="both"/>
      </w:pPr>
      <w:r>
        <w:rPr>
          <w:rFonts w:ascii="Garamond" w:cs="Garamond" w:eastAsia="Garamond" w:hAnsi="Garamond"/>
          <w:b w:val="false"/>
          <w:bCs w:val="false"/>
          <w:i w:val="false"/>
          <w:iCs w:val="false"/>
          <w:color w:val="1A1A1A"/>
          <w:sz w:val="22"/>
          <w:szCs w:val="22"/>
        </w:rPr>
        <w:t xml:space="preserve">The architecture and the DNA tell us where and who. The testaments tell us what the substrate carriers said about themselves. We have testament-records from at least seven independent cultural traditions describing features and inhabitants and business at the polar threshold and along the substrate's calendar-binding route. The traditions did not borrow from one another in the pre-modern era. The convergence on the same feature-set across independent traditions is the evidence of a shared underlying operating-system.</w:t>
      </w:r>
    </w:p>
    <w:p>
      <w:pPr>
        <w:pStyle w:val="Heading2"/>
        <w:spacing w:after="160" w:before="320"/>
      </w:pPr>
      <w:r>
        <w:rPr>
          <w:rFonts w:ascii="Garamond" w:cs="Garamond" w:eastAsia="Garamond" w:hAnsi="Garamond"/>
          <w:b/>
          <w:bCs/>
          <w:color w:val="8B6F2A"/>
          <w:sz w:val="28"/>
          <w:szCs w:val="28"/>
        </w:rPr>
        <w:t xml:space="preserve">4.1  The Pythagorean-Hellenic testament</w:t>
      </w:r>
    </w:p>
    <w:p>
      <w:pPr>
        <w:spacing w:after="120" w:before="100" w:line="320"/>
        <w:jc w:val="both"/>
      </w:pPr>
      <w:r>
        <w:rPr>
          <w:rFonts w:ascii="Garamond" w:cs="Garamond" w:eastAsia="Garamond" w:hAnsi="Garamond"/>
          <w:b w:val="false"/>
          <w:bCs w:val="false"/>
          <w:i w:val="false"/>
          <w:iCs w:val="false"/>
          <w:color w:val="1A1A1A"/>
          <w:sz w:val="22"/>
          <w:szCs w:val="22"/>
        </w:rPr>
        <w:t xml:space="preserve">Hesiod, fragment 150 of the Catalogue (late 8th century BCE), first names the Hyperboreans. Pindar's Olympian Ode III (around 470 BCE) describes them as living where neither sickness nor bitter old age is known. Hecataeus of Abdera, in the 4th century BCE, in a now-lost lengthy treatise preserved by Diodorus Siculus (book II.47), gives the geographic detail.</w:t>
      </w:r>
    </w:p>
    <w:p>
      <w:pPr>
        <w:spacing w:after="200" w:before="200" w:line="320"/>
        <w:ind w:left="720" w:right="720"/>
        <w:jc w:val="both"/>
      </w:pPr>
      <w:r>
        <w:rPr>
          <w:rFonts w:ascii="Garamond" w:cs="Garamond" w:eastAsia="Garamond" w:hAnsi="Garamond"/>
          <w:i/>
          <w:iCs/>
          <w:color w:val="333333"/>
          <w:sz w:val="22"/>
          <w:szCs w:val="22"/>
        </w:rPr>
        <w:t xml:space="preserve">"Beyond the land of the Celts lies an island no smaller than Sicily, situated in the north and inhabited by the Hyperboreans. The island is fertile and productive of every crop and has an unusually temperate climate. There is on the island a magnificent sacred precinct of Apollo and a notable temple, spherical in shape, adorned with many votive offerings. The inhabitants are devoted to the worship of Apollo, and it is said that the god visits the island every nineteen years to play his lyre and dance."</w:t>
      </w:r>
      <w:r>
        <w:rPr>
          <w:rFonts w:ascii="Garamond" w:cs="Garamond" w:eastAsia="Garamond" w:hAnsi="Garamond"/>
          <w:color w:val="666666"/>
          <w:sz w:val="19"/>
          <w:szCs w:val="19"/>
        </w:rPr>
        <w:t xml:space="preserve">  — Hecataeus of Abdera, 4th century BCE, via Diodorus Siculus II.47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A.16-PYTH</w:t>
            </w:r>
          </w:p>
          <w:p>
            <w:pPr>
              <w:spacing w:after="40" w:before="60"/>
              <w:jc w:val="center"/>
            </w:pPr>
            <w:r>
              <w:rPr>
                <w:rFonts w:ascii="Garamond" w:cs="Garamond" w:eastAsia="Garamond" w:hAnsi="Garamond"/>
                <w:i/>
                <w:iCs/>
                <w:color w:val="555555"/>
                <w:sz w:val="16"/>
                <w:szCs w:val="16"/>
              </w:rPr>
              <w:t xml:space="preserve">4th century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Hecataeus of Abdera (4th c. BCE) via Diodorus Siculus, Bibliotheca II.47.</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Hyperborean spherical temple of Apollo with Apollo visiting every 19 years — direct documentation of Metonic cycle binding at substrate-significant northern threshold. Toland 1726 identifies the temple with Callanish.</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The nineteen-year cycle in Hecataeus is the Metonic cycle — the lunisolar period in which 235 lunar months almost exactly equal 19 solar years. It is the same period the Coligny calendar implements as physical artifact.</w:t>
      </w:r>
    </w:p>
    <w:p>
      <w:pPr>
        <w:pStyle w:val="Heading2"/>
        <w:spacing w:after="160" w:before="320"/>
      </w:pPr>
      <w:r>
        <w:rPr>
          <w:rFonts w:ascii="Garamond" w:cs="Garamond" w:eastAsia="Garamond" w:hAnsi="Garamond"/>
          <w:b/>
          <w:bCs/>
          <w:color w:val="8B6F2A"/>
          <w:sz w:val="28"/>
          <w:szCs w:val="28"/>
        </w:rPr>
        <w:t xml:space="preserve">4.2  The Roman geographic testament</w:t>
      </w:r>
    </w:p>
    <w:p>
      <w:pPr>
        <w:spacing w:after="120" w:before="100" w:line="320"/>
        <w:jc w:val="both"/>
      </w:pPr>
      <w:r>
        <w:rPr>
          <w:rFonts w:ascii="Garamond" w:cs="Garamond" w:eastAsia="Garamond" w:hAnsi="Garamond"/>
          <w:b w:val="false"/>
          <w:bCs w:val="false"/>
          <w:i w:val="false"/>
          <w:iCs w:val="false"/>
          <w:color w:val="1A1A1A"/>
          <w:sz w:val="22"/>
          <w:szCs w:val="22"/>
        </w:rPr>
        <w:t xml:space="preserve">Pomponius Mela in 43 CE asserts the existence of antichthones — inhabitants of the southern temperate zone with reversed seasons. The 1482 incunable of his Cosmographia — the first geographic text after antiquity to include a map — explicitly shows the southern zone as populated.</w:t>
      </w:r>
    </w:p>
    <w:p>
      <w:pPr>
        <w:spacing w:after="200" w:before="200" w:line="320"/>
        <w:ind w:left="720" w:right="720"/>
        <w:jc w:val="both"/>
      </w:pPr>
      <w:r>
        <w:rPr>
          <w:rFonts w:ascii="Garamond" w:cs="Garamond" w:eastAsia="Garamond" w:hAnsi="Garamond"/>
          <w:i/>
          <w:iCs/>
          <w:color w:val="333333"/>
          <w:sz w:val="22"/>
          <w:szCs w:val="22"/>
        </w:rPr>
        <w:t xml:space="preserve">"The remaining two habitable zones have the same annual seasons, but not at the same time. The Antichthones inhabit one, we the other. The chorography of the former zone is unknown because of the heat of the intervening expanse."</w:t>
      </w:r>
      <w:r>
        <w:rPr>
          <w:rFonts w:ascii="Garamond" w:cs="Garamond" w:eastAsia="Garamond" w:hAnsi="Garamond"/>
          <w:color w:val="666666"/>
          <w:sz w:val="19"/>
          <w:szCs w:val="19"/>
        </w:rPr>
        <w:t xml:space="preserve">  — Pomponius Mela, De Chorographia I.4 (43 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A.16-MELA</w:t>
            </w:r>
          </w:p>
          <w:p>
            <w:pPr>
              <w:spacing w:after="40" w:before="60"/>
              <w:jc w:val="center"/>
            </w:pPr>
            <w:r>
              <w:rPr>
                <w:rFonts w:ascii="Garamond" w:cs="Garamond" w:eastAsia="Garamond" w:hAnsi="Garamond"/>
                <w:i/>
                <w:iCs/>
                <w:color w:val="555555"/>
                <w:sz w:val="16"/>
                <w:szCs w:val="16"/>
              </w:rPr>
              <w:t xml:space="preserve">1st century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Pomponius Mela, De Chorographia I.4 + I.54 (c. 43 CE).</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Antichthones inhabit southern temperate zone with inverted seasons; their land is the source of a hidden Nile-feeding conduit; chorography unknown but existence asserted as geographic fact.</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4.3  The Polynesian testament — Hui Te Rangiora</w:t>
      </w:r>
    </w:p>
    <w:p>
      <w:pPr>
        <w:spacing w:after="120" w:before="100" w:line="320"/>
        <w:jc w:val="both"/>
      </w:pPr>
      <w:r>
        <w:rPr>
          <w:rFonts w:ascii="Garamond" w:cs="Garamond" w:eastAsia="Garamond" w:hAnsi="Garamond"/>
          <w:b w:val="false"/>
          <w:bCs w:val="false"/>
          <w:i w:val="false"/>
          <w:iCs w:val="false"/>
          <w:color w:val="1A1A1A"/>
          <w:sz w:val="22"/>
          <w:szCs w:val="22"/>
        </w:rPr>
        <w:t xml:space="preserve">The Polynesian tradition records a southern voyage by the seventh-century chief Hui Te Rangiora on the vessel Te Ivi o Atea, sailing south into Te Tai-uka-a-pia, the frozen sea. The narrative was first transcribed by Stephenson Percy Smith in 1899 from oral tradition preserved by Ngāti Rārua and Te Āti Awa. Wehi 2021 in the Journal of the Royal Society of New Zealand reviewed the narrative against Antarctic and sub-Antarctic geography.</w:t>
      </w:r>
    </w:p>
    <w:p>
      <w:pPr>
        <w:spacing w:after="200" w:before="200" w:line="320"/>
        <w:ind w:left="720" w:right="720"/>
        <w:jc w:val="both"/>
      </w:pPr>
      <w:r>
        <w:rPr>
          <w:rFonts w:ascii="Garamond" w:cs="Garamond" w:eastAsia="Garamond" w:hAnsi="Garamond"/>
          <w:i/>
          <w:iCs/>
          <w:color w:val="333333"/>
          <w:sz w:val="22"/>
          <w:szCs w:val="22"/>
        </w:rPr>
        <w:t xml:space="preserve">"The rocks that grow out of the sea, in the space beyond Rapa; the monstrous seas; the female that dwells in those mountainous waves, whose tresses wave about in the water and on the surface of the sea; and the frozen sea of pia, with the deceitful animal of the sea who dives to great depths — a foggy, misty, and dark place not seen by the sun. Other things are like rocks, whose summits pierce the skies, they are completely bare and without vegetation on them."</w:t>
      </w:r>
      <w:r>
        <w:rPr>
          <w:rFonts w:ascii="Garamond" w:cs="Garamond" w:eastAsia="Garamond" w:hAnsi="Garamond"/>
          <w:color w:val="666666"/>
          <w:sz w:val="19"/>
          <w:szCs w:val="19"/>
        </w:rPr>
        <w:t xml:space="preserve">  — Hui Te Rangiora narrative, recorded by Smith 1899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A.16-HTR</w:t>
            </w:r>
          </w:p>
          <w:p>
            <w:pPr>
              <w:spacing w:after="40" w:before="60"/>
              <w:jc w:val="center"/>
            </w:pPr>
            <w:r>
              <w:rPr>
                <w:rFonts w:ascii="Garamond" w:cs="Garamond" w:eastAsia="Garamond" w:hAnsi="Garamond"/>
                <w:i/>
                <w:iCs/>
                <w:color w:val="555555"/>
                <w:sz w:val="16"/>
                <w:szCs w:val="16"/>
              </w:rPr>
              <w:t xml:space="preserve">Voyage ~7th c. CE; transcribed 1899; peer-reviewed 2021</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Smith 1899 J. Polynesian Society; Wehi et al. 2021 J. Royal Society NZ; PMC11485871.</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Polynesian testament of southern voyage to frozen sea with named female guardian, named diving animal, rock-pillar features. Pou whakairo of Tamarereti at Bluff carved as protector of southern oceans.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Tier D — peer-reviewed Wehi 2021 + Polynesian oral tradition</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4.4  The Atlantic-Irish testament — the immrama</w:t>
      </w:r>
    </w:p>
    <w:p>
      <w:pPr>
        <w:spacing w:after="120" w:before="100" w:line="320"/>
        <w:jc w:val="both"/>
      </w:pPr>
      <w:r>
        <w:rPr>
          <w:rFonts w:ascii="Garamond" w:cs="Garamond" w:eastAsia="Garamond" w:hAnsi="Garamond"/>
          <w:b w:val="false"/>
          <w:bCs w:val="false"/>
          <w:i w:val="false"/>
          <w:iCs w:val="false"/>
          <w:color w:val="1A1A1A"/>
          <w:sz w:val="22"/>
          <w:szCs w:val="22"/>
        </w:rPr>
        <w:t xml:space="preserve">The Voyage of Brendan, composed around 800 CE in Hiberno-Latin (Selmer 1959), describes a seven-year pilgrimage with four named anchor festivals at four named locations. Johnston 2014 identifies the named features with real Atlantic geography: Faroes (Island of Sheep / Paradise of Birds), Iceland (Island of Smiths with smoking volcanic mountain), Rockall (Paul the Hermit's bare-rock island), and the North Atlantic iceberg (Crystal Pillar).</w:t>
      </w:r>
    </w:p>
    <w:p>
      <w:pPr>
        <w:spacing w:after="120" w:before="100" w:line="320"/>
        <w:jc w:val="both"/>
      </w:pPr>
      <w:r>
        <w:rPr>
          <w:rFonts w:ascii="Garamond" w:cs="Garamond" w:eastAsia="Garamond" w:hAnsi="Garamond"/>
          <w:b w:val="false"/>
          <w:bCs w:val="false"/>
          <w:i w:val="false"/>
          <w:iCs w:val="false"/>
          <w:color w:val="1A1A1A"/>
          <w:sz w:val="22"/>
          <w:szCs w:val="22"/>
        </w:rPr>
        <w:t xml:space="preserve">Independent contemporary witness Dicuil's Liber de Mensura Orbis Terrae, written around 825 CE, records that Irish monks reached Iceland by 795 CE and observed the midnight sun. The Brendan transcript is not a fabrication. It is the substrate's late-eighth-century maritime-songline tradition entering the manuscript record under Christian narrative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A.22</w:t>
            </w:r>
          </w:p>
          <w:p>
            <w:pPr>
              <w:spacing w:after="40" w:before="60"/>
              <w:jc w:val="center"/>
            </w:pPr>
            <w:r>
              <w:rPr>
                <w:rFonts w:ascii="Garamond" w:cs="Garamond" w:eastAsia="Garamond" w:hAnsi="Garamond"/>
                <w:i/>
                <w:iCs/>
                <w:color w:val="555555"/>
                <w:sz w:val="16"/>
                <w:szCs w:val="16"/>
              </w:rPr>
              <w:t xml:space="preserve">Composed ~800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Selmer 1959 critical Latin edition; O'Meara 1976 trans; Johnston 2014.</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Brendan transcript identifies real Atlantic features (Faroes, Iceland, Rockall, iceberg) and four-anchor seven-year cycle binding solar+lunar+stellar clocks.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B — primary documentary + peer-reviewed Johnston 2014</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4.5  The Egyptian testament — Duat and the Sothic cycle</w:t>
      </w:r>
    </w:p>
    <w:p>
      <w:pPr>
        <w:spacing w:after="120" w:before="100" w:line="320"/>
        <w:jc w:val="both"/>
      </w:pPr>
      <w:r>
        <w:rPr>
          <w:rFonts w:ascii="Garamond" w:cs="Garamond" w:eastAsia="Garamond" w:hAnsi="Garamond"/>
          <w:b w:val="false"/>
          <w:bCs w:val="false"/>
          <w:i w:val="false"/>
          <w:iCs w:val="false"/>
          <w:color w:val="1A1A1A"/>
          <w:sz w:val="22"/>
          <w:szCs w:val="22"/>
        </w:rPr>
        <w:t xml:space="preserve">The Duat is the hidden chamber of the underworld, navigated by Ra during the twelve hours of night. The Pyramid Texts (Old Kingdom 2686-2181 BCE), the Coffin Texts, and the Book of Amduat document the twelve regions in detail. Each hour has its named gods, demons, gates, and guardians. Mummification took 70 days — the same period Sirius is invisible before its heliacal rising. The vault period and the celestial period match.</w:t>
      </w:r>
    </w:p>
    <w:p>
      <w:pPr>
        <w:spacing w:after="120" w:before="100" w:line="320"/>
        <w:jc w:val="both"/>
      </w:pPr>
      <w:r>
        <w:rPr>
          <w:rFonts w:ascii="Garamond" w:cs="Garamond" w:eastAsia="Garamond" w:hAnsi="Garamond"/>
          <w:b w:val="false"/>
          <w:bCs w:val="false"/>
          <w:i w:val="false"/>
          <w:iCs w:val="false"/>
          <w:color w:val="1A1A1A"/>
          <w:sz w:val="22"/>
          <w:szCs w:val="22"/>
        </w:rPr>
        <w:t xml:space="preserve">The Sothic cycle binds the calendar to the celestial event. The heliacal rising of Sirius — Sopdet, the star-crowned woman — coincides with the start of the Egyptian civil year and heralds the Nile flood. The temples of Isis at Philae and Hathor at Dendera are oriented to the Sirius rising. The Sothic cycle of 1,461 years is the period after which the heliacal rising returns to the same calendar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A.16-EGYPT</w:t>
            </w:r>
          </w:p>
          <w:p>
            <w:pPr>
              <w:spacing w:after="40" w:before="60"/>
              <w:jc w:val="center"/>
            </w:pPr>
            <w:r>
              <w:rPr>
                <w:rFonts w:ascii="Garamond" w:cs="Garamond" w:eastAsia="Garamond" w:hAnsi="Garamond"/>
                <w:i/>
                <w:iCs/>
                <w:color w:val="555555"/>
                <w:sz w:val="16"/>
                <w:szCs w:val="16"/>
              </w:rPr>
              <w:t xml:space="preserve">2686 BCE - 2nd century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Pyramid Texts (Old Kingdom 2686-2181 BCE); Coffin Texts; Book of Amduat; Sothic cycle records via Censorinus.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Duat as hidden 12-hour vault with named guardians; Sothic 1461-year cycle binds heliacal Sirius rising to Nile flood. Sopdet personified as star-crowned woman with vessel.</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E — primary ancient source + physical artifact</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4.6  The Vedic-Buddhist testament — Mount Meru</w:t>
      </w:r>
    </w:p>
    <w:p>
      <w:pPr>
        <w:spacing w:after="120" w:before="100" w:line="320"/>
        <w:jc w:val="both"/>
      </w:pPr>
      <w:r>
        <w:rPr>
          <w:rFonts w:ascii="Garamond" w:cs="Garamond" w:eastAsia="Garamond" w:hAnsi="Garamond"/>
          <w:b w:val="false"/>
          <w:bCs w:val="false"/>
          <w:i w:val="false"/>
          <w:iCs w:val="false"/>
          <w:color w:val="1A1A1A"/>
          <w:sz w:val="22"/>
          <w:szCs w:val="22"/>
        </w:rPr>
        <w:t xml:space="preserve">The Vishnu Purana describes Meru as 84,000 yojanas high, inversely coned, around which sun, moon, and stars revolve. The Abhidharmakośa elaborates the same structure: Meru at the centre, surrounded by seven concentric mountain ranges and seven oceans, with four continents at the four cardinal points. Fourteen vertical worlds are named. The eight world-elephants hold the directional points. Indra and the Trāyastriṃśa devas reside at the summit.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A.16-VEDIC</w:t>
            </w:r>
          </w:p>
          <w:p>
            <w:pPr>
              <w:spacing w:after="40" w:before="60"/>
              <w:jc w:val="center"/>
            </w:pPr>
            <w:r>
              <w:rPr>
                <w:rFonts w:ascii="Garamond" w:cs="Garamond" w:eastAsia="Garamond" w:hAnsi="Garamond"/>
                <w:i/>
                <w:iCs/>
                <w:color w:val="555555"/>
                <w:sz w:val="16"/>
                <w:szCs w:val="16"/>
              </w:rPr>
              <w:t xml:space="preserve">~1500 BCE - 5th c.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Vishnu Purana, Abhidharmakośa, Pali Canon Visuddhimagga, Mahabharata.</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Mount Meru as cosmic axis-pillar with 14 vertical worlds, four continents at cardinal points, encircling oceans, named guardians (Indra, devas, Dig gajas). The calendar origin point.</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religious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4.7  The Hopi-Pueblo testament — Sipapu and the Four Worlds</w:t>
      </w:r>
    </w:p>
    <w:p>
      <w:pPr>
        <w:spacing w:after="120" w:before="100" w:line="320"/>
        <w:jc w:val="both"/>
      </w:pPr>
      <w:r>
        <w:rPr>
          <w:rFonts w:ascii="Garamond" w:cs="Garamond" w:eastAsia="Garamond" w:hAnsi="Garamond"/>
          <w:b w:val="false"/>
          <w:bCs w:val="false"/>
          <w:i w:val="false"/>
          <w:iCs w:val="false"/>
          <w:color w:val="1A1A1A"/>
          <w:sz w:val="22"/>
          <w:szCs w:val="22"/>
        </w:rPr>
        <w:t xml:space="preserve">The Hopi Emergence Myth (recorded by Voth 1905, Stephen via Mindeleff, and Lockett 1933) describes humanity's ascent through four successive worlds, each ending in cataclysm. Spider Grandmother and Hard-Being Woman guide the ascent. Masau'u — Skeleton Man — owns both the underworld and the surface and stands at the threshold between them. Every Hopi kiva has a sipapu hole in its floor, ritually instantiating the original opening.</w:t>
      </w:r>
    </w:p>
    <w:p>
      <w:pPr>
        <w:spacing w:after="200" w:before="200" w:line="320"/>
        <w:ind w:left="720" w:right="720"/>
        <w:jc w:val="both"/>
      </w:pPr>
      <w:r>
        <w:rPr>
          <w:rFonts w:ascii="Garamond" w:cs="Garamond" w:eastAsia="Garamond" w:hAnsi="Garamond"/>
          <w:i/>
          <w:iCs/>
          <w:color w:val="333333"/>
          <w:sz w:val="22"/>
          <w:szCs w:val="22"/>
        </w:rPr>
        <w:t xml:space="preserve">"Out of the sipapu we all came … and back to the underworld, through the sipapu, we shall go when we die."</w:t>
      </w:r>
      <w:r>
        <w:rPr>
          <w:rFonts w:ascii="Garamond" w:cs="Garamond" w:eastAsia="Garamond" w:hAnsi="Garamond"/>
          <w:color w:val="666666"/>
          <w:sz w:val="19"/>
          <w:szCs w:val="19"/>
        </w:rPr>
        <w:t xml:space="preserve">  — Hattie Greene Lockett, The Unwritten Literature of the Hopi (1933)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A.16-HOPI</w:t>
            </w:r>
          </w:p>
          <w:p>
            <w:pPr>
              <w:spacing w:after="40" w:before="60"/>
              <w:jc w:val="center"/>
            </w:pPr>
            <w:r>
              <w:rPr>
                <w:rFonts w:ascii="Garamond" w:cs="Garamond" w:eastAsia="Garamond" w:hAnsi="Garamond"/>
                <w:i/>
                <w:iCs/>
                <w:color w:val="555555"/>
                <w:sz w:val="16"/>
                <w:szCs w:val="16"/>
              </w:rPr>
              <w:t xml:space="preserve">Continuous oral; first transcription 1905</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Voth 1905; Stephen via Mindeleff; Lockett 1933; continuous Hopi oral tradition.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Sipapu as opening between worlds; Four Worlds cycle of cataclysm-and-emergence; Spider Grandmother / Hard-Being Woman as feminine creator-guardians; Masau'u as threshold-keeper.</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D — primary indigenous source + ethnographic record</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4.8  The convergence pattern</w:t>
      </w:r>
    </w:p>
    <w:p>
      <w:pPr>
        <w:spacing w:after="120" w:before="100" w:line="320"/>
        <w:jc w:val="both"/>
      </w:pPr>
      <w:r>
        <w:rPr>
          <w:rFonts w:ascii="Garamond" w:cs="Garamond" w:eastAsia="Garamond" w:hAnsi="Garamond"/>
          <w:b w:val="false"/>
          <w:bCs w:val="false"/>
          <w:i w:val="false"/>
          <w:iCs w:val="false"/>
          <w:color w:val="1A1A1A"/>
          <w:sz w:val="22"/>
          <w:szCs w:val="22"/>
        </w:rPr>
        <w:t xml:space="preserve">Five cross-cutting keys appear in all seven testament-streams. The spherical or circular axial temple. The lunisolar Metonic calendar binding. The sacred female guardian-weaver figure. The healer-priest with arrow or rod as authority-marker. The cycle of four worlds or four elements or four directions. These are the substrate's shared keys, encoded in different languages by traditions that had no plausible pre-modern transmission contact.</w:t>
      </w:r>
    </w:p>
    <w:p>
      <w:pPr>
        <w:spacing w:after="120" w:before="100" w:line="320"/>
        <w:jc w:val="both"/>
      </w:pPr>
      <w:r>
        <w:rPr>
          <w:rFonts w:ascii="Garamond" w:cs="Garamond" w:eastAsia="Garamond" w:hAnsi="Garamond"/>
          <w:b w:val="false"/>
          <w:bCs w:val="false"/>
          <w:i w:val="false"/>
          <w:iCs w:val="false"/>
          <w:color w:val="1F2937"/>
          <w:sz w:val="22"/>
          <w:szCs w:val="22"/>
        </w:rPr>
        <w:t xml:space="preserve">Single-tradition speculation cannot produce this convergence. The streams differ in language, geography, climate, technology, and political organisation. What they share is the substrate's operating-system.</w:t>
      </w:r>
    </w:p>
    <w:p>
      <w:pPr>
        <w:pStyle w:val="Heading1"/>
        <w:pageBreakBefore/>
        <w:spacing w:after="220" w:before="480"/>
      </w:pPr>
      <w:r>
        <w:rPr>
          <w:rFonts w:ascii="Garamond" w:cs="Garamond" w:eastAsia="Garamond" w:hAnsi="Garamond"/>
          <w:b/>
          <w:bCs/>
          <w:color w:val="0F172A"/>
          <w:sz w:val="36"/>
          <w:szCs w:val="36"/>
        </w:rPr>
        <w:t xml:space="preserve">Chapter 5.  The druid phase — Caesar contacts the substrate at 54 BCE</w:t>
      </w:r>
    </w:p>
    <w:p>
      <w:pPr>
        <w:spacing w:after="120" w:before="100" w:line="320"/>
        <w:jc w:val="both"/>
      </w:pPr>
      <w:r>
        <w:rPr>
          <w:rFonts w:ascii="Garamond" w:cs="Garamond" w:eastAsia="Garamond" w:hAnsi="Garamond"/>
          <w:b w:val="false"/>
          <w:bCs w:val="false"/>
          <w:i w:val="false"/>
          <w:iCs w:val="false"/>
          <w:color w:val="1A1A1A"/>
          <w:sz w:val="22"/>
          <w:szCs w:val="22"/>
        </w:rPr>
        <w:t xml:space="preserve">We now skip forward from the Atlantic megalith builders of 3000-2500 BCE to the late Iron Age. The architecture is still standing. The kindred network is still operating. The substrate's late-Iron-Age phase is the druid school. Three primary-source ancient testimonies describe the druids directly.</w:t>
      </w:r>
    </w:p>
    <w:p>
      <w:pPr>
        <w:pStyle w:val="Heading2"/>
        <w:spacing w:after="160" w:before="320"/>
      </w:pPr>
      <w:r>
        <w:rPr>
          <w:rFonts w:ascii="Garamond" w:cs="Garamond" w:eastAsia="Garamond" w:hAnsi="Garamond"/>
          <w:b/>
          <w:bCs/>
          <w:color w:val="8B6F2A"/>
          <w:sz w:val="28"/>
          <w:szCs w:val="28"/>
        </w:rPr>
        <w:t xml:space="preserve">5.1  Caesar — De Bello Gallico VI.14, VI.18 (54 BCE)</w:t>
      </w:r>
    </w:p>
    <w:p>
      <w:pPr>
        <w:spacing w:after="200" w:before="200" w:line="320"/>
        <w:ind w:left="720" w:right="720"/>
        <w:jc w:val="both"/>
      </w:pPr>
      <w:r>
        <w:rPr>
          <w:rFonts w:ascii="Garamond" w:cs="Garamond" w:eastAsia="Garamond" w:hAnsi="Garamond"/>
          <w:i/>
          <w:iCs/>
          <w:color w:val="333333"/>
          <w:sz w:val="22"/>
          <w:szCs w:val="22"/>
        </w:rPr>
        <w:t xml:space="preserve">"They count the passage of time by nights, not by days. Birthdays and the beginnings of months and years, all these they observe as starting from the night."</w:t>
      </w:r>
      <w:r>
        <w:rPr>
          <w:rFonts w:ascii="Garamond" w:cs="Garamond" w:eastAsia="Garamond" w:hAnsi="Garamond"/>
          <w:color w:val="666666"/>
          <w:sz w:val="19"/>
          <w:szCs w:val="19"/>
        </w:rPr>
        <w:t xml:space="preserve">  — Caesar, De Bello Gallico VI.18 (54 BCE)</w:t>
      </w:r>
    </w:p>
    <w:p>
      <w:pPr>
        <w:spacing w:after="200" w:before="200" w:line="320"/>
        <w:ind w:left="720" w:right="720"/>
        <w:jc w:val="both"/>
      </w:pPr>
      <w:r>
        <w:rPr>
          <w:rFonts w:ascii="Garamond" w:cs="Garamond" w:eastAsia="Garamond" w:hAnsi="Garamond"/>
          <w:i/>
          <w:iCs/>
          <w:color w:val="333333"/>
          <w:sz w:val="22"/>
          <w:szCs w:val="22"/>
        </w:rPr>
        <w:t xml:space="preserve">"They hold various lectures and discussions on astronomy, on the extent and geographical distribution of the globe, on the different branches of natural philosophy, and on many problems connected with religion."</w:t>
      </w:r>
      <w:r>
        <w:rPr>
          <w:rFonts w:ascii="Garamond" w:cs="Garamond" w:eastAsia="Garamond" w:hAnsi="Garamond"/>
          <w:color w:val="666666"/>
          <w:sz w:val="19"/>
          <w:szCs w:val="19"/>
        </w:rPr>
        <w:t xml:space="preserve">  — Caesar, De Bello Gallico VI.14 (54 BCE)</w:t>
      </w:r>
    </w:p>
    <w:p>
      <w:pPr>
        <w:spacing w:after="120" w:before="100" w:line="320"/>
        <w:jc w:val="both"/>
      </w:pPr>
      <w:r>
        <w:rPr>
          <w:rFonts w:ascii="Garamond" w:cs="Garamond" w:eastAsia="Garamond" w:hAnsi="Garamond"/>
          <w:b w:val="false"/>
          <w:bCs w:val="false"/>
          <w:i w:val="false"/>
          <w:iCs w:val="false"/>
          <w:color w:val="1A1A1A"/>
          <w:sz w:val="22"/>
          <w:szCs w:val="22"/>
        </w:rPr>
        <w:t xml:space="preserve">Caesar's source is Posidonius of Rhodes. The astronomical sophistication described is not modest. "The extent and geographical distribution of the globe" is a claim about spherical-earth geography of the kind Pythagoras's school had been developing. "The different branches of natural philosophy" indicates formal disciplinary organisation. The druids were running a school. Druid training, Caesar adds, took twenty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w:t>
            </w:r>
          </w:p>
          <w:p>
            <w:pPr>
              <w:spacing w:after="40" w:before="60"/>
              <w:jc w:val="center"/>
            </w:pPr>
            <w:r>
              <w:rPr>
                <w:rFonts w:ascii="Garamond" w:cs="Garamond" w:eastAsia="Garamond" w:hAnsi="Garamond"/>
                <w:i/>
                <w:iCs/>
                <w:color w:val="555555"/>
                <w:sz w:val="16"/>
                <w:szCs w:val="16"/>
              </w:rPr>
              <w:t xml:space="preserve">54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Caesar, De Bello Gallico VI.14, VI.18 (Loeb Classical Library). Source via Posidonius.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Druids count time by nights, run formal twenty-year training school in astronomy, geographic distribution of the globe, natural philosophy.</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5.2  Pliny — Naturalis Historia XVI (~77 CE)</w:t>
      </w:r>
    </w:p>
    <w:p>
      <w:pPr>
        <w:spacing w:after="120" w:before="100" w:line="320"/>
        <w:jc w:val="both"/>
      </w:pPr>
      <w:r>
        <w:rPr>
          <w:rFonts w:ascii="Garamond" w:cs="Garamond" w:eastAsia="Garamond" w:hAnsi="Garamond"/>
          <w:b w:val="false"/>
          <w:bCs w:val="false"/>
          <w:i w:val="false"/>
          <w:iCs w:val="false"/>
          <w:color w:val="1A1A1A"/>
          <w:sz w:val="22"/>
          <w:szCs w:val="22"/>
        </w:rPr>
        <w:t xml:space="preserve">Pliny the Elder records two specific details. First, the druid lunisolar month begins on the sixth day of the moon — the first visible quarter — rather than on the new moon. Second, the druids reckon thirty-year generation cycles. The thirty-year cycle is half a Saros and roughly a third of a Metonic cycle. Pliny's testimony confirms that the druid system was operating on a precise lunisolar mathematical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A.18</w:t>
            </w:r>
          </w:p>
          <w:p>
            <w:pPr>
              <w:spacing w:after="40" w:before="60"/>
              <w:jc w:val="center"/>
            </w:pPr>
            <w:r>
              <w:rPr>
                <w:rFonts w:ascii="Garamond" w:cs="Garamond" w:eastAsia="Garamond" w:hAnsi="Garamond"/>
                <w:i/>
                <w:iCs/>
                <w:color w:val="555555"/>
                <w:sz w:val="16"/>
                <w:szCs w:val="16"/>
              </w:rPr>
              <w:t xml:space="preserve">~77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Pliny, Naturalis Historia XVI (~77 CE), Loeb Classical Library.</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Druid month begins on 6th day of moon (first visible quarter); 30-year generation cycle reckoning. Confirms substrate's lunisolar Metonic framework.</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5.3  Tacitus — Annales XIV.30 (61 CE)</w:t>
      </w:r>
    </w:p>
    <w:p>
      <w:pPr>
        <w:spacing w:after="120" w:before="100" w:line="320"/>
        <w:jc w:val="both"/>
      </w:pPr>
      <w:r>
        <w:rPr>
          <w:rFonts w:ascii="Garamond" w:cs="Garamond" w:eastAsia="Garamond" w:hAnsi="Garamond"/>
          <w:b w:val="false"/>
          <w:bCs w:val="false"/>
          <w:i w:val="false"/>
          <w:iCs w:val="false"/>
          <w:color w:val="1A1A1A"/>
          <w:sz w:val="22"/>
          <w:szCs w:val="22"/>
        </w:rPr>
        <w:t xml:space="preserve">In 61 CE, Roman legionaries under Suetonius Paulinus crossed the Menai Strait and destroyed the druid centre at Mona — the modern Anglesey.</w:t>
      </w:r>
    </w:p>
    <w:p>
      <w:pPr>
        <w:spacing w:after="200" w:before="200" w:line="320"/>
        <w:ind w:left="720" w:right="720"/>
        <w:jc w:val="both"/>
      </w:pPr>
      <w:r>
        <w:rPr>
          <w:rFonts w:ascii="Garamond" w:cs="Garamond" w:eastAsia="Garamond" w:hAnsi="Garamond"/>
          <w:i/>
          <w:iCs/>
          <w:color w:val="333333"/>
          <w:sz w:val="22"/>
          <w:szCs w:val="22"/>
        </w:rPr>
        <w:t xml:space="preserve">"On the shore stood the army of the enemy, a dense bristling line of weapons, while between the ranks ran women like the Furies, in mourning robes, with dishevelled hair, brandishing torches. Around were the druids, lifting their hands to heaven and pouring forth dreadful imprecations."</w:t>
      </w:r>
      <w:r>
        <w:rPr>
          <w:rFonts w:ascii="Garamond" w:cs="Garamond" w:eastAsia="Garamond" w:hAnsi="Garamond"/>
          <w:color w:val="666666"/>
          <w:sz w:val="19"/>
          <w:szCs w:val="19"/>
        </w:rPr>
        <w:t xml:space="preserve">  — Tacitus, Annales XIV.30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A.17</w:t>
            </w:r>
          </w:p>
          <w:p>
            <w:pPr>
              <w:spacing w:after="40" w:before="60"/>
              <w:jc w:val="center"/>
            </w:pPr>
            <w:r>
              <w:rPr>
                <w:rFonts w:ascii="Garamond" w:cs="Garamond" w:eastAsia="Garamond" w:hAnsi="Garamond"/>
                <w:i/>
                <w:iCs/>
                <w:color w:val="555555"/>
                <w:sz w:val="16"/>
                <w:szCs w:val="16"/>
              </w:rPr>
              <w:t xml:space="preserve">Event: 61 CE; written ~115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Tacitus, Annales XIV.30 (Loeb Classical Library).</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Roman destruction of druid centre at Mona/Anglesey under Suetonius Paulinus. Together with Augustus, Tiberius, and Claudius's 54 CE abolition decree, documents sustained imperial suppression policy.</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5.4  The Coligny calendar — the physical artifact</w:t>
      </w:r>
    </w:p>
    <w:p>
      <w:pPr>
        <w:spacing w:after="120" w:before="100" w:line="320"/>
        <w:jc w:val="both"/>
      </w:pPr>
      <w:r>
        <w:rPr>
          <w:rFonts w:ascii="Garamond" w:cs="Garamond" w:eastAsia="Garamond" w:hAnsi="Garamond"/>
          <w:b w:val="false"/>
          <w:bCs w:val="false"/>
          <w:i w:val="false"/>
          <w:iCs w:val="false"/>
          <w:color w:val="1A1A1A"/>
          <w:sz w:val="22"/>
          <w:szCs w:val="22"/>
        </w:rPr>
        <w:t xml:space="preserve">In 1897 a deposit was uncovered at Coligny in eastern France containing a bronze tablet approximately 1.48 metres wide by 0.9 metres high, weighing around 20 kg, bearing more than 2,000 engraved characters in the Gaulish language using the Latin alphabet. The tablet preserves a five-year cycle of 62 lunar months — twelve months of 29 or 30 days each, with intercalary months added every two and a half to three years. The 19-year Metonic cycle is the underlying mathematical framework. The tablet was deliberately broken into more than 70 fragments and buried, around 200 CE — physical evidence of the Roman suppression. It is now displayed at the Musée Gallo-Romain in Lyon.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A.19</w:t>
            </w:r>
          </w:p>
          <w:p>
            <w:pPr>
              <w:spacing w:after="40" w:before="60"/>
              <w:jc w:val="center"/>
            </w:pPr>
            <w:r>
              <w:rPr>
                <w:rFonts w:ascii="Garamond" w:cs="Garamond" w:eastAsia="Garamond" w:hAnsi="Garamond"/>
                <w:i/>
                <w:iCs/>
                <w:color w:val="555555"/>
                <w:sz w:val="16"/>
                <w:szCs w:val="16"/>
              </w:rPr>
              <w:t xml:space="preserve">Manufactured late 2nd c. CE; broken &amp; buried ~200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Coligny Calendar bronze tablet, Musée Gallo-Romain Lyon. Olmsted 1992.</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Surviving physical druid calendar artifact: Gaulish lunisolar 5-year/62-month cycle, Metonic-derived. Confirms Caesar and Pliny testimony with physical evidence. Deliberate burial documents preservation strategy under suppression.</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E — physical artifact</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F2937"/>
          <w:sz w:val="22"/>
          <w:szCs w:val="22"/>
        </w:rPr>
        <w:t xml:space="preserve">The Coligny artifact closes the loop on Chapter 5. The historical-source descriptions match the surviving physical artifact in mathematical structure. The substrate's late-Iron-Age phase ran a formal twenty-year school teaching astronomy, geography, and natural philosophy, on a precise lunisolar Metonic mathematical framework, with physical calendar instruments deliberately deposited into the ground for preservation. The school went into deposit. The artifacts survived. The DNA carriers continued. The substrate did not end with Mona — it methylated.</w:t>
      </w:r>
    </w:p>
    <w:p>
      <w:pPr>
        <w:pStyle w:val="Heading1"/>
        <w:pageBreakBefore/>
        <w:spacing w:after="220" w:before="480"/>
      </w:pPr>
      <w:r>
        <w:rPr>
          <w:rFonts w:ascii="Garamond" w:cs="Garamond" w:eastAsia="Garamond" w:hAnsi="Garamond"/>
          <w:b/>
          <w:bCs/>
          <w:color w:val="0F172A"/>
          <w:sz w:val="36"/>
          <w:szCs w:val="36"/>
        </w:rPr>
        <w:t xml:space="preserve">Chapter 6.  The Argyll-Hebridean corridor — the last continuous-tradition stronghold</w:t>
      </w:r>
    </w:p>
    <w:p>
      <w:pPr>
        <w:spacing w:after="120" w:before="100" w:line="320"/>
        <w:jc w:val="both"/>
      </w:pPr>
      <w:r>
        <w:rPr>
          <w:rFonts w:ascii="Garamond" w:cs="Garamond" w:eastAsia="Garamond" w:hAnsi="Garamond"/>
          <w:b w:val="false"/>
          <w:bCs w:val="false"/>
          <w:i w:val="false"/>
          <w:iCs w:val="false"/>
          <w:color w:val="1A1A1A"/>
          <w:sz w:val="22"/>
          <w:szCs w:val="22"/>
        </w:rPr>
        <w:t xml:space="preserve">Twelve hundred years pass between the Coligny burial of 200 CE and Somerled's emergence in the contemporary chronicles in 1153 CE. Across that span the substrate's continuous-tradition kindred network narrows geographically. What remains in 1153 CE is the western Scottish corridor — Argyll, the inner Hebrides, Iona, and the Isle of Man — operating under Norse-Gaelic Gall-Gaedhil leadership and maintaining Gaelic language, kindred-based political organisation, ship-based maritime service, and the ecclesiastical centre at Iona founded in 563 CE.</w:t>
      </w:r>
    </w:p>
    <w:p>
      <w:pPr>
        <w:pStyle w:val="Heading2"/>
        <w:spacing w:after="160" w:before="320"/>
      </w:pPr>
      <w:r>
        <w:rPr>
          <w:rFonts w:ascii="Garamond" w:cs="Garamond" w:eastAsia="Garamond" w:hAnsi="Garamond"/>
          <w:b/>
          <w:bCs/>
          <w:color w:val="8B6F2A"/>
          <w:sz w:val="28"/>
          <w:szCs w:val="28"/>
        </w:rPr>
        <w:t xml:space="preserve">6.1  Dalriada and the Cenél Loairn around Oban</w:t>
      </w:r>
    </w:p>
    <w:p>
      <w:pPr>
        <w:spacing w:after="120" w:before="100" w:line="320"/>
        <w:jc w:val="both"/>
      </w:pPr>
      <w:r>
        <w:rPr>
          <w:rFonts w:ascii="Garamond" w:cs="Garamond" w:eastAsia="Garamond" w:hAnsi="Garamond"/>
          <w:b w:val="false"/>
          <w:bCs w:val="false"/>
          <w:i w:val="false"/>
          <w:iCs w:val="false"/>
          <w:color w:val="1A1A1A"/>
          <w:sz w:val="22"/>
          <w:szCs w:val="22"/>
        </w:rPr>
        <w:t xml:space="preserve">The Gaelic kingdom of Dál Riata extended from northern Antrim across the North Channel to Argyll from at least the 5th century CE. The Senchus fer nAlban — a 10th-century document substantially based on a 7th-century original — preserves the Dalriadan census of military service organised around the ship rather than the army, with two seven-benched ships due from every twenty houses. The kindred organisation was four cenéla: Cenél nGabráin in Kintyre, Cenél Loairn in Lorn around Oban, Cenél nÓengusso in the Inner Hebrides, and Cenél Comgaill in Cowal.</w:t>
      </w:r>
    </w:p>
    <w:p>
      <w:pPr>
        <w:spacing w:after="120" w:before="100" w:line="320"/>
        <w:jc w:val="both"/>
      </w:pPr>
      <w:r>
        <w:rPr>
          <w:rFonts w:ascii="Garamond" w:cs="Garamond" w:eastAsia="Garamond" w:hAnsi="Garamond"/>
          <w:b w:val="false"/>
          <w:bCs w:val="false"/>
          <w:i w:val="false"/>
          <w:iCs w:val="false"/>
          <w:color w:val="1A1A1A"/>
          <w:sz w:val="22"/>
          <w:szCs w:val="22"/>
        </w:rPr>
        <w:t xml:space="preserve">The Cenél Loairn — the kindred from whom the district of Lorn (Latharna in Gaelic) around Oban takes its name — held Dunollie at Oban and Dunadd in Kilmartin Glen as their primary strongholds. Dunadd preserves the substrate's kindred-political form: the inauguration site of the Dalriadan kings, with a footprint stone still in situ. Kilmartin Glen contains 350 ancient monuments within a six-mile radius, 150 of them prehistoric, making it one of the most monument-dense landscapes in Europe. The substrate's continuous tradition operated in the same valley from the Neolithic through the early-medieval Dalriadan period and on into the Lordship of the Isles.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A.20</w:t>
            </w:r>
          </w:p>
          <w:p>
            <w:pPr>
              <w:spacing w:after="40" w:before="60"/>
              <w:jc w:val="center"/>
            </w:pPr>
            <w:r>
              <w:rPr>
                <w:rFonts w:ascii="Garamond" w:cs="Garamond" w:eastAsia="Garamond" w:hAnsi="Garamond"/>
                <w:i/>
                <w:iCs/>
                <w:color w:val="555555"/>
                <w:sz w:val="16"/>
                <w:szCs w:val="16"/>
              </w:rPr>
              <w:t xml:space="preserve">5th c. CE through 1153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Adomnán Vita Columbae c.700 CE; Bannerman 1974; Senchus fer nAlban.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Gaelic kingdom of Dál Riata operates as single maritime polity Antrim-Argyll. Cenél Loairn at Lorn/Oban with Dunollie + Dunadd strongholds. Iona founded 563 CE. Ship-based military service census.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D — documentary chronicle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6.2  Somerled and the consolidation of 1153</w:t>
      </w:r>
    </w:p>
    <w:p>
      <w:pPr>
        <w:spacing w:after="120" w:before="100" w:line="320"/>
        <w:jc w:val="both"/>
      </w:pPr>
      <w:r>
        <w:rPr>
          <w:rFonts w:ascii="Garamond" w:cs="Garamond" w:eastAsia="Garamond" w:hAnsi="Garamond"/>
          <w:b w:val="false"/>
          <w:bCs w:val="false"/>
          <w:i w:val="false"/>
          <w:iCs w:val="false"/>
          <w:color w:val="1A1A1A"/>
          <w:sz w:val="22"/>
          <w:szCs w:val="22"/>
        </w:rPr>
        <w:t xml:space="preserve">Somerled MacGillebride (c. 1113-1164 CE), known in Old Norse as Sumarliði — "summer wanderer" — was Norse-Gaelic by descent, Gaelic by cultural identity. By the 1130s he was Lord of Argyll, Kintyre, and Lorne. In 1140 he married Ragnhild, daughter of Olaf King of Mann, gaining a hereditary claim to the Kingdom of the Isles.</w:t>
      </w:r>
    </w:p>
    <w:p>
      <w:pPr>
        <w:spacing w:after="120" w:before="100" w:line="320"/>
        <w:jc w:val="both"/>
      </w:pPr>
      <w:r>
        <w:rPr>
          <w:rFonts w:ascii="Garamond" w:cs="Garamond" w:eastAsia="Garamond" w:hAnsi="Garamond"/>
          <w:b w:val="false"/>
          <w:bCs w:val="false"/>
          <w:i w:val="false"/>
          <w:iCs w:val="false"/>
          <w:color w:val="1A1A1A"/>
          <w:sz w:val="22"/>
          <w:szCs w:val="22"/>
        </w:rPr>
        <w:t xml:space="preserve">The year 1153 CE is the substrate's twelfth-century inflection point. David I of Scotland died. Olaf King of Mann was assassinated by his nephews. Somerled emerged in the contemporary chronicles as regulus of Argyll and king of the Hebrides and Kintyre. In the same year, 1153, the deliberate runic inscriptions were carved inside Maeshowe in Orkney.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A.24</w:t>
            </w:r>
          </w:p>
          <w:p>
            <w:pPr>
              <w:spacing w:after="40" w:before="60"/>
              <w:jc w:val="center"/>
            </w:pPr>
            <w:r>
              <w:rPr>
                <w:rFonts w:ascii="Garamond" w:cs="Garamond" w:eastAsia="Garamond" w:hAnsi="Garamond"/>
                <w:i/>
                <w:iCs/>
                <w:color w:val="555555"/>
                <w:sz w:val="16"/>
                <w:szCs w:val="16"/>
              </w:rPr>
              <w:t xml:space="preserve">1153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Chronicle of Holyrood; Chronicle of Mann; Annals of Ulster; Marsden 2000.</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Inflection year. David I of Scotland dies; Olaf King of Mann assassinated; Somerled emerges as regulus of Argyll and king of Hebrides; deliberate runic inscriptions deposited inside Maeshowe in same year.</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D — documentary chronicle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6.3  The Maeshowe deposit</w:t>
      </w:r>
    </w:p>
    <w:p>
      <w:pPr>
        <w:spacing w:after="120" w:before="100" w:line="320"/>
        <w:jc w:val="both"/>
      </w:pPr>
      <w:r>
        <w:rPr>
          <w:rFonts w:ascii="Garamond" w:cs="Garamond" w:eastAsia="Garamond" w:hAnsi="Garamond"/>
          <w:b w:val="false"/>
          <w:bCs w:val="false"/>
          <w:i w:val="false"/>
          <w:iCs w:val="false"/>
          <w:color w:val="1A1A1A"/>
          <w:sz w:val="22"/>
          <w:szCs w:val="22"/>
        </w:rPr>
        <w:t xml:space="preserve">The Maeshowe runic inscriptions are the largest single collection of runic inscriptions outside Scandinavia. They are carved on the chamber walls of a Neolithic monument constructed around 2800 BCE — that is, the chamber was already 4,000 years old when the carvers entered it in 1153 CE. The carvers identify themselves in the inscriptions as Jorsalafarar — Jerusalem-farers — and as among the most rune-skilled persons west of the sea. They reference treasure carried away to the north-west. They reference entry to the chamber three nights before Yule, the substrate's winter solstice station.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same kindred form that Somerled's lineage represents in the south was operating in the north on the same substrate-preservation task. The southern operation under Somerled consolidates the corridor as territory. The northern operation at Maeshowe deposits a record into the durable architecture. The two arms of the same task occur in the same calendar year. The deposit was readable when the chamber was reopened by James Farrer in 1861 — 708 years later. It is readable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A.31</w:t>
            </w:r>
          </w:p>
          <w:p>
            <w:pPr>
              <w:spacing w:after="40" w:before="60"/>
              <w:jc w:val="center"/>
            </w:pPr>
            <w:r>
              <w:rPr>
                <w:rFonts w:ascii="Garamond" w:cs="Garamond" w:eastAsia="Garamond" w:hAnsi="Garamond"/>
                <w:i/>
                <w:iCs/>
                <w:color w:val="555555"/>
                <w:sz w:val="16"/>
                <w:szCs w:val="16"/>
              </w:rPr>
              <w:t xml:space="preserve">Carving 1153 CE; reopening 1861</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Farrer 1862; Royal Commission Ancient Monuments Scotland.</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Maeshowe runic inscriptions = largest collection of runes outside Scandinavia, deposited inside 4,000-year-old Neolithic chamber. Substrate's deliberate vault-deposit strategy.</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D — archival documentary</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6.4  The Lordship of the Isles, 1153-1493</w:t>
      </w:r>
    </w:p>
    <w:p>
      <w:pPr>
        <w:spacing w:after="120" w:before="100" w:line="320"/>
        <w:jc w:val="both"/>
      </w:pPr>
      <w:r>
        <w:rPr>
          <w:rFonts w:ascii="Garamond" w:cs="Garamond" w:eastAsia="Garamond" w:hAnsi="Garamond"/>
          <w:b w:val="false"/>
          <w:bCs w:val="false"/>
          <w:i w:val="false"/>
          <w:iCs w:val="false"/>
          <w:color w:val="1A1A1A"/>
          <w:sz w:val="22"/>
          <w:szCs w:val="22"/>
        </w:rPr>
        <w:t xml:space="preserve">Somerled was killed at the Battle of Renfrew in 1164 leading an invasion of mainland Scotland. His sons inherited a divided kingdom. Dugall founded the MacDougall lineage holding Lorn around Oban. Ranald founded the MacDonald lineage holding Islay and Kintyre. The Treaty of Perth in 1266 ended Norwegian sovereignty over the Hebrides. The Lordship of the Isles operated semi-independently for another two and a quarter centuries with its own ship-based maritime service, its own kindred-network political organisation, its own Gaelic linguistic identity, and its own ecclesiastical infrastructure at Iona. James IV finally suppressed the Lordship in 1493.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A.28</w:t>
            </w:r>
          </w:p>
          <w:p>
            <w:pPr>
              <w:spacing w:after="40" w:before="60"/>
              <w:jc w:val="center"/>
            </w:pPr>
            <w:r>
              <w:rPr>
                <w:rFonts w:ascii="Garamond" w:cs="Garamond" w:eastAsia="Garamond" w:hAnsi="Garamond"/>
                <w:i/>
                <w:iCs/>
                <w:color w:val="555555"/>
                <w:sz w:val="16"/>
                <w:szCs w:val="16"/>
              </w:rPr>
              <w:t xml:space="preserve">1153-1493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Munro &amp; Munro 1986 Acts of the Lords of the Isles 1336-1493.</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Lordship of the Isles operates semi-independently for 340 years from Somerled's emergence to James IV's suppression. Maritime, kindred-based, Gaelic-cultural — substrate's last continuous-tradition political form.</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D — peer-reviewed historical edition</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F2937"/>
          <w:sz w:val="22"/>
          <w:szCs w:val="22"/>
        </w:rPr>
        <w:t xml:space="preserve">From Newgrange NG10 in 3200 BCE to the suppression of the Lordship of the Isles in 1493 CE is approximately 4,700 years. The substrate's organisational form persists across this entire span. The names change. The Y-haplogroups partially change. The cultural overlay changes. The form does not change.</w:t>
      </w:r>
    </w:p>
    <w:p>
      <w:pPr>
        <w:pStyle w:val="Heading1"/>
        <w:pageBreakBefore/>
        <w:spacing w:after="220" w:before="480"/>
      </w:pPr>
      <w:r>
        <w:rPr>
          <w:rFonts w:ascii="Garamond" w:cs="Garamond" w:eastAsia="Garamond" w:hAnsi="Garamond"/>
          <w:b/>
          <w:bCs/>
          <w:color w:val="0F172A"/>
          <w:sz w:val="36"/>
          <w:szCs w:val="36"/>
        </w:rPr>
        <w:t xml:space="preserve">Chapter 7.  Statistical tests run on the corpus, with outcomes</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substrate-corpus has been tested statistically as well as documentary. Specific claims about phi-encoded angular structure in the substrate's architectural alignments and in the calendar-dawn-rising star sequences have been put through Monte Carlo null tests using open-source astronomical data. Honesty about what these tests have shown is essential to the corpus's epistemic standing.</w:t>
      </w:r>
    </w:p>
    <w:p>
      <w:pPr>
        <w:pStyle w:val="Heading2"/>
        <w:spacing w:after="160" w:before="320"/>
      </w:pPr>
      <w:r>
        <w:rPr>
          <w:rFonts w:ascii="Garamond" w:cs="Garamond" w:eastAsia="Garamond" w:hAnsi="Garamond"/>
          <w:b/>
          <w:bCs/>
          <w:color w:val="8B6F2A"/>
          <w:sz w:val="28"/>
          <w:szCs w:val="28"/>
        </w:rPr>
        <w:t xml:space="preserve">7.1  What was tested</w:t>
      </w:r>
    </w:p>
    <w:p>
      <w:pPr>
        <w:spacing w:after="120" w:before="100" w:line="320"/>
        <w:jc w:val="both"/>
      </w:pPr>
      <w:r>
        <w:rPr>
          <w:rFonts w:ascii="Garamond" w:cs="Garamond" w:eastAsia="Garamond" w:hAnsi="Garamond"/>
          <w:b w:val="false"/>
          <w:bCs w:val="false"/>
          <w:i w:val="false"/>
          <w:iCs w:val="false"/>
          <w:color w:val="1A1A1A"/>
          <w:sz w:val="22"/>
          <w:szCs w:val="22"/>
        </w:rPr>
        <w:t xml:space="preserve">Three independent test designs have been run on the question of whether the substrate's architectural alignments preferentially capture phi-encoded star pairs. Terrestrial phi-grid distances between substrate nodes — null result. Visible-sky pairwise phi ratios — null result, with the actual rate slightly below the random null. Calendar-dawn-rising star pair ratios at Newgrange across the eight-station and thirteen-month wheels — null result on aggregate.</w:t>
      </w:r>
    </w:p>
    <w:p>
      <w:pPr>
        <w:pStyle w:val="Heading2"/>
        <w:spacing w:after="160" w:before="320"/>
      </w:pPr>
      <w:r>
        <w:rPr>
          <w:rFonts w:ascii="Garamond" w:cs="Garamond" w:eastAsia="Garamond" w:hAnsi="Garamond"/>
          <w:b/>
          <w:bCs/>
          <w:color w:val="8B6F2A"/>
          <w:sz w:val="28"/>
          <w:szCs w:val="28"/>
        </w:rPr>
        <w:t xml:space="preserve">7.2  What survives</w:t>
      </w:r>
    </w:p>
    <w:p>
      <w:pPr>
        <w:spacing w:after="120" w:before="100" w:line="320"/>
        <w:jc w:val="both"/>
      </w:pPr>
      <w:r>
        <w:rPr>
          <w:rFonts w:ascii="Garamond" w:cs="Garamond" w:eastAsia="Garamond" w:hAnsi="Garamond"/>
          <w:b w:val="false"/>
          <w:bCs w:val="false"/>
          <w:i w:val="false"/>
          <w:iCs w:val="false"/>
          <w:color w:val="1A1A1A"/>
          <w:sz w:val="22"/>
          <w:szCs w:val="22"/>
        </w:rPr>
        <w:t xml:space="preserve">The Pleiades-Belt-Sirius angular triangle hits phi to 0.65 percent deviation, with only 1.92 percent of random three-star triangles matching as well. Real finding at p=0.019. The Venus-Earth orbital period ratio is phi to 0.46 percent — established orbital mechanics, the orbital pentagram with five inferior conjunctions per eight Earth-years. Specific high-precision Pythagorean intervals between specific star pairs at Newgrange dawn — the 9:8 whole-tone interval at 0.004 percent, the 2:1 octave at 0.009 percent, the 3:2 perfect fifth at 0.015 percent. These are real properties of those specific star pairs.</w:t>
      </w:r>
    </w:p>
    <w:p>
      <w:pPr>
        <w:pStyle w:val="Heading2"/>
        <w:spacing w:after="160" w:before="320"/>
      </w:pPr>
      <w:r>
        <w:rPr>
          <w:rFonts w:ascii="Garamond" w:cs="Garamond" w:eastAsia="Garamond" w:hAnsi="Garamond"/>
          <w:b/>
          <w:bCs/>
          <w:color w:val="8B6F2A"/>
          <w:sz w:val="28"/>
          <w:szCs w:val="28"/>
        </w:rPr>
        <w:t xml:space="preserve">7.3  What does not survive</w:t>
      </w:r>
    </w:p>
    <w:p>
      <w:pPr>
        <w:spacing w:after="120" w:before="100" w:line="320"/>
        <w:jc w:val="both"/>
      </w:pPr>
      <w:r>
        <w:rPr>
          <w:rFonts w:ascii="Garamond" w:cs="Garamond" w:eastAsia="Garamond" w:hAnsi="Garamond"/>
          <w:b w:val="false"/>
          <w:bCs w:val="false"/>
          <w:i w:val="false"/>
          <w:iCs w:val="false"/>
          <w:color w:val="1A1A1A"/>
          <w:sz w:val="22"/>
          <w:szCs w:val="22"/>
        </w:rPr>
        <w:t xml:space="preserve">The strong-form claim that the substrate's architectural alignments preferentially encode phi-related angular geometry above random null. Three test designs, three null results. The substrate's geometry is consistent with random stellar alignments at the relevant latitudes and epochs.</w:t>
      </w:r>
    </w:p>
    <w:p>
      <w:pPr>
        <w:pStyle w:val="Heading2"/>
        <w:spacing w:after="160" w:before="320"/>
      </w:pPr>
      <w:r>
        <w:rPr>
          <w:rFonts w:ascii="Garamond" w:cs="Garamond" w:eastAsia="Garamond" w:hAnsi="Garamond"/>
          <w:b/>
          <w:bCs/>
          <w:color w:val="8B6F2A"/>
          <w:sz w:val="28"/>
          <w:szCs w:val="28"/>
        </w:rPr>
        <w:t xml:space="preserve">7.4  What the test results actually mean</w:t>
      </w:r>
    </w:p>
    <w:p>
      <w:pPr>
        <w:spacing w:after="120" w:before="100" w:line="320"/>
        <w:jc w:val="both"/>
      </w:pPr>
      <w:r>
        <w:rPr>
          <w:rFonts w:ascii="Garamond" w:cs="Garamond" w:eastAsia="Garamond" w:hAnsi="Garamond"/>
          <w:b w:val="false"/>
          <w:bCs w:val="false"/>
          <w:i w:val="false"/>
          <w:iCs w:val="false"/>
          <w:color w:val="1A1A1A"/>
          <w:sz w:val="22"/>
          <w:szCs w:val="22"/>
        </w:rPr>
        <w:t xml:space="preserve">The failed phi-tests do not undermine the substrate's biological reality as documented in the five aDNA anchors, the architectural reality of the alignments at the substrate monuments, the peer-reviewed dating of the Atlantic façade megalith spread, the Brendan transcript reading via Johnston 2014, or the political-historical record of Dalriada and the Lordship of the Isles. The substrate is real and continuous as a kindred network and as an architectural-calendrical tradition. The strong-form geometric-encoding claim, separately, has not yet survived testing.</w:t>
      </w:r>
    </w:p>
    <w:p>
      <w:pPr>
        <w:spacing w:after="120" w:before="100" w:line="320"/>
        <w:jc w:val="both"/>
      </w:pPr>
      <w:r>
        <w:rPr>
          <w:rFonts w:ascii="Garamond" w:cs="Garamond" w:eastAsia="Garamond" w:hAnsi="Garamond"/>
          <w:b w:val="false"/>
          <w:bCs w:val="false"/>
          <w:i w:val="false"/>
          <w:iCs w:val="false"/>
          <w:color w:val="1F2937"/>
          <w:sz w:val="22"/>
          <w:szCs w:val="22"/>
        </w:rPr>
        <w:t xml:space="preserve">Both statements are part of the same honest reading. The corpus is at evidence-board stage rather than claim-defense stage. Future work that designs better tests, or that tests different specific claims (cross-latitude calendar-sky correspondence, kindred-network architectural alignment, RTI data on the Maeshowe inscriptions), may produce different results.</w:t>
      </w:r>
    </w:p>
    <w:p>
      <w:pPr>
        <w:pStyle w:val="Heading1"/>
        <w:pageBreakBefore/>
        <w:spacing w:after="220" w:before="480"/>
      </w:pPr>
      <w:r>
        <w:rPr>
          <w:rFonts w:ascii="Garamond" w:cs="Garamond" w:eastAsia="Garamond" w:hAnsi="Garamond"/>
          <w:b/>
          <w:bCs/>
          <w:color w:val="0F172A"/>
          <w:sz w:val="36"/>
          <w:szCs w:val="36"/>
        </w:rPr>
        <w:t xml:space="preserve">Chapter 8.  The integrated picture — what the evidence supports together</w:t>
      </w:r>
    </w:p>
    <w:p>
      <w:pPr>
        <w:spacing w:after="120" w:before="100" w:line="320"/>
        <w:jc w:val="both"/>
      </w:pPr>
      <w:r>
        <w:rPr>
          <w:rFonts w:ascii="Garamond" w:cs="Garamond" w:eastAsia="Garamond" w:hAnsi="Garamond"/>
          <w:b w:val="false"/>
          <w:bCs w:val="false"/>
          <w:i w:val="false"/>
          <w:iCs w:val="false"/>
          <w:color w:val="1A1A1A"/>
          <w:sz w:val="22"/>
          <w:szCs w:val="22"/>
        </w:rPr>
        <w:t xml:space="preserve">Reading the architecture, the DNA, the testaments, the documentary chronicles, and the statistical tests together produces a coherent reading. We can state what the evidence now supports as a single integrated thesis.</w:t>
      </w:r>
    </w:p>
    <w:p>
      <w:pPr>
        <w:pStyle w:val="Heading2"/>
        <w:spacing w:after="160" w:before="320"/>
      </w:pPr>
      <w:r>
        <w:rPr>
          <w:rFonts w:ascii="Garamond" w:cs="Garamond" w:eastAsia="Garamond" w:hAnsi="Garamond"/>
          <w:b/>
          <w:bCs/>
          <w:color w:val="8B6F2A"/>
          <w:sz w:val="28"/>
          <w:szCs w:val="28"/>
        </w:rPr>
        <w:t xml:space="preserve">8.1  The thesis</w:t>
      </w:r>
    </w:p>
    <w:p>
      <w:pPr>
        <w:spacing w:after="120" w:before="100" w:line="320"/>
        <w:jc w:val="both"/>
      </w:pPr>
      <w:r>
        <w:rPr>
          <w:rFonts w:ascii="Garamond" w:cs="Garamond" w:eastAsia="Garamond" w:hAnsi="Garamond"/>
          <w:b w:val="false"/>
          <w:bCs w:val="false"/>
          <w:i w:val="false"/>
          <w:iCs w:val="false"/>
          <w:color w:val="1A1A1A"/>
          <w:sz w:val="22"/>
          <w:szCs w:val="22"/>
        </w:rPr>
        <w:t xml:space="preserve">The Atlantic seaboard between approximately 5500 BCE and 1493 CE was occupied by a continuous kindred-organised maritime network operating from the Iberian Mesolithic-Neolithic root through the Atlantic façade megalith building period, the Bronze Age, the Iron Age druid school, the Roman suppression and Christianisation, and into the Norse-Gaelic Gall-Gaedhil fusion that produced the Lordship of the Isles. The network was biologically continuous (documented in five aDNA studies covering ~1,200 ancient genomes), architecturally continuous (documented in the spine of dated alignments from Almendres through Newgrange to the Lordship's strongholds), calendrically continuous (documented in the Coligny calendar artifact, the Brendan transcript timing, and the lunisolar Metonic mathematics that runs across all phases), and politically continuous (documented in the kindred-cenél structure of Dalriada inheriting the Atlantic Neolithic kindred form into the medieval period).</w:t>
      </w:r>
    </w:p>
    <w:p>
      <w:pPr>
        <w:pStyle w:val="Heading2"/>
        <w:spacing w:after="160" w:before="320"/>
      </w:pPr>
      <w:r>
        <w:rPr>
          <w:rFonts w:ascii="Garamond" w:cs="Garamond" w:eastAsia="Garamond" w:hAnsi="Garamond"/>
          <w:b/>
          <w:bCs/>
          <w:color w:val="8B6F2A"/>
          <w:sz w:val="28"/>
          <w:szCs w:val="28"/>
        </w:rPr>
        <w:t xml:space="preserve">8.2  The cross-cultural convergence</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operating-system is independently encoded in seven major testament-streams from cultures with no plausible pre-modern transmission contact. Pythagorean-Hellenic, Roman geographic, Polynesian, Atlantic-Irish immrama, Egyptian, Vedic-Buddhist, and Hopi-Pueblo traditions all preserve the same five-key framework: spherical/circular axial temple, lunisolar Metonic calendar, sacred female guardian, healer-priest with rod-or-arrow authority-marker, and four-worlds-or-four-elements cycle. The convergence is not accidental. The substrate is what these traditions encode in their respective languages.</w:t>
      </w:r>
    </w:p>
    <w:p>
      <w:pPr>
        <w:pStyle w:val="Heading2"/>
        <w:spacing w:after="160" w:before="320"/>
      </w:pPr>
      <w:r>
        <w:rPr>
          <w:rFonts w:ascii="Garamond" w:cs="Garamond" w:eastAsia="Garamond" w:hAnsi="Garamond"/>
          <w:b/>
          <w:bCs/>
          <w:color w:val="8B6F2A"/>
          <w:sz w:val="28"/>
          <w:szCs w:val="28"/>
        </w:rPr>
        <w:t xml:space="preserve">8.3  The four-step methylation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transmission across cultural transitions follows a documented four-step pattern. Identification — the successor system locates and names the substrate. Capture — the substrate is committed to writing or to a manageable form (the Coligny calendar, the Brendan manuscript, the medieval Irish chronicles, the Maeshowe runic inscriptions). Transformation — the captured form is reframed within the successor system's narrative (druid wheel-of-the-year stations renamed to Christian liturgical festivals, Iasconius the substrate-whale recoded as Brendan's Easter mount). Rewriting — the transformed form becomes the successor system's property and the underlying substrate is hidden but not erased. The substrate's information survives the methylation, and modern recovery work lets us read back through the layers.</w:t>
      </w:r>
    </w:p>
    <w:p>
      <w:pPr>
        <w:pStyle w:val="Heading1"/>
        <w:pageBreakBefore/>
        <w:spacing w:after="220" w:before="480"/>
      </w:pPr>
      <w:r>
        <w:rPr>
          <w:rFonts w:ascii="Garamond" w:cs="Garamond" w:eastAsia="Garamond" w:hAnsi="Garamond"/>
          <w:b/>
          <w:bCs/>
          <w:color w:val="0F172A"/>
          <w:sz w:val="36"/>
          <w:szCs w:val="36"/>
        </w:rPr>
        <w:t xml:space="preserve">Chapter 9.  Conclusions and what comes next</w:t>
      </w:r>
    </w:p>
    <w:p>
      <w:pPr>
        <w:pStyle w:val="Heading2"/>
        <w:spacing w:after="160" w:before="320"/>
      </w:pPr>
      <w:r>
        <w:rPr>
          <w:rFonts w:ascii="Garamond" w:cs="Garamond" w:eastAsia="Garamond" w:hAnsi="Garamond"/>
          <w:b/>
          <w:bCs/>
          <w:color w:val="8B6F2A"/>
          <w:sz w:val="28"/>
          <w:szCs w:val="28"/>
        </w:rPr>
        <w:t xml:space="preserve">9.1  What this walk-through has established</w:t>
      </w:r>
    </w:p>
    <w:p>
      <w:pPr>
        <w:spacing w:after="120" w:before="100" w:line="320"/>
        <w:jc w:val="both"/>
      </w:pPr>
      <w:r>
        <w:rPr>
          <w:rFonts w:ascii="Garamond" w:cs="Garamond" w:eastAsia="Garamond" w:hAnsi="Garamond"/>
          <w:b w:val="false"/>
          <w:bCs w:val="false"/>
          <w:i w:val="false"/>
          <w:iCs w:val="false"/>
          <w:color w:val="1A1A1A"/>
          <w:sz w:val="22"/>
          <w:szCs w:val="22"/>
        </w:rPr>
        <w:t xml:space="preserve">The Atlantic substrate is real and documented at every phase of its operation across approximately seven thousand years. The architecture is dated and peer-reviewed. The DNA evidence is published in five major studies covering approximately 1,200 ancient genomes. The primary-source ancient testimony of Caesar, Pliny, Tacitus, Hecataeus, Pomponius Mela, Adomnán, Dicuil, and the Annals of Ulster has been quoted in original and attributed. The medieval chronicles documenting the corridor's last continuous-tradition stronghold under Somerled and the Lordship of the Isles have been cited. The physical artifact of the Coligny calendar exists at the Musée Gallo-Romain in Lyon. The Maeshowe runic deposits exist on the chamber walls. The cross-cultural testament convergence has been laid out across seven independent streams.</w:t>
      </w:r>
    </w:p>
    <w:p>
      <w:pPr>
        <w:spacing w:after="120" w:before="100" w:line="320"/>
        <w:jc w:val="both"/>
      </w:pPr>
      <w:r>
        <w:rPr>
          <w:rFonts w:ascii="Garamond" w:cs="Garamond" w:eastAsia="Garamond" w:hAnsi="Garamond"/>
          <w:b w:val="false"/>
          <w:bCs w:val="false"/>
          <w:i w:val="false"/>
          <w:iCs w:val="false"/>
          <w:color w:val="1A1A1A"/>
          <w:sz w:val="22"/>
          <w:szCs w:val="22"/>
        </w:rPr>
        <w:t xml:space="preserve">The walk-through is intended to be navigable as an evidence trail. Every claim has its ledger card. Every ledger card has its source. Every source has its validation tier. The reader can navigate from any point in the narrative to the underlying evidence and back.</w:t>
      </w:r>
    </w:p>
    <w:p>
      <w:pPr>
        <w:pStyle w:val="Heading2"/>
        <w:spacing w:after="160" w:before="320"/>
      </w:pPr>
      <w:r>
        <w:rPr>
          <w:rFonts w:ascii="Garamond" w:cs="Garamond" w:eastAsia="Garamond" w:hAnsi="Garamond"/>
          <w:b/>
          <w:bCs/>
          <w:color w:val="8B6F2A"/>
          <w:sz w:val="28"/>
          <w:szCs w:val="28"/>
        </w:rPr>
        <w:t xml:space="preserve">9.2  What the walk-through does not claim</w:t>
      </w:r>
    </w:p>
    <w:p>
      <w:pPr>
        <w:spacing w:after="120" w:before="100" w:line="320"/>
        <w:jc w:val="both"/>
      </w:pPr>
      <w:r>
        <w:rPr>
          <w:rFonts w:ascii="Garamond" w:cs="Garamond" w:eastAsia="Garamond" w:hAnsi="Garamond"/>
          <w:b w:val="false"/>
          <w:bCs w:val="false"/>
          <w:i w:val="false"/>
          <w:iCs w:val="false"/>
          <w:color w:val="1A1A1A"/>
          <w:sz w:val="22"/>
          <w:szCs w:val="22"/>
        </w:rPr>
        <w:t xml:space="preserve">The walk-through does not claim that the substrate's architectural alignments preferentially encode phi-related angular geometry above random — three statistical tests have produced null results. The walk-through does not claim a specific direct genetic line from Newgrange NG10 to medieval Argyll kindreds — the autosomal continuity is plausible but the specific lineage chain has not been directly tested with sampled remains. Where the evidence is contested, the walk-through marks the contestation. Where statistical tests have failed, the walk-through reports the failures.</w:t>
      </w:r>
    </w:p>
    <w:p>
      <w:pPr>
        <w:pStyle w:val="Heading2"/>
        <w:spacing w:after="160" w:before="320"/>
      </w:pPr>
      <w:r>
        <w:rPr>
          <w:rFonts w:ascii="Garamond" w:cs="Garamond" w:eastAsia="Garamond" w:hAnsi="Garamond"/>
          <w:b/>
          <w:bCs/>
          <w:color w:val="8B6F2A"/>
          <w:sz w:val="28"/>
          <w:szCs w:val="28"/>
        </w:rPr>
        <w:t xml:space="preserve">9.3  What comes next</w:t>
      </w:r>
    </w:p>
    <w:p>
      <w:pPr>
        <w:spacing w:after="120" w:before="100" w:line="320"/>
        <w:jc w:val="both"/>
      </w:pPr>
      <w:r>
        <w:rPr>
          <w:rFonts w:ascii="Garamond" w:cs="Garamond" w:eastAsia="Garamond" w:hAnsi="Garamond"/>
          <w:b w:val="false"/>
          <w:bCs w:val="false"/>
          <w:i w:val="false"/>
          <w:iCs w:val="false"/>
          <w:color w:val="1A1A1A"/>
          <w:sz w:val="22"/>
          <w:szCs w:val="22"/>
        </w:rPr>
        <w:t xml:space="preserve">The corpus has identified six future work streams. First, direct genetic continuity tests from Newgrange-era passage-tomb burials to medieval Argyll-Hebridean clan-founder remains. Second, I2d-Y3709 distribution analysis in modern Argyll-clan descendants (MacDougall, MacDonald, Campbell) using surname-cluster Y-haplotype databases. Third, RTI data acquisition for Maeshowe inscription Nr.15 from the Archaeology Data Service York. Fourth, transcript-readings of the Children of Lir, the Voyage of Mael Dúin, the Lebor Gabála Érenn, and the Norse Vinland sagas using the Brendan-transcript method. Fifth, cross-latitude calendar-sky correspondence tests at Newgrange, Almendres, Carnac, and Maeshowe. Sixth, Antarctic geophysical cross-reference of the candidate site at -86.07°S, 112.29°E against BEDMAP3, ADMAP-2.0, and the Aitken 2014 Wilkes Land subglacial fault-system documentation.</w:t>
      </w:r>
    </w:p>
    <w:p>
      <w:pPr>
        <w:spacing w:after="120" w:before="100" w:line="320"/>
        <w:jc w:val="both"/>
      </w:pPr>
      <w:r>
        <w:rPr>
          <w:rFonts w:ascii="Garamond" w:cs="Garamond" w:eastAsia="Garamond" w:hAnsi="Garamond"/>
          <w:b w:val="false"/>
          <w:bCs w:val="false"/>
          <w:i w:val="false"/>
          <w:iCs w:val="false"/>
          <w:color w:val="1A1A1A"/>
          <w:sz w:val="22"/>
          <w:szCs w:val="22"/>
        </w:rPr>
        <w:t xml:space="preserve">Each future work stream extends the integrated picture in a specific testable direction. None depends on any single claim being right. The substrate's reality as a continuous kindred network and architectural-calendrical tradition is established by the existing evidence. The future work refines specific claims within that established frame.</w:t>
      </w:r>
    </w:p>
    <w:p>
      <w:pPr>
        <w:pStyle w:val="Heading2"/>
        <w:spacing w:after="160" w:before="320"/>
      </w:pPr>
      <w:r>
        <w:rPr>
          <w:rFonts w:ascii="Garamond" w:cs="Garamond" w:eastAsia="Garamond" w:hAnsi="Garamond"/>
          <w:b/>
          <w:bCs/>
          <w:color w:val="8B6F2A"/>
          <w:sz w:val="28"/>
          <w:szCs w:val="28"/>
        </w:rPr>
        <w:t xml:space="preserve">9.4  A final word</w:t>
      </w:r>
    </w:p>
    <w:p>
      <w:pPr>
        <w:spacing w:after="120" w:before="100" w:line="320"/>
        <w:jc w:val="both"/>
      </w:pPr>
      <w:r>
        <w:rPr>
          <w:rFonts w:ascii="Garamond" w:cs="Garamond" w:eastAsia="Garamond" w:hAnsi="Garamond"/>
          <w:b w:val="false"/>
          <w:bCs w:val="false"/>
          <w:i w:val="false"/>
          <w:iCs w:val="false"/>
          <w:color w:val="1A1A1A"/>
          <w:sz w:val="22"/>
          <w:szCs w:val="22"/>
        </w:rPr>
        <w:t xml:space="preserve">The walk-through has taken the reader from A to B. From the question of whether three phenomena belong to a single phenomenon, through the architecture spine, the DNA proof-spine, the cross-cultural testament convergence, the late-Iron-Age druid phase, the medieval Argyll corridor, and the honest reporting of the statistical tests, to the integrated picture of a continuous substrate operating-system documented across approximately seven thousand years.</w:t>
      </w:r>
    </w:p>
    <w:p>
      <w:pPr>
        <w:spacing w:after="120" w:before="100" w:line="320"/>
        <w:jc w:val="both"/>
      </w:pPr>
      <w:r>
        <w:rPr>
          <w:rFonts w:ascii="Garamond" w:cs="Garamond" w:eastAsia="Garamond" w:hAnsi="Garamond"/>
          <w:b w:val="false"/>
          <w:bCs w:val="false"/>
          <w:i w:val="false"/>
          <w:iCs w:val="false"/>
          <w:color w:val="1A1A1A"/>
          <w:sz w:val="22"/>
          <w:szCs w:val="22"/>
        </w:rPr>
        <w:t xml:space="preserve">The work is built on open-source data, peer-reviewed publications, primary-source ancient and medieval testimony, and physical artifacts in named museums. The Validation Metrics Ledger v1 provides the full audit trail. The substrate paper, the storyboards, the DNA kindred-flow map, the testaments-of-the-threshold pattern-match, and this walk-through are now all in the corpus and read together as an integrated argument.</w:t>
      </w:r>
    </w:p>
    <w:p>
      <w:pPr>
        <w:spacing w:after="120" w:before="100" w:line="320"/>
        <w:jc w:val="both"/>
      </w:pPr>
      <w:r>
        <w:rPr>
          <w:rFonts w:ascii="Garamond" w:cs="Garamond" w:eastAsia="Garamond" w:hAnsi="Garamond"/>
          <w:b w:val="false"/>
          <w:bCs w:val="false"/>
          <w:i w:val="false"/>
          <w:iCs w:val="false"/>
          <w:color w:val="1F2937"/>
          <w:sz w:val="22"/>
          <w:szCs w:val="22"/>
        </w:rPr>
        <w:t xml:space="preserve">The substrate is real and continuous, the architecture and the DNA say so, the testaments from independent traditions converge on the same operating-system, the chronicles and the physical artifacts confirm the late-medieval corridor, the strong-form geometric-encoding claim has not yet survived testing, and the work has more questions to answer than it has answered. All of these statements are part of the same honest reading. We have arrived at B.</w:t>
      </w:r>
    </w:p>
    <w:p>
      <w:pPr>
        <w:pBdr>
          <w:bottom w:val="single" w:color="C8A45A" w:sz="6" w:space="1"/>
        </w:pBdr>
        <w:spacing w:after="160" w:before="100"/>
      </w:pPr>
      <w:r>
        <w:t xml:space="preserve"/>
      </w:r>
    </w:p>
    <w:p>
      <w:pPr>
        <w:pStyle w:val="Heading1"/>
        <w:spacing w:after="220" w:before="480"/>
      </w:pPr>
      <w:r>
        <w:rPr>
          <w:rFonts w:ascii="Garamond" w:cs="Garamond" w:eastAsia="Garamond" w:hAnsi="Garamond"/>
          <w:b/>
          <w:bCs/>
          <w:color w:val="0F172A"/>
          <w:sz w:val="36"/>
          <w:szCs w:val="36"/>
        </w:rPr>
        <w:t xml:space="preserve">Companion documents</w:t>
      </w:r>
    </w:p>
    <w:p>
      <w:pPr>
        <w:spacing w:after="120" w:before="100" w:line="320"/>
        <w:jc w:val="both"/>
      </w:pPr>
      <w:r>
        <w:rPr>
          <w:rFonts w:ascii="Garamond" w:cs="Garamond" w:eastAsia="Garamond" w:hAnsi="Garamond"/>
          <w:b w:val="false"/>
          <w:bCs w:val="false"/>
          <w:i w:val="false"/>
          <w:iCs w:val="false"/>
          <w:color w:val="1A1A1A"/>
          <w:sz w:val="22"/>
          <w:szCs w:val="22"/>
        </w:rPr>
        <w:t xml:space="preserve">This walk-through stands in a four-document corpus. Each document serves a different function and they cross-reference one another.</w:t>
      </w:r>
    </w:p>
    <w:p>
      <w:pPr>
        <w:spacing w:after="120" w:before="100" w:line="320"/>
        <w:jc w:val="both"/>
      </w:pPr>
      <w:r>
        <w:rPr>
          <w:rFonts w:ascii="Garamond" w:cs="Garamond" w:eastAsia="Garamond" w:hAnsi="Garamond"/>
          <w:b w:val="false"/>
          <w:bCs w:val="false"/>
          <w:i w:val="false"/>
          <w:iCs w:val="false"/>
          <w:color w:val="1A1A1A"/>
          <w:sz w:val="19"/>
          <w:szCs w:val="19"/>
        </w:rPr>
        <w:t xml:space="preserve">  ·  The_Atlantic_Substrate_v1.docx — the formal working paper with abstract, full argument, references, intended for ResearchGate and Academia.edu submission.</w:t>
      </w:r>
    </w:p>
    <w:p>
      <w:pPr>
        <w:spacing w:after="120" w:before="100" w:line="320"/>
        <w:jc w:val="both"/>
      </w:pPr>
      <w:r>
        <w:rPr>
          <w:rFonts w:ascii="Garamond" w:cs="Garamond" w:eastAsia="Garamond" w:hAnsi="Garamond"/>
          <w:b w:val="false"/>
          <w:bCs w:val="false"/>
          <w:i w:val="false"/>
          <w:iCs w:val="false"/>
          <w:color w:val="1A1A1A"/>
          <w:sz w:val="19"/>
          <w:szCs w:val="19"/>
        </w:rPr>
        <w:t xml:space="preserve">  ·  Validation_Metrics_Ledger_v1.docx — the audit trail. 37 chronological anchor dates, 22 primary data sources, 8 validation tiers, 10 statistical tests with outcomes. Every claim in any other corpus document traces back to the ledger entries.</w:t>
      </w:r>
    </w:p>
    <w:p>
      <w:pPr>
        <w:spacing w:after="120" w:before="100" w:line="320"/>
        <w:jc w:val="both"/>
      </w:pPr>
      <w:r>
        <w:rPr>
          <w:rFonts w:ascii="Garamond" w:cs="Garamond" w:eastAsia="Garamond" w:hAnsi="Garamond"/>
          <w:b w:val="false"/>
          <w:bCs w:val="false"/>
          <w:i w:val="false"/>
          <w:iCs w:val="false"/>
          <w:color w:val="1A1A1A"/>
          <w:sz w:val="19"/>
          <w:szCs w:val="19"/>
        </w:rPr>
        <w:t xml:space="preserve">  ·  atlantic_substrate_storyboard_v3.png — the one-page visual summary with the DNA proof-spine. Reads as evidence-board for any audience.</w:t>
      </w:r>
    </w:p>
    <w:p>
      <w:pPr>
        <w:spacing w:after="120" w:before="100" w:line="320"/>
        <w:jc w:val="both"/>
      </w:pPr>
      <w:r>
        <w:rPr>
          <w:rFonts w:ascii="Garamond" w:cs="Garamond" w:eastAsia="Garamond" w:hAnsi="Garamond"/>
          <w:b w:val="false"/>
          <w:bCs w:val="false"/>
          <w:i w:val="false"/>
          <w:iCs w:val="false"/>
          <w:color w:val="1A1A1A"/>
          <w:sz w:val="19"/>
          <w:szCs w:val="19"/>
        </w:rPr>
        <w:t xml:space="preserve">  ·  dna_kindred_flow_map.png — the geographic anchor with all five aDNA studies pinned to their sites and the Norse-Gael fusion arrows showing Somerled's lineage convergence.</w:t>
      </w:r>
    </w:p>
    <w:p>
      <w:pPr>
        <w:spacing w:after="120" w:before="100" w:line="320"/>
        <w:jc w:val="both"/>
      </w:pPr>
      <w:r>
        <w:rPr>
          <w:rFonts w:ascii="Garamond" w:cs="Garamond" w:eastAsia="Garamond" w:hAnsi="Garamond"/>
          <w:b w:val="false"/>
          <w:bCs w:val="false"/>
          <w:i w:val="false"/>
          <w:iCs w:val="false"/>
          <w:color w:val="1A1A1A"/>
          <w:sz w:val="19"/>
          <w:szCs w:val="19"/>
        </w:rPr>
        <w:t xml:space="preserve">  ·  brendan_storyboard.png — the Brendan-transcript reading as substrate document.</w:t>
      </w:r>
    </w:p>
    <w:p>
      <w:pPr>
        <w:spacing w:after="120" w:before="100" w:line="320"/>
        <w:jc w:val="both"/>
      </w:pPr>
      <w:r>
        <w:rPr>
          <w:rFonts w:ascii="Garamond" w:cs="Garamond" w:eastAsia="Garamond" w:hAnsi="Garamond"/>
          <w:b w:val="false"/>
          <w:bCs w:val="false"/>
          <w:i w:val="false"/>
          <w:iCs w:val="false"/>
          <w:color w:val="1A1A1A"/>
          <w:sz w:val="19"/>
          <w:szCs w:val="19"/>
        </w:rPr>
        <w:t xml:space="preserve">  ·  druid_storyboard.png — the four-step methylation, eight-fold wheel, primary-source witnesses, architectural timeline.</w:t>
      </w:r>
    </w:p>
    <w:p>
      <w:pPr>
        <w:spacing w:after="120" w:before="100" w:line="320"/>
        <w:jc w:val="both"/>
      </w:pPr>
      <w:r>
        <w:rPr>
          <w:rFonts w:ascii="Garamond" w:cs="Garamond" w:eastAsia="Garamond" w:hAnsi="Garamond"/>
          <w:b w:val="false"/>
          <w:bCs w:val="false"/>
          <w:i w:val="false"/>
          <w:iCs w:val="false"/>
          <w:color w:val="1A1A1A"/>
          <w:sz w:val="19"/>
          <w:szCs w:val="19"/>
        </w:rPr>
        <w:t xml:space="preserve">  ·  testaments_threshold.png — the seven-stream cross-cultural pattern-match.</w:t>
      </w:r>
    </w:p>
    <w:p>
      <w:pPr>
        <w:spacing w:after="120" w:before="100" w:line="320"/>
        <w:jc w:val="both"/>
      </w:pPr>
      <w:r>
        <w:rPr>
          <w:rFonts w:ascii="Garamond" w:cs="Garamond" w:eastAsia="Garamond" w:hAnsi="Garamond"/>
          <w:b w:val="false"/>
          <w:bCs w:val="false"/>
          <w:i w:val="false"/>
          <w:iCs w:val="false"/>
          <w:color w:val="1A1A1A"/>
          <w:sz w:val="19"/>
          <w:szCs w:val="19"/>
        </w:rPr>
        <w:t xml:space="preserve">  ·  This walk-through document — From A to B v1.0 — the reader-narrative threading the ledger records into the integrated story-flow.</w:t>
      </w:r>
    </w:p>
    <w:p>
      <w:pPr>
        <w:pBdr>
          <w:bottom w:val="single" w:color="C8A45A" w:sz="6" w:space="1"/>
        </w:pBdr>
        <w:spacing w:after="160" w:before="100"/>
      </w:pPr>
      <w:r>
        <w:t xml:space="preserve"/>
      </w:r>
    </w:p>
    <w:p>
      <w:pPr>
        <w:spacing w:after="120" w:before="100" w:line="320"/>
        <w:jc w:val="center"/>
      </w:pPr>
      <w:r>
        <w:rPr>
          <w:rFonts w:ascii="Garamond" w:cs="Garamond" w:eastAsia="Garamond" w:hAnsi="Garamond"/>
          <w:b w:val="false"/>
          <w:bCs w:val="false"/>
          <w:i/>
          <w:iCs/>
          <w:color w:val="777777"/>
          <w:sz w:val="16"/>
          <w:szCs w:val="16"/>
        </w:rPr>
        <w:t xml:space="preserve">© 2026 Gary Anthony Leckey. Aureon Institute / R&amp;A Consulting and Brokerage Services Ltd. Belfast, Northern Ireland. Walk-through edition v1.0. All cited data is open-source and peer-reviewed where applicable.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9"/>
        <w:szCs w:val="19"/>
      </w:rPr>
      <w:t xml:space="preserve">page </w:t>
    </w:r>
    <w:r>
      <w:rPr>
        <w:rFonts w:ascii="Garamond" w:cs="Garamond" w:eastAsia="Garamond" w:hAnsi="Garamond"/>
        <w:color w:val="888888"/>
        <w:sz w:val="19"/>
        <w:szCs w:val="19"/>
      </w:rPr>
      <w:fldChar w:fldCharType="begin"/>
      <w:instrText xml:space="preserve">PAGE</w:instrText>
      <w:fldChar w:fldCharType="separate"/>
      <w:fldChar w:fldCharType="end"/>
    </w:r>
    <w:r>
      <w:rPr>
        <w:rFonts w:ascii="Garamond" w:cs="Garamond" w:eastAsia="Garamond" w:hAnsi="Garamond"/>
        <w:color w:val="888888"/>
        <w:sz w:val="19"/>
        <w:szCs w:val="19"/>
      </w:rPr>
      <w:t xml:space="preserve"> of </w:t>
    </w:r>
    <w:r>
      <w:rPr>
        <w:rFonts w:ascii="Garamond" w:cs="Garamond" w:eastAsia="Garamond" w:hAnsi="Garamond"/>
        <w:color w:val="888888"/>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9"/>
        <w:szCs w:val="19"/>
      </w:rPr>
      <w:t xml:space="preserve">From A to B  ·  G.A. Leckey  ·  Aureon Institute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0F172A"/>
      <w:sz w:val="36"/>
      <w:szCs w:val="36"/>
    </w:rPr>
  </w:style>
  <w:style w:type="paragraph" w:styleId="Heading2">
    <w:name w:val="Heading 2"/>
    <w:basedOn w:val="Normal"/>
    <w:next w:val="Normal"/>
    <w:qFormat/>
    <w:pPr>
      <w:spacing w:after="160" w:before="320"/>
      <w:outlineLvl w:val="1"/>
    </w:pPr>
    <w:rPr>
      <w:rFonts w:ascii="Garamond" w:cs="Garamond" w:eastAsia="Garamond" w:hAnsi="Garamond"/>
      <w:b/>
      <w:bCs/>
      <w:color w:val="8B6F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 to B — the substrate walk-through</dc:title>
  <dc:creator>Gary Anthony Leckey, Aureon Institute</dc:creator>
  <dc:description>Reader walk-through with integrated ledger records, v1.0</dc:description>
  <cp:lastModifiedBy>Un-named</cp:lastModifiedBy>
  <cp:revision>1</cp:revision>
  <dcterms:created xsi:type="dcterms:W3CDTF">2026-05-01T21:32:47.099Z</dcterms:created>
  <dcterms:modified xsi:type="dcterms:W3CDTF">2026-05-01T21:32:47.117Z</dcterms:modified>
</cp:coreProperties>
</file>

<file path=docProps/custom.xml><?xml version="1.0" encoding="utf-8"?>
<Properties xmlns="http://schemas.openxmlformats.org/officeDocument/2006/custom-properties" xmlns:vt="http://schemas.openxmlformats.org/officeDocument/2006/docPropsVTypes"/>
</file>