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80"/>
        <w:jc w:val="center"/>
      </w:pPr>
      <w:r>
        <w:rPr>
          <w:rFonts w:ascii="Garamond" w:cs="Garamond" w:eastAsia="Garamond" w:hAnsi="Garamond"/>
          <w:b/>
          <w:bCs/>
          <w:color w:val="0F172A"/>
          <w:sz w:val="56"/>
          <w:szCs w:val="56"/>
        </w:rPr>
        <w:t xml:space="preserve">THE ATLANTIC SUBSTRATE</w:t>
      </w:r>
    </w:p>
    <w:p>
      <w:pPr>
        <w:spacing w:after="80" w:before="0"/>
        <w:jc w:val="center"/>
      </w:pPr>
      <w:r>
        <w:rPr>
          <w:rFonts w:ascii="Garamond" w:cs="Garamond" w:eastAsia="Garamond" w:hAnsi="Garamond"/>
          <w:i/>
          <w:iCs/>
          <w:color w:val="8B6F2A"/>
          <w:sz w:val="28"/>
          <w:szCs w:val="28"/>
        </w:rPr>
        <w:t xml:space="preserve">How the kindred network ran from the Iberian Mesolithic to the Hebridean corridor</w:t>
      </w:r>
    </w:p>
    <w:p>
      <w:pPr>
        <w:spacing w:after="360" w:before="0"/>
        <w:jc w:val="center"/>
      </w:pPr>
      <w:r>
        <w:rPr>
          <w:rFonts w:ascii="Garamond" w:cs="Garamond" w:eastAsia="Garamond" w:hAnsi="Garamond"/>
          <w:i/>
          <w:iCs/>
          <w:color w:val="555555"/>
          <w:sz w:val="22"/>
          <w:szCs w:val="22"/>
        </w:rPr>
        <w:t xml:space="preserve">An evidence-based reader walk-through  ·  ~6,000 years  ·  ancient DNA, archaeology, and the surviving manuscript record</w:t>
      </w:r>
    </w:p>
    <w:p>
      <w:pPr>
        <w:spacing w:after="100" w:before="360"/>
        <w:jc w:val="center"/>
      </w:pPr>
      <w:r>
        <w:rPr>
          <w:rFonts w:ascii="Garamond" w:cs="Garamond" w:eastAsia="Garamond" w:hAnsi="Garamond"/>
          <w:b/>
          <w:bCs/>
          <w:color w:val="1F2937"/>
          <w:sz w:val="26"/>
          <w:szCs w:val="26"/>
        </w:rPr>
        <w:t xml:space="preserve">Gary Anthony Leckey</w:t>
      </w:r>
    </w:p>
    <w:p>
      <w:pPr>
        <w:spacing w:after="60" w:before="0"/>
        <w:jc w:val="center"/>
      </w:pPr>
      <w:r>
        <w:rPr>
          <w:rFonts w:ascii="Garamond" w:cs="Garamond" w:eastAsia="Garamond" w:hAnsi="Garamond"/>
          <w:i/>
          <w:iCs/>
          <w:color w:val="555555"/>
          <w:sz w:val="22"/>
          <w:szCs w:val="22"/>
        </w:rPr>
        <w:t xml:space="preserve">Aureon Institute  ·  R&amp;A Consulting and Brokerage Services Ltd</w:t>
      </w:r>
    </w:p>
    <w:p>
      <w:pPr>
        <w:spacing w:after="60" w:before="0"/>
        <w:jc w:val="center"/>
      </w:pPr>
      <w:r>
        <w:rPr>
          <w:rFonts w:ascii="Garamond" w:cs="Garamond" w:eastAsia="Garamond" w:hAnsi="Garamond"/>
          <w:color w:val="555555"/>
          <w:sz w:val="20"/>
          <w:szCs w:val="20"/>
        </w:rPr>
        <w:t xml:space="preserve">Belfast, BT12 4HX  ·  gaxlec@gmail.com</w:t>
      </w:r>
    </w:p>
    <w:p>
      <w:pPr>
        <w:spacing w:after="480" w:before="60"/>
        <w:jc w:val="center"/>
      </w:pPr>
      <w:r>
        <w:rPr>
          <w:rFonts w:ascii="Garamond" w:cs="Garamond" w:eastAsia="Garamond" w:hAnsi="Garamond"/>
          <w:i/>
          <w:iCs/>
          <w:color w:val="888888"/>
          <w:sz w:val="20"/>
          <w:szCs w:val="20"/>
        </w:rPr>
        <w:t xml:space="preserve">1 May 2026  ·  Working paper, version 1.0</w:t>
      </w:r>
    </w:p>
    <w:p>
      <w:pPr>
        <w:pBdr>
          <w:bottom w:val="single" w:color="C8A45A" w:sz="6" w:space="1"/>
        </w:pBdr>
        <w:spacing w:after="160" w:before="100"/>
      </w:pPr>
      <w:r>
        <w:t xml:space="preserve"/>
      </w:r>
    </w:p>
    <w:p>
      <w:pPr>
        <w:pStyle w:val="Heading1"/>
        <w:spacing w:after="220" w:before="480"/>
      </w:pPr>
      <w:r>
        <w:rPr>
          <w:rFonts w:ascii="Garamond" w:cs="Garamond" w:eastAsia="Garamond" w:hAnsi="Garamond"/>
          <w:b/>
          <w:bCs/>
          <w:color w:val="0F172A"/>
          <w:sz w:val="36"/>
          <w:szCs w:val="36"/>
        </w:rPr>
        <w:t xml:space="preserve">Abstract</w:t>
      </w:r>
    </w:p>
    <w:p>
      <w:pPr>
        <w:spacing w:after="120" w:before="100" w:line="320"/>
        <w:jc w:val="both"/>
      </w:pPr>
      <w:r>
        <w:rPr>
          <w:rFonts w:ascii="Garamond" w:cs="Garamond" w:eastAsia="Garamond" w:hAnsi="Garamond"/>
          <w:b w:val="false"/>
          <w:bCs w:val="false"/>
          <w:i w:val="false"/>
          <w:iCs w:val="false"/>
          <w:color w:val="1A1A1A"/>
          <w:sz w:val="22"/>
          <w:szCs w:val="22"/>
        </w:rPr>
        <w:t xml:space="preserve">This paper assembles the open-source evidence for an Atlantic-seaboard kindred network operating continuously from the Iberian Mesolithic-Neolithic transition (~5500 BCE) to the Norse-Gael Argyll-Hebridean corridor (~1493 CE). The argument is built on five peer-reviewed ancient-DNA studies covering ~1,200 ancient genomes (Olalde et al. 2019 Science; Sánchez-Quinto et al. 2019 PNAS; Cassidy et al. 2016 PNAS; Cassidy et al. 2020 Nature; Margaryan et al. 2020 Nature) cross-referenced against (a) the Schulz Paulsson 2019 PNAS Bayesian-radiocarbon model of Atlantic megalith maritime diffusion; (b) the documented architectural alignments at Newgrange (Patrick 1974 Nature), Maeshowe, Stonehenge, Stenness, Carnac, Almendres, and Antequera; (c) the primary-source ancient testimony of Caesar, Pliny, and Tacitus on the druid system, plus the surviving Coligny calendar; and (d) the medieval chronicle record of Iona, Dalriada, the Cenél Loairn around Oban, and the Norse-Gael fusion that consolidated under Somerled rí Innse Gall in the twelfth century.</w:t>
      </w:r>
    </w:p>
    <w:p>
      <w:pPr>
        <w:spacing w:after="120" w:before="100" w:line="320"/>
        <w:jc w:val="both"/>
      </w:pPr>
      <w:r>
        <w:rPr>
          <w:rFonts w:ascii="Garamond" w:cs="Garamond" w:eastAsia="Garamond" w:hAnsi="Garamond"/>
          <w:b w:val="false"/>
          <w:bCs w:val="false"/>
          <w:i w:val="false"/>
          <w:iCs w:val="false"/>
          <w:color w:val="1A1A1A"/>
          <w:sz w:val="22"/>
          <w:szCs w:val="22"/>
        </w:rPr>
        <w:t xml:space="preserve">The DNA evidence shifts the substrate from a hypothesis-of-contact between regional cultures to a demonstrably interlinked single network. Newgrange burial NG10 (~3200 BCE) is the offspring of a first-degree incestuous union and has identified biological relatives at Carrowkeel in Sligo and Millin Bay in Down, more than 100 km away. The kindred was operating across the whole island in a single politico-religious elite at the moment the great passage tombs were built. The Y-haplogroup I2d-Y3709, attested in British Neolithic males, persists in modern Scottish and Irish populations — direct male-line descent surviving the Bell Beaker (~2500 BCE) and Norse (~750-1050 CE) methylation events. The maternal lineages preserve still greater continuity. Margaryan et al.'s 442 Viking-age genomes confirm that Norwegian Y-lines arrived in Ireland, Iceland, the Faroes, and the corridor 750-1050 CE and mixed with the substrate carriers to produce the Norse-Gaelic Gall-Gaedhil — the late-phase kindred form that Somerled's lineage represents.</w:t>
      </w:r>
    </w:p>
    <w:p>
      <w:pPr>
        <w:spacing w:after="120" w:before="100" w:line="320"/>
        <w:jc w:val="both"/>
      </w:pPr>
      <w:r>
        <w:rPr>
          <w:rFonts w:ascii="Garamond" w:cs="Garamond" w:eastAsia="Garamond" w:hAnsi="Garamond"/>
          <w:b w:val="false"/>
          <w:bCs w:val="false"/>
          <w:i w:val="false"/>
          <w:iCs w:val="false"/>
          <w:color w:val="1A1A1A"/>
          <w:sz w:val="22"/>
          <w:szCs w:val="22"/>
        </w:rPr>
        <w:t xml:space="preserve">We argue that the substrate's organisational form — patrilineal endogamy with mtDNA continuity, ship-based military service, kindred-network political organisation, calendar-bound maritime navigation — persists for 4,300 years from the Newgrange dynastic elite to the Lordship of the Isles. The paper trail (Brendan voyage, immrama, Lebor Gabála Érenn, the Coligny calendar, the medieval Irish and Norse chronicles) preserves the substrate's late-phase self-narrative under successive cultural overlays. The DNA confirms the biological reality beneath the narrative.</w:t>
      </w:r>
    </w:p>
    <w:p>
      <w:pPr>
        <w:spacing w:after="120" w:before="100" w:line="320"/>
        <w:jc w:val="both"/>
      </w:pPr>
      <w:r>
        <w:rPr>
          <w:rFonts w:ascii="Garamond" w:cs="Garamond" w:eastAsia="Garamond" w:hAnsi="Garamond"/>
          <w:b w:val="false"/>
          <w:bCs w:val="false"/>
          <w:i w:val="false"/>
          <w:iCs w:val="false"/>
          <w:color w:val="1F2937"/>
          <w:sz w:val="22"/>
          <w:szCs w:val="22"/>
        </w:rPr>
        <w:t xml:space="preserve">Statistical tests of phi-encoded angular structure in substrate alignments have produced null results across three test designs (terrestrial phi-grid, visible-sky pairwise, calendar-dawn-rising ratios). Specific sub-0.15% Pythagorean interval matches between specific star pairs at Newgrange dawn are real but the aggregate count is below random null. The Pleiades-Belt-Sirius angular triangle (p=0.019) and the Venus-Earth orbital pentagram (established mechanics) are the surviving phi-related findings. The paper takes a position of evidence-board honesty: the substrate is real and continuous as a kindred network and as an architectural-calendrical tradition, but the strong-form claim that its alignment geometry is preferentially phi-encoded is not yet supported.</w:t>
      </w:r>
    </w:p>
    <w:p>
      <w:pPr>
        <w:spacing w:after="0" w:before="240"/>
      </w:pPr>
      <w:r>
        <w:rPr>
          <w:rFonts w:ascii="Garamond" w:cs="Garamond" w:eastAsia="Garamond" w:hAnsi="Garamond"/>
          <w:b/>
          <w:bCs/>
          <w:i w:val="false"/>
          <w:iCs w:val="false"/>
          <w:color w:val="555555"/>
          <w:sz w:val="19"/>
          <w:szCs w:val="19"/>
        </w:rPr>
        <w:t xml:space="preserve">Keywords:  </w:t>
      </w:r>
      <w:r>
        <w:rPr>
          <w:rFonts w:ascii="Garamond" w:cs="Garamond" w:eastAsia="Garamond" w:hAnsi="Garamond"/>
          <w:b w:val="false"/>
          <w:bCs w:val="false"/>
          <w:i w:val="false"/>
          <w:iCs w:val="false"/>
          <w:color w:val="555555"/>
          <w:sz w:val="19"/>
          <w:szCs w:val="19"/>
        </w:rPr>
        <w:t xml:space="preserve">Atlantic façade · Mesolithic · Neolithic · ancient DNA · kindred network · megalith · druid system · Newgrange · Coligny calendar · Somerled · Gall-Gaedhil · Lordship of the Isles · songline · Brendan voyage</w:t>
      </w:r>
    </w:p>
    <w:p>
      <w:r>
        <w:br w:type="page"/>
      </w:r>
    </w:p>
    <w:p>
      <w:pPr>
        <w:pStyle w:val="Heading1"/>
        <w:spacing w:after="220" w:before="480"/>
      </w:pPr>
      <w:r>
        <w:rPr>
          <w:rFonts w:ascii="Garamond" w:cs="Garamond" w:eastAsia="Garamond" w:hAnsi="Garamond"/>
          <w:b/>
          <w:bCs/>
          <w:color w:val="0F172A"/>
          <w:sz w:val="36"/>
          <w:szCs w:val="36"/>
        </w:rPr>
        <w:t xml:space="preserve">1.  Introduction — what this paper sets out to prove and how</w:t>
      </w:r>
    </w:p>
    <w:p>
      <w:pPr>
        <w:spacing w:after="120" w:before="100" w:line="320"/>
        <w:jc w:val="both"/>
      </w:pPr>
      <w:r>
        <w:rPr>
          <w:rFonts w:ascii="Garamond" w:cs="Garamond" w:eastAsia="Garamond" w:hAnsi="Garamond"/>
          <w:b w:val="false"/>
          <w:bCs w:val="false"/>
          <w:i w:val="false"/>
          <w:iCs w:val="false"/>
          <w:color w:val="1A1A1A"/>
          <w:sz w:val="22"/>
          <w:szCs w:val="22"/>
        </w:rPr>
        <w:t xml:space="preserve">The orthodox histories of north-western Europe usually treat the megalith builders, the druid astronomers, and the Norse-Gael lords as three separate phenomena belonging to three different periods and three different cultural contexts. The argument of this paper is that they are three phases of a single continuous substrate — a kindred-organised maritime network operating along the Atlantic seaboard from at least the fifth millennium BCE to the late fifteenth century CE, with biological lineages, architectural conventions, calendrical mathematics, and political organisation all traceable across the entire span.</w:t>
      </w:r>
    </w:p>
    <w:p>
      <w:pPr>
        <w:spacing w:after="120" w:before="100" w:line="320"/>
        <w:jc w:val="both"/>
      </w:pPr>
      <w:r>
        <w:rPr>
          <w:rFonts w:ascii="Garamond" w:cs="Garamond" w:eastAsia="Garamond" w:hAnsi="Garamond"/>
          <w:b w:val="false"/>
          <w:bCs w:val="false"/>
          <w:i w:val="false"/>
          <w:iCs w:val="false"/>
          <w:color w:val="1A1A1A"/>
          <w:sz w:val="22"/>
          <w:szCs w:val="22"/>
        </w:rPr>
        <w:t xml:space="preserve">We do not need to prove this in the strong form by demonstrating that every Atlantic megalith builder thought of themselves as part of the same people as Somerled's Hebridean Norse-Gael fleet 4,300 years later. We need to prove it in the weak-but-decisive form: that the network was structurally continuous in its organisational form, biologically continuous in lineage signal, and culturally continuous in its core practices (calendar binding, kindred political organisation, maritime ship-based service, monumental architecture aligned to solar and lunar events). The ancient DNA evidence published in the past decade closes the gap that previous scholarship could only treat as inference.</w:t>
      </w:r>
    </w:p>
    <w:p>
      <w:pPr>
        <w:spacing w:after="120" w:before="100" w:line="320"/>
        <w:jc w:val="both"/>
      </w:pPr>
      <w:r>
        <w:rPr>
          <w:rFonts w:ascii="Garamond" w:cs="Garamond" w:eastAsia="Garamond" w:hAnsi="Garamond"/>
          <w:b w:val="false"/>
          <w:bCs w:val="false"/>
          <w:i w:val="false"/>
          <w:iCs w:val="false"/>
          <w:color w:val="1A1A1A"/>
          <w:sz w:val="22"/>
          <w:szCs w:val="22"/>
        </w:rPr>
        <w:t xml:space="preserve">The paper proceeds as follows. Section 2 lays out the geography and establishes the chronology with peer-reviewed dates. Section 3 walks through the five ancient-DNA anchor studies that define the kindred network in the bones. Section 4 covers the architectural evidence — Newgrange, Maeshowe, Stonehenge, Stenness, Callanish, Carnac, Almendres, Antequera — and the calendar binding that connects the alignments to the lunar-solar mathematics. Section 5 reads the primary-source ancient testimony of Caesar, Pliny, and Tacitus alongside the surviving Coligny calendar to establish the druid system as the substrate's late-Iron-Age phase. Section 6 covers the Christianisation transition and reads the Voyage of Brendan as a captured-form substrate transcript. Section 7 covers the substrate's retreat into the Argyll-Hebridean corridor through Dalriada, the Cenél Loairn, the establishment of Iona, and the consolidation under Somerled in 1153 CE alongside the deliberate runic deposits inside Maeshowe in the same year. Section 8 reports honestly on the statistical tests run on the corpus and what they did and did not show. Section 9 lays out what the evidence now lets us claim and what remains open.</w:t>
      </w:r>
    </w:p>
    <w:p>
      <w:pPr>
        <w:spacing w:after="120" w:before="100" w:line="320"/>
        <w:jc w:val="both"/>
      </w:pPr>
      <w:r>
        <w:rPr>
          <w:rFonts w:ascii="Garamond" w:cs="Garamond" w:eastAsia="Garamond" w:hAnsi="Garamond"/>
          <w:b w:val="false"/>
          <w:bCs w:val="false"/>
          <w:i w:val="false"/>
          <w:iCs w:val="false"/>
          <w:color w:val="1A1A1A"/>
          <w:sz w:val="22"/>
          <w:szCs w:val="22"/>
        </w:rPr>
        <w:t xml:space="preserve">Every numerical claim, every date, every site identification, and every ancient-DNA assertion in this paper is anchored to a primary source — a named publication, a DOI where applicable, an archival accession, or a documentary citation. The Validation Metrics Ledger that accompanies this paper provides the full audit trail. Where the evidence is contested or where multiple reasonable readings exist, we mark it. Where statistical tests have produced null results, we report the null. The work is a reading of an evidence board, not an advocacy document.</w:t>
      </w:r>
    </w:p>
    <w:p>
      <w:pPr>
        <w:pStyle w:val="Heading2"/>
        <w:spacing w:after="160" w:before="320"/>
      </w:pPr>
      <w:r>
        <w:rPr>
          <w:rFonts w:ascii="Garamond" w:cs="Garamond" w:eastAsia="Garamond" w:hAnsi="Garamond"/>
          <w:b/>
          <w:bCs/>
          <w:color w:val="8B6F2A"/>
          <w:sz w:val="28"/>
          <w:szCs w:val="28"/>
        </w:rPr>
        <w:t xml:space="preserve">1.1  A note on method and on framing</w:t>
      </w:r>
    </w:p>
    <w:p>
      <w:pPr>
        <w:spacing w:after="120" w:before="100" w:line="320"/>
        <w:jc w:val="both"/>
      </w:pPr>
      <w:r>
        <w:rPr>
          <w:rFonts w:ascii="Garamond" w:cs="Garamond" w:eastAsia="Garamond" w:hAnsi="Garamond"/>
          <w:b w:val="false"/>
          <w:bCs w:val="false"/>
          <w:i w:val="false"/>
          <w:iCs w:val="false"/>
          <w:color w:val="1A1A1A"/>
          <w:sz w:val="22"/>
          <w:szCs w:val="22"/>
        </w:rPr>
        <w:t xml:space="preserve">The substrate hypothesis is not a fringe claim. It is built on the same peer-reviewed work cited by mainstream archaeology, archaeoastronomy, and ancient-DNA literature. What the paper does is assemble the existing evidence into a single integrated reading rather than treating each phase as a separate problem. The integration is the contribution. The component evidence is established.</w:t>
      </w:r>
    </w:p>
    <w:p>
      <w:pPr>
        <w:spacing w:after="120" w:before="100" w:line="320"/>
        <w:jc w:val="both"/>
      </w:pPr>
      <w:r>
        <w:rPr>
          <w:rFonts w:ascii="Garamond" w:cs="Garamond" w:eastAsia="Garamond" w:hAnsi="Garamond"/>
          <w:b w:val="false"/>
          <w:bCs w:val="false"/>
          <w:i w:val="false"/>
          <w:iCs w:val="false"/>
          <w:color w:val="1A1A1A"/>
          <w:sz w:val="22"/>
          <w:szCs w:val="22"/>
        </w:rPr>
        <w:t xml:space="preserve">The paper uses the term "substrate" throughout to denote the underlying continuous network. We use "methylation" to denote the four-step pattern by which a successor system identifies, captures, transforms, and rewrites an underlying system without entirely destroying it — the pattern visible in the Roman suppression of the druids, in the Christianisation of the Atlantic festival cycle, and in the medieval recording of pre-Christian Irish lore in monastic Latin manuscripts. The methylation metaphor is drawn from molecular biology where it denotes a non-destructive modification that can later be reversed when conditions allow. The same mechanic operates in the cultural record: the substrate's underlying knowledge survives the methylation, and modern recovery work lets us read back through the layers.</w:t>
      </w:r>
    </w:p>
    <w:p>
      <w:r>
        <w:br w:type="page"/>
      </w:r>
    </w:p>
    <w:p>
      <w:pPr>
        <w:pStyle w:val="Heading1"/>
        <w:spacing w:after="220" w:before="480"/>
      </w:pPr>
      <w:r>
        <w:rPr>
          <w:rFonts w:ascii="Garamond" w:cs="Garamond" w:eastAsia="Garamond" w:hAnsi="Garamond"/>
          <w:b/>
          <w:bCs/>
          <w:color w:val="0F172A"/>
          <w:sz w:val="36"/>
          <w:szCs w:val="36"/>
        </w:rPr>
        <w:t xml:space="preserve">2.  Geography and chronology — the spine of the journey</w:t>
      </w:r>
    </w:p>
    <w:p>
      <w:pPr>
        <w:spacing w:after="120" w:before="100" w:line="320"/>
        <w:jc w:val="both"/>
      </w:pPr>
      <w:r>
        <w:rPr>
          <w:rFonts w:ascii="Garamond" w:cs="Garamond" w:eastAsia="Garamond" w:hAnsi="Garamond"/>
          <w:b w:val="false"/>
          <w:bCs w:val="false"/>
          <w:i w:val="false"/>
          <w:iCs w:val="false"/>
          <w:color w:val="1A1A1A"/>
          <w:sz w:val="22"/>
          <w:szCs w:val="22"/>
        </w:rPr>
        <w:t xml:space="preserve">The Atlantic seaboard substrate ran from southern Iberia at 38°N to the Northern Isles at 60°N, with maritime extensions to the Faroes at 62°N, Iceland at 64°N, and intermittent Norse-era reach into Greenland. The core architectural-genetic chain spans approximately 22 degrees of latitude and roughly 2,500 km of north-south distance, with east-west extensions inland to the Boyne Valley in Ireland, to the Wessex chalk downs in southern Britain, and to the Carnac-Locmariaquer complex in Brittany.</w:t>
      </w:r>
    </w:p>
    <w:p>
      <w:pPr>
        <w:pStyle w:val="Heading2"/>
        <w:spacing w:after="160" w:before="320"/>
      </w:pPr>
      <w:r>
        <w:rPr>
          <w:rFonts w:ascii="Garamond" w:cs="Garamond" w:eastAsia="Garamond" w:hAnsi="Garamond"/>
          <w:b/>
          <w:bCs/>
          <w:color w:val="8B6F2A"/>
          <w:sz w:val="28"/>
          <w:szCs w:val="28"/>
        </w:rPr>
        <w:t xml:space="preserve">2.1  The journey's anchors</w:t>
      </w:r>
    </w:p>
    <w:p>
      <w:pPr>
        <w:spacing w:after="200" w:before="100" w:line="320"/>
        <w:jc w:val="both"/>
      </w:pPr>
      <w:r>
        <w:rPr>
          <w:rFonts w:ascii="Garamond" w:cs="Garamond" w:eastAsia="Garamond" w:hAnsi="Garamond"/>
          <w:b w:val="false"/>
          <w:bCs w:val="false"/>
          <w:i w:val="false"/>
          <w:iCs w:val="false"/>
          <w:color w:val="1A1A1A"/>
          <w:sz w:val="22"/>
          <w:szCs w:val="22"/>
        </w:rPr>
        <w:t xml:space="preserve">Eleven primary substrate nodes anchor the chain. Each is dated to a specific century or millennium by peer-reviewed radiocarbon series, and each carries documented archaeological-architectural significance.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2200"/>
        <w:gridCol w:w="2400"/>
        <w:gridCol w:w="1960"/>
      </w:tblGrid>
      <w:tr>
        <w:trPr>
          <w:tblHeader/>
        </w:trP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r>
              <w:rPr>
                <w:rFonts w:ascii="Garamond" w:cs="Garamond" w:eastAsia="Garamond" w:hAnsi="Garamond"/>
                <w:b/>
                <w:bCs/>
                <w:color w:val="1F2937"/>
                <w:sz w:val="19"/>
                <w:szCs w:val="19"/>
              </w:rPr>
              <w:t xml:space="preserve">Node</w:t>
            </w:r>
          </w:p>
        </w:tc>
        <w:tc>
          <w:tcPr>
            <w:tcW w:type="dxa" w:w="17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r>
              <w:rPr>
                <w:rFonts w:ascii="Garamond" w:cs="Garamond" w:eastAsia="Garamond" w:hAnsi="Garamond"/>
                <w:b/>
                <w:bCs/>
                <w:color w:val="1F2937"/>
                <w:sz w:val="19"/>
                <w:szCs w:val="19"/>
              </w:rPr>
              <w:t xml:space="preserve">Latitude</w:t>
            </w:r>
          </w:p>
        </w:tc>
        <w:tc>
          <w:tcPr>
            <w:tcW w:type="dxa" w:w="22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r>
              <w:rPr>
                <w:rFonts w:ascii="Garamond" w:cs="Garamond" w:eastAsia="Garamond" w:hAnsi="Garamond"/>
                <w:b/>
                <w:bCs/>
                <w:color w:val="1F2937"/>
                <w:sz w:val="19"/>
                <w:szCs w:val="19"/>
              </w:rPr>
              <w:t xml:space="preserve">Date BCE</w:t>
            </w:r>
          </w:p>
        </w:tc>
        <w:tc>
          <w:tcPr>
            <w:tcW w:type="dxa" w:w="24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r>
              <w:rPr>
                <w:rFonts w:ascii="Garamond" w:cs="Garamond" w:eastAsia="Garamond" w:hAnsi="Garamond"/>
                <w:b/>
                <w:bCs/>
                <w:color w:val="1F2937"/>
                <w:sz w:val="19"/>
                <w:szCs w:val="19"/>
              </w:rPr>
              <w:t xml:space="preserve">Architecture / context</w:t>
            </w:r>
          </w:p>
        </w:tc>
        <w:tc>
          <w:tcPr>
            <w:tcW w:type="dxa" w:w="196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r>
              <w:rPr>
                <w:rFonts w:ascii="Garamond" w:cs="Garamond" w:eastAsia="Garamond" w:hAnsi="Garamond"/>
                <w:b/>
                <w:bCs/>
                <w:color w:val="1F2937"/>
                <w:sz w:val="19"/>
                <w:szCs w:val="19"/>
              </w:rPr>
              <w:t xml:space="preserve">Primary source</w:t>
            </w:r>
          </w:p>
        </w:tc>
      </w:tr>
      <w:tr>
        <w:tc>
          <w:tcPr>
            <w:tcW w:type="dxa" w:w="11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Almendres</w:t>
            </w:r>
          </w:p>
        </w:tc>
        <w:tc>
          <w:tcPr>
            <w:tcW w:type="dxa" w:w="17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38.55°N (Iberia)</w:t>
            </w:r>
          </w:p>
        </w:tc>
        <w:tc>
          <w:tcPr>
            <w:tcW w:type="dxa" w:w="22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5500-5400</w:t>
            </w:r>
          </w:p>
        </w:tc>
        <w:tc>
          <w:tcPr>
            <w:tcW w:type="dxa" w:w="24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stone circle, equinox sunrise alignment</w:t>
            </w:r>
          </w:p>
        </w:tc>
        <w:tc>
          <w:tcPr>
            <w:tcW w:type="dxa" w:w="196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Calado 2002 archaeoastronomy</w:t>
            </w:r>
          </w:p>
        </w:tc>
      </w:tr>
      <w:tr>
        <w:tc>
          <w:tcPr>
            <w:tcW w:type="dxa" w:w="1100"/>
            <w:tcBorders>
              <w:top w:val="single" w:color="C8A45A" w:sz="6"/>
              <w:left w:val="single" w:color="C8A45A" w:sz="6"/>
              <w:bottom w:val="single" w:color="C8A45A" w:sz="6"/>
              <w:right w:val="single" w:color="C8A45A" w:sz="6"/>
            </w:tcBorders>
            <w:shd w:fill="F9F6EE"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Carnac (Le Ménec)</w:t>
            </w:r>
          </w:p>
        </w:tc>
        <w:tc>
          <w:tcPr>
            <w:tcW w:type="dxa" w:w="1700"/>
            <w:tcBorders>
              <w:top w:val="single" w:color="C8A45A" w:sz="6"/>
              <w:left w:val="single" w:color="C8A45A" w:sz="6"/>
              <w:bottom w:val="single" w:color="C8A45A" w:sz="6"/>
              <w:right w:val="single" w:color="C8A45A" w:sz="6"/>
            </w:tcBorders>
            <w:shd w:fill="F9F6EE"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47.59°N (Brittany)</w:t>
            </w:r>
          </w:p>
        </w:tc>
        <w:tc>
          <w:tcPr>
            <w:tcW w:type="dxa" w:w="2200"/>
            <w:tcBorders>
              <w:top w:val="single" w:color="C8A45A" w:sz="6"/>
              <w:left w:val="single" w:color="C8A45A" w:sz="6"/>
              <w:bottom w:val="single" w:color="C8A45A" w:sz="6"/>
              <w:right w:val="single" w:color="C8A45A" w:sz="6"/>
            </w:tcBorders>
            <w:shd w:fill="F9F6EE"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4500</w:t>
            </w:r>
          </w:p>
        </w:tc>
        <w:tc>
          <w:tcPr>
            <w:tcW w:type="dxa" w:w="2400"/>
            <w:tcBorders>
              <w:top w:val="single" w:color="C8A45A" w:sz="6"/>
              <w:left w:val="single" w:color="C8A45A" w:sz="6"/>
              <w:bottom w:val="single" w:color="C8A45A" w:sz="6"/>
              <w:right w:val="single" w:color="C8A45A" w:sz="6"/>
            </w:tcBorders>
            <w:shd w:fill="F9F6EE"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alignments E-W, equinox axis</w:t>
            </w:r>
          </w:p>
        </w:tc>
        <w:tc>
          <w:tcPr>
            <w:tcW w:type="dxa" w:w="1960"/>
            <w:tcBorders>
              <w:top w:val="single" w:color="C8A45A" w:sz="6"/>
              <w:left w:val="single" w:color="C8A45A" w:sz="6"/>
              <w:bottom w:val="single" w:color="C8A45A" w:sz="6"/>
              <w:right w:val="single" w:color="C8A45A" w:sz="6"/>
            </w:tcBorders>
            <w:shd w:fill="F9F6EE"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Le Roux excavations; CNRS</w:t>
            </w:r>
          </w:p>
        </w:tc>
      </w:tr>
      <w:tr>
        <w:tc>
          <w:tcPr>
            <w:tcW w:type="dxa" w:w="11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Antequera Menga</w:t>
            </w:r>
          </w:p>
        </w:tc>
        <w:tc>
          <w:tcPr>
            <w:tcW w:type="dxa" w:w="17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37.02°N (Iberia)</w:t>
            </w:r>
          </w:p>
        </w:tc>
        <w:tc>
          <w:tcPr>
            <w:tcW w:type="dxa" w:w="22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3700-3650</w:t>
            </w:r>
          </w:p>
        </w:tc>
        <w:tc>
          <w:tcPr>
            <w:tcW w:type="dxa" w:w="24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dolmen, NE alignment to landmark</w:t>
            </w:r>
          </w:p>
        </w:tc>
        <w:tc>
          <w:tcPr>
            <w:tcW w:type="dxa" w:w="196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García-Sanjuán et al. 2016</w:t>
            </w:r>
          </w:p>
        </w:tc>
      </w:tr>
      <w:tr>
        <w:tc>
          <w:tcPr>
            <w:tcW w:type="dxa" w:w="1100"/>
            <w:tcBorders>
              <w:top w:val="single" w:color="C8A45A" w:sz="6"/>
              <w:left w:val="single" w:color="C8A45A" w:sz="6"/>
              <w:bottom w:val="single" w:color="C8A45A" w:sz="6"/>
              <w:right w:val="single" w:color="C8A45A" w:sz="6"/>
            </w:tcBorders>
            <w:shd w:fill="F9F6EE"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Newgrange</w:t>
            </w:r>
          </w:p>
        </w:tc>
        <w:tc>
          <w:tcPr>
            <w:tcW w:type="dxa" w:w="1700"/>
            <w:tcBorders>
              <w:top w:val="single" w:color="C8A45A" w:sz="6"/>
              <w:left w:val="single" w:color="C8A45A" w:sz="6"/>
              <w:bottom w:val="single" w:color="C8A45A" w:sz="6"/>
              <w:right w:val="single" w:color="C8A45A" w:sz="6"/>
            </w:tcBorders>
            <w:shd w:fill="F9F6EE"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53.69°N (Ireland)</w:t>
            </w:r>
          </w:p>
        </w:tc>
        <w:tc>
          <w:tcPr>
            <w:tcW w:type="dxa" w:w="2200"/>
            <w:tcBorders>
              <w:top w:val="single" w:color="C8A45A" w:sz="6"/>
              <w:left w:val="single" w:color="C8A45A" w:sz="6"/>
              <w:bottom w:val="single" w:color="C8A45A" w:sz="6"/>
              <w:right w:val="single" w:color="C8A45A" w:sz="6"/>
            </w:tcBorders>
            <w:shd w:fill="F9F6EE"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3200</w:t>
            </w:r>
          </w:p>
        </w:tc>
        <w:tc>
          <w:tcPr>
            <w:tcW w:type="dxa" w:w="2400"/>
            <w:tcBorders>
              <w:top w:val="single" w:color="C8A45A" w:sz="6"/>
              <w:left w:val="single" w:color="C8A45A" w:sz="6"/>
              <w:bottom w:val="single" w:color="C8A45A" w:sz="6"/>
              <w:right w:val="single" w:color="C8A45A" w:sz="6"/>
            </w:tcBorders>
            <w:shd w:fill="F9F6EE"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passage tomb, winter solstice sunrise via roof-box</w:t>
            </w:r>
          </w:p>
        </w:tc>
        <w:tc>
          <w:tcPr>
            <w:tcW w:type="dxa" w:w="1960"/>
            <w:tcBorders>
              <w:top w:val="single" w:color="C8A45A" w:sz="6"/>
              <w:left w:val="single" w:color="C8A45A" w:sz="6"/>
              <w:bottom w:val="single" w:color="C8A45A" w:sz="6"/>
              <w:right w:val="single" w:color="C8A45A" w:sz="6"/>
            </w:tcBorders>
            <w:shd w:fill="F9F6EE"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O'Kelly excavations; Patrick 1974 Nature</w:t>
            </w:r>
          </w:p>
        </w:tc>
      </w:tr>
      <w:tr>
        <w:tc>
          <w:tcPr>
            <w:tcW w:type="dxa" w:w="11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Knowth</w:t>
            </w:r>
          </w:p>
        </w:tc>
        <w:tc>
          <w:tcPr>
            <w:tcW w:type="dxa" w:w="17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53.70°N (Ireland)</w:t>
            </w:r>
          </w:p>
        </w:tc>
        <w:tc>
          <w:tcPr>
            <w:tcW w:type="dxa" w:w="22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3200</w:t>
            </w:r>
          </w:p>
        </w:tc>
        <w:tc>
          <w:tcPr>
            <w:tcW w:type="dxa" w:w="24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passage tombs E + W, equinox-aligned</w:t>
            </w:r>
          </w:p>
        </w:tc>
        <w:tc>
          <w:tcPr>
            <w:tcW w:type="dxa" w:w="196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Eogan excavations; OPW</w:t>
            </w:r>
          </w:p>
        </w:tc>
      </w:tr>
      <w:tr>
        <w:tc>
          <w:tcPr>
            <w:tcW w:type="dxa" w:w="1100"/>
            <w:tcBorders>
              <w:top w:val="single" w:color="C8A45A" w:sz="6"/>
              <w:left w:val="single" w:color="C8A45A" w:sz="6"/>
              <w:bottom w:val="single" w:color="C8A45A" w:sz="6"/>
              <w:right w:val="single" w:color="C8A45A" w:sz="6"/>
            </w:tcBorders>
            <w:shd w:fill="F9F6EE"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Stenness</w:t>
            </w:r>
          </w:p>
        </w:tc>
        <w:tc>
          <w:tcPr>
            <w:tcW w:type="dxa" w:w="1700"/>
            <w:tcBorders>
              <w:top w:val="single" w:color="C8A45A" w:sz="6"/>
              <w:left w:val="single" w:color="C8A45A" w:sz="6"/>
              <w:bottom w:val="single" w:color="C8A45A" w:sz="6"/>
              <w:right w:val="single" w:color="C8A45A" w:sz="6"/>
            </w:tcBorders>
            <w:shd w:fill="F9F6EE"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58.99°N (Orkney)</w:t>
            </w:r>
          </w:p>
        </w:tc>
        <w:tc>
          <w:tcPr>
            <w:tcW w:type="dxa" w:w="2200"/>
            <w:tcBorders>
              <w:top w:val="single" w:color="C8A45A" w:sz="6"/>
              <w:left w:val="single" w:color="C8A45A" w:sz="6"/>
              <w:bottom w:val="single" w:color="C8A45A" w:sz="6"/>
              <w:right w:val="single" w:color="C8A45A" w:sz="6"/>
            </w:tcBorders>
            <w:shd w:fill="F9F6EE"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3100</w:t>
            </w:r>
          </w:p>
        </w:tc>
        <w:tc>
          <w:tcPr>
            <w:tcW w:type="dxa" w:w="2400"/>
            <w:tcBorders>
              <w:top w:val="single" w:color="C8A45A" w:sz="6"/>
              <w:left w:val="single" w:color="C8A45A" w:sz="6"/>
              <w:bottom w:val="single" w:color="C8A45A" w:sz="6"/>
              <w:right w:val="single" w:color="C8A45A" w:sz="6"/>
            </w:tcBorders>
            <w:shd w:fill="F9F6EE"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stone circle, Beltane sunrise</w:t>
            </w:r>
          </w:p>
        </w:tc>
        <w:tc>
          <w:tcPr>
            <w:tcW w:type="dxa" w:w="1960"/>
            <w:tcBorders>
              <w:top w:val="single" w:color="C8A45A" w:sz="6"/>
              <w:left w:val="single" w:color="C8A45A" w:sz="6"/>
              <w:bottom w:val="single" w:color="C8A45A" w:sz="6"/>
              <w:right w:val="single" w:color="C8A45A" w:sz="6"/>
            </w:tcBorders>
            <w:shd w:fill="F9F6EE"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Ritchie 1976; Ruggles archaeoastronomy</w:t>
            </w:r>
          </w:p>
        </w:tc>
      </w:tr>
      <w:tr>
        <w:tc>
          <w:tcPr>
            <w:tcW w:type="dxa" w:w="11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Maeshowe</w:t>
            </w:r>
          </w:p>
        </w:tc>
        <w:tc>
          <w:tcPr>
            <w:tcW w:type="dxa" w:w="17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58.99°N (Orkney)</w:t>
            </w:r>
          </w:p>
        </w:tc>
        <w:tc>
          <w:tcPr>
            <w:tcW w:type="dxa" w:w="22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2800</w:t>
            </w:r>
          </w:p>
        </w:tc>
        <w:tc>
          <w:tcPr>
            <w:tcW w:type="dxa" w:w="24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chambered cairn, winter solstice sunset</w:t>
            </w:r>
          </w:p>
        </w:tc>
        <w:tc>
          <w:tcPr>
            <w:tcW w:type="dxa" w:w="196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Reijs 1998; Ness of Brodgar Project</w:t>
            </w:r>
          </w:p>
        </w:tc>
      </w:tr>
      <w:tr>
        <w:tc>
          <w:tcPr>
            <w:tcW w:type="dxa" w:w="1100"/>
            <w:tcBorders>
              <w:top w:val="single" w:color="C8A45A" w:sz="6"/>
              <w:left w:val="single" w:color="C8A45A" w:sz="6"/>
              <w:bottom w:val="single" w:color="C8A45A" w:sz="6"/>
              <w:right w:val="single" w:color="C8A45A" w:sz="6"/>
            </w:tcBorders>
            <w:shd w:fill="F9F6EE"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Stonehenge sarsen</w:t>
            </w:r>
          </w:p>
        </w:tc>
        <w:tc>
          <w:tcPr>
            <w:tcW w:type="dxa" w:w="1700"/>
            <w:tcBorders>
              <w:top w:val="single" w:color="C8A45A" w:sz="6"/>
              <w:left w:val="single" w:color="C8A45A" w:sz="6"/>
              <w:bottom w:val="single" w:color="C8A45A" w:sz="6"/>
              <w:right w:val="single" w:color="C8A45A" w:sz="6"/>
            </w:tcBorders>
            <w:shd w:fill="F9F6EE"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51.18°N (Wessex)</w:t>
            </w:r>
          </w:p>
        </w:tc>
        <w:tc>
          <w:tcPr>
            <w:tcW w:type="dxa" w:w="2200"/>
            <w:tcBorders>
              <w:top w:val="single" w:color="C8A45A" w:sz="6"/>
              <w:left w:val="single" w:color="C8A45A" w:sz="6"/>
              <w:bottom w:val="single" w:color="C8A45A" w:sz="6"/>
              <w:right w:val="single" w:color="C8A45A" w:sz="6"/>
            </w:tcBorders>
            <w:shd w:fill="F9F6EE"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2500</w:t>
            </w:r>
          </w:p>
        </w:tc>
        <w:tc>
          <w:tcPr>
            <w:tcW w:type="dxa" w:w="2400"/>
            <w:tcBorders>
              <w:top w:val="single" w:color="C8A45A" w:sz="6"/>
              <w:left w:val="single" w:color="C8A45A" w:sz="6"/>
              <w:bottom w:val="single" w:color="C8A45A" w:sz="6"/>
              <w:right w:val="single" w:color="C8A45A" w:sz="6"/>
            </w:tcBorders>
            <w:shd w:fill="F9F6EE"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stone circle, summer solstice sunrise 50.7°</w:t>
            </w:r>
          </w:p>
        </w:tc>
        <w:tc>
          <w:tcPr>
            <w:tcW w:type="dxa" w:w="1960"/>
            <w:tcBorders>
              <w:top w:val="single" w:color="C8A45A" w:sz="6"/>
              <w:left w:val="single" w:color="C8A45A" w:sz="6"/>
              <w:bottom w:val="single" w:color="C8A45A" w:sz="6"/>
              <w:right w:val="single" w:color="C8A45A" w:sz="6"/>
            </w:tcBorders>
            <w:shd w:fill="F9F6EE"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Cleal 1995; Parker Pearson 2012</w:t>
            </w:r>
          </w:p>
        </w:tc>
      </w:tr>
      <w:tr>
        <w:tc>
          <w:tcPr>
            <w:tcW w:type="dxa" w:w="11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Callanish</w:t>
            </w:r>
          </w:p>
        </w:tc>
        <w:tc>
          <w:tcPr>
            <w:tcW w:type="dxa" w:w="17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58.20°N (Outer Hebrides)</w:t>
            </w:r>
          </w:p>
        </w:tc>
        <w:tc>
          <w:tcPr>
            <w:tcW w:type="dxa" w:w="22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2900</w:t>
            </w:r>
          </w:p>
        </w:tc>
        <w:tc>
          <w:tcPr>
            <w:tcW w:type="dxa" w:w="24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stone circle, southern major lunar standstill</w:t>
            </w:r>
          </w:p>
        </w:tc>
        <w:tc>
          <w:tcPr>
            <w:tcW w:type="dxa" w:w="196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Burl &amp; Ruggles 1999</w:t>
            </w:r>
          </w:p>
        </w:tc>
      </w:tr>
      <w:tr>
        <w:tc>
          <w:tcPr>
            <w:tcW w:type="dxa" w:w="1100"/>
            <w:tcBorders>
              <w:top w:val="single" w:color="C8A45A" w:sz="6"/>
              <w:left w:val="single" w:color="C8A45A" w:sz="6"/>
              <w:bottom w:val="single" w:color="C8A45A" w:sz="6"/>
              <w:right w:val="single" w:color="C8A45A" w:sz="6"/>
            </w:tcBorders>
            <w:shd w:fill="F9F6EE"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Bell Beaker arrival</w:t>
            </w:r>
          </w:p>
        </w:tc>
        <w:tc>
          <w:tcPr>
            <w:tcW w:type="dxa" w:w="1700"/>
            <w:tcBorders>
              <w:top w:val="single" w:color="C8A45A" w:sz="6"/>
              <w:left w:val="single" w:color="C8A45A" w:sz="6"/>
              <w:bottom w:val="single" w:color="C8A45A" w:sz="6"/>
              <w:right w:val="single" w:color="C8A45A" w:sz="6"/>
            </w:tcBorders>
            <w:shd w:fill="F9F6EE"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Atlantic</w:t>
            </w:r>
          </w:p>
        </w:tc>
        <w:tc>
          <w:tcPr>
            <w:tcW w:type="dxa" w:w="2200"/>
            <w:tcBorders>
              <w:top w:val="single" w:color="C8A45A" w:sz="6"/>
              <w:left w:val="single" w:color="C8A45A" w:sz="6"/>
              <w:bottom w:val="single" w:color="C8A45A" w:sz="6"/>
              <w:right w:val="single" w:color="C8A45A" w:sz="6"/>
            </w:tcBorders>
            <w:shd w:fill="F9F6EE"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2500-2000</w:t>
            </w:r>
          </w:p>
        </w:tc>
        <w:tc>
          <w:tcPr>
            <w:tcW w:type="dxa" w:w="2400"/>
            <w:tcBorders>
              <w:top w:val="single" w:color="C8A45A" w:sz="6"/>
              <w:left w:val="single" w:color="C8A45A" w:sz="6"/>
              <w:bottom w:val="single" w:color="C8A45A" w:sz="6"/>
              <w:right w:val="single" w:color="C8A45A" w:sz="6"/>
            </w:tcBorders>
            <w:shd w:fill="F9F6EE"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watershed Y-line replacement event</w:t>
            </w:r>
          </w:p>
        </w:tc>
        <w:tc>
          <w:tcPr>
            <w:tcW w:type="dxa" w:w="1960"/>
            <w:tcBorders>
              <w:top w:val="single" w:color="C8A45A" w:sz="6"/>
              <w:left w:val="single" w:color="C8A45A" w:sz="6"/>
              <w:bottom w:val="single" w:color="C8A45A" w:sz="6"/>
              <w:right w:val="single" w:color="C8A45A" w:sz="6"/>
            </w:tcBorders>
            <w:shd w:fill="F9F6EE"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Olalde 2019 Science</w:t>
            </w:r>
          </w:p>
        </w:tc>
      </w:tr>
      <w:tr>
        <w:tc>
          <w:tcPr>
            <w:tcW w:type="dxa" w:w="11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Rathlin Bronze Age</w:t>
            </w:r>
          </w:p>
        </w:tc>
        <w:tc>
          <w:tcPr>
            <w:tcW w:type="dxa" w:w="17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55.30°N (Ireland)</w:t>
            </w:r>
          </w:p>
        </w:tc>
        <w:tc>
          <w:tcPr>
            <w:tcW w:type="dxa" w:w="22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2026-1534</w:t>
            </w:r>
          </w:p>
        </w:tc>
        <w:tc>
          <w:tcPr>
            <w:tcW w:type="dxa" w:w="24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first Steppe-ancestry Irish individuals</w:t>
            </w:r>
          </w:p>
        </w:tc>
        <w:tc>
          <w:tcPr>
            <w:tcW w:type="dxa" w:w="196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Cassidy 2016 PNAS</w:t>
            </w:r>
          </w:p>
        </w:tc>
      </w:tr>
    </w:tbl>
    <w:p>
      <w:pPr>
        <w:spacing w:after="120" w:before="100" w:line="320"/>
        <w:jc w:val="both"/>
      </w:pPr>
      <w:r>
        <w:rPr>
          <w:rFonts w:ascii="Garamond" w:cs="Garamond" w:eastAsia="Garamond" w:hAnsi="Garamond"/>
          <w:b w:val="false"/>
          <w:bCs w:val="false"/>
          <w:i w:val="false"/>
          <w:iCs w:val="false"/>
          <w:color w:val="1A1A1A"/>
          <w:sz w:val="22"/>
          <w:szCs w:val="22"/>
        </w:rPr>
        <w:t xml:space="preserve"/>
      </w:r>
    </w:p>
    <w:p>
      <w:pPr>
        <w:spacing w:after="120" w:before="100" w:line="320"/>
        <w:jc w:val="both"/>
      </w:pPr>
      <w:r>
        <w:rPr>
          <w:rFonts w:ascii="Garamond" w:cs="Garamond" w:eastAsia="Garamond" w:hAnsi="Garamond"/>
          <w:b w:val="false"/>
          <w:bCs w:val="false"/>
          <w:i w:val="false"/>
          <w:iCs w:val="false"/>
          <w:color w:val="1A1A1A"/>
          <w:sz w:val="22"/>
          <w:szCs w:val="22"/>
        </w:rPr>
        <w:t xml:space="preserve">These dates form the spine. Iberia provides the southern Mesolithic-Neolithic root with continuity going back to the Holocene-aged hunter-gatherer populations (Mount Sandel in Ireland at ~8000 BCE for comparison; Star Carr in northern Britain at 9335-8440 BCE — Milner et al. 2018 with 223 radiocarbon dates and Bayesian modelling).  The Atlantic façade itself emerges as a coordinated monument-building network in the second half of the fifth millennium BCE: Schulz Paulsson 2019 PNAS analysed 2,410 radiocarbon dates with Bayesian statistical methods and showed that the megalithic graves emerge within a 200- to 300-year interval starting in northwest France and spreading by maritime diffusion to Iberia, Britain, Ireland, Scandinavia.</w:t>
      </w:r>
    </w:p>
    <w:p>
      <w:pPr>
        <w:spacing w:after="200" w:before="200" w:line="320"/>
        <w:ind w:left="720" w:right="720"/>
        <w:jc w:val="both"/>
      </w:pPr>
      <w:r>
        <w:rPr>
          <w:rFonts w:ascii="Garamond" w:cs="Garamond" w:eastAsia="Garamond" w:hAnsi="Garamond"/>
          <w:i/>
          <w:iCs/>
          <w:color w:val="333333"/>
          <w:sz w:val="22"/>
          <w:szCs w:val="22"/>
        </w:rPr>
        <w:t xml:space="preserve">"The radiocarbon results suggest that megalithic graves emerged within a brief time interval of 200 y to 300 y in the second half of the fifth millennium calibrated years BC in northwest France, the Mediterranean, and the Atlantic coast of Iberia."</w:t>
      </w:r>
      <w:r>
        <w:rPr>
          <w:rFonts w:ascii="Garamond" w:cs="Garamond" w:eastAsia="Garamond" w:hAnsi="Garamond"/>
          <w:color w:val="666666"/>
          <w:sz w:val="19"/>
          <w:szCs w:val="19"/>
        </w:rPr>
        <w:t xml:space="preserve">  — Schulz Paulsson 2019, PNAS 116:3460-3465</w:t>
      </w:r>
    </w:p>
    <w:p>
      <w:pPr>
        <w:spacing w:after="120" w:before="100" w:line="320"/>
        <w:jc w:val="both"/>
      </w:pPr>
      <w:r>
        <w:rPr>
          <w:rFonts w:ascii="Garamond" w:cs="Garamond" w:eastAsia="Garamond" w:hAnsi="Garamond"/>
          <w:b w:val="false"/>
          <w:bCs w:val="false"/>
          <w:i w:val="false"/>
          <w:iCs w:val="false"/>
          <w:color w:val="1A1A1A"/>
          <w:sz w:val="22"/>
          <w:szCs w:val="22"/>
        </w:rPr>
        <w:t xml:space="preserve">This is the watershed evidence. The orthodox view that megaliths arose independently in different regions is no longer tenable. They emerged from a single source in northwest France and spread along the sea routes within a few generations. Whoever was sailing those routes in 4500 BCE was carrying an architectural-religious package, and the receiving communities adopted the package quickly and consistently. This is the substrate's first documented integrated phase.</w:t>
      </w:r>
    </w:p>
    <w:p>
      <w:r>
        <w:br w:type="page"/>
      </w:r>
    </w:p>
    <w:p>
      <w:pPr>
        <w:pStyle w:val="Heading1"/>
        <w:spacing w:after="220" w:before="480"/>
      </w:pPr>
      <w:r>
        <w:rPr>
          <w:rFonts w:ascii="Garamond" w:cs="Garamond" w:eastAsia="Garamond" w:hAnsi="Garamond"/>
          <w:b/>
          <w:bCs/>
          <w:color w:val="0F172A"/>
          <w:sz w:val="36"/>
          <w:szCs w:val="36"/>
        </w:rPr>
        <w:t xml:space="preserve">3.  The DNA proof-spine</w:t>
      </w:r>
    </w:p>
    <w:p>
      <w:pPr>
        <w:spacing w:after="120" w:before="100" w:line="320"/>
        <w:jc w:val="both"/>
      </w:pPr>
      <w:r>
        <w:rPr>
          <w:rFonts w:ascii="Garamond" w:cs="Garamond" w:eastAsia="Garamond" w:hAnsi="Garamond"/>
          <w:b w:val="false"/>
          <w:bCs w:val="false"/>
          <w:i w:val="false"/>
          <w:iCs w:val="false"/>
          <w:color w:val="1A1A1A"/>
          <w:sz w:val="22"/>
          <w:szCs w:val="22"/>
        </w:rPr>
        <w:t xml:space="preserve">The defining evidence of the past decade is the ancient-DNA work that has made it possible to read kinship and population structure directly from Neolithic and Bronze Age remains. The five anchor studies covered in this section together total approximately 1,200 ancient genomes, all peer-reviewed, all with full DOIs, and all available open-access through PubMed Central or via the publishing journal.</w:t>
      </w:r>
    </w:p>
    <w:p>
      <w:pPr>
        <w:pStyle w:val="Heading2"/>
        <w:spacing w:after="160" w:before="320"/>
      </w:pPr>
      <w:r>
        <w:rPr>
          <w:rFonts w:ascii="Garamond" w:cs="Garamond" w:eastAsia="Garamond" w:hAnsi="Garamond"/>
          <w:b/>
          <w:bCs/>
          <w:color w:val="8B6F2A"/>
          <w:sz w:val="28"/>
          <w:szCs w:val="28"/>
        </w:rPr>
        <w:t xml:space="preserve">3.1  Olalde et al. 2019 — the Iberian root</w:t>
      </w:r>
    </w:p>
    <w:p>
      <w:pPr>
        <w:spacing w:after="120" w:before="100" w:line="320"/>
        <w:jc w:val="both"/>
      </w:pPr>
      <w:r>
        <w:rPr>
          <w:rFonts w:ascii="Garamond" w:cs="Garamond" w:eastAsia="Garamond" w:hAnsi="Garamond"/>
          <w:b w:val="false"/>
          <w:bCs w:val="false"/>
          <w:i w:val="false"/>
          <w:iCs w:val="false"/>
          <w:color w:val="1A1A1A"/>
          <w:sz w:val="22"/>
          <w:szCs w:val="22"/>
        </w:rPr>
        <w:t xml:space="preserve">Olalde et al. 2019, published in Science 363:1230-1234 (DOI: 10.1126/science.aav4040), assembled genome-wide data from 271 ancient Iberians spanning the past 8,000 years. The study documents high genetic substructure between northwestern and southeastern Iberian hunter-gatherers before the spread of farming, sporadic contacts between Iberia and North Africa by ~2500 BCE, and most importantly the watershed event of the Bell Beaker arrival around 2500-2000 BCE.</w:t>
      </w:r>
    </w:p>
    <w:p>
      <w:pPr>
        <w:spacing w:after="120" w:before="100" w:line="320"/>
        <w:jc w:val="both"/>
      </w:pPr>
      <w:r>
        <w:rPr>
          <w:rFonts w:ascii="Garamond" w:cs="Garamond" w:eastAsia="Garamond" w:hAnsi="Garamond"/>
          <w:b w:val="false"/>
          <w:bCs w:val="false"/>
          <w:i w:val="false"/>
          <w:iCs w:val="false"/>
          <w:color w:val="1A1A1A"/>
          <w:sz w:val="22"/>
          <w:szCs w:val="22"/>
        </w:rPr>
        <w:t xml:space="preserve">The Bell Beaker arrival replaced approximately 40 percent of the autosomal ancestry of the Iberian population and approximately 100 percent of the Y-chromosome lineages, with the incoming Steppe-related ancestry largely carried by R1b-L51 and its derivatives. This is the first major substrate methylation event in the genetic record. The female lineages showed greater continuity than the male lineages, meaning the substrate's biological transmission persisted in the maternal record beneath a near-total patrilineal replacement.</w:t>
      </w:r>
    </w:p>
    <w:p>
      <w:pPr>
        <w:pStyle w:val="Heading2"/>
        <w:spacing w:after="160" w:before="320"/>
      </w:pPr>
      <w:r>
        <w:rPr>
          <w:rFonts w:ascii="Garamond" w:cs="Garamond" w:eastAsia="Garamond" w:hAnsi="Garamond"/>
          <w:b/>
          <w:bCs/>
          <w:color w:val="8B6F2A"/>
          <w:sz w:val="28"/>
          <w:szCs w:val="28"/>
        </w:rPr>
        <w:t xml:space="preserve">3.2  Sánchez-Quinto et al. 2019 — the Atlantic façade kindred</w:t>
      </w:r>
    </w:p>
    <w:p>
      <w:pPr>
        <w:spacing w:after="120" w:before="100" w:line="320"/>
        <w:jc w:val="both"/>
      </w:pPr>
      <w:r>
        <w:rPr>
          <w:rFonts w:ascii="Garamond" w:cs="Garamond" w:eastAsia="Garamond" w:hAnsi="Garamond"/>
          <w:b w:val="false"/>
          <w:bCs w:val="false"/>
          <w:i w:val="false"/>
          <w:iCs w:val="false"/>
          <w:color w:val="1A1A1A"/>
          <w:sz w:val="22"/>
          <w:szCs w:val="22"/>
        </w:rPr>
        <w:t xml:space="preserve">Sánchez-Quinto et al. 2019, published in PNAS 116:9469-9474 (DOI: 10.1073/pnas.1818037116), provided genome-wide data from 24 individuals across five megalithic burial sites in northern and western Neolithic Europe. The study established two findings central to this paper. First, individuals buried in the same megalithic tomb were close biological kin — the megalithic burials were a kindred-society practice, not a community ritual indiscriminate of relationship. Second, the male individuals at the sites showed marked clustering on a small number of Y-haplogroup lineages, suggesting male-biased patrilineal succession and dynastic-elite endogamy.</w:t>
      </w:r>
    </w:p>
    <w:p>
      <w:pPr>
        <w:spacing w:after="120" w:before="100" w:line="320"/>
        <w:jc w:val="both"/>
      </w:pPr>
      <w:r>
        <w:rPr>
          <w:rFonts w:ascii="Garamond" w:cs="Garamond" w:eastAsia="Garamond" w:hAnsi="Garamond"/>
          <w:b w:val="false"/>
          <w:bCs w:val="false"/>
          <w:i w:val="false"/>
          <w:iCs w:val="false"/>
          <w:color w:val="1A1A1A"/>
          <w:sz w:val="22"/>
          <w:szCs w:val="22"/>
        </w:rPr>
        <w:t xml:space="preserve">Crucially for this paper, the study identified a genetic affinity between the Scandinavian, British, and Irish Neolithic populations that the megalithic tradition served — a single Atlantic façade kindred network rather than three regionally distinct populations sharing a common burial practice. The I2a1b-M423 Y-haplogroup is documented at the Gotland megalithic site (all four tested males) and elsewhere in the Atlantic façade, distributed in an arc from the western Mediterranean through Iberia, France, Britain, Ireland, and into Scandinavia.</w:t>
      </w:r>
    </w:p>
    <w:p>
      <w:pPr>
        <w:pStyle w:val="Heading2"/>
        <w:spacing w:after="160" w:before="320"/>
      </w:pPr>
      <w:r>
        <w:rPr>
          <w:rFonts w:ascii="Garamond" w:cs="Garamond" w:eastAsia="Garamond" w:hAnsi="Garamond"/>
          <w:b/>
          <w:bCs/>
          <w:color w:val="8B6F2A"/>
          <w:sz w:val="28"/>
          <w:szCs w:val="28"/>
        </w:rPr>
        <w:t xml:space="preserve">3.3  Cassidy et al. 2016 — the insular Atlantic genome</w:t>
      </w:r>
    </w:p>
    <w:p>
      <w:pPr>
        <w:spacing w:after="120" w:before="100" w:line="320"/>
        <w:jc w:val="both"/>
      </w:pPr>
      <w:r>
        <w:rPr>
          <w:rFonts w:ascii="Garamond" w:cs="Garamond" w:eastAsia="Garamond" w:hAnsi="Garamond"/>
          <w:b w:val="false"/>
          <w:bCs w:val="false"/>
          <w:i w:val="false"/>
          <w:iCs w:val="false"/>
          <w:color w:val="1A1A1A"/>
          <w:sz w:val="22"/>
          <w:szCs w:val="22"/>
        </w:rPr>
        <w:t xml:space="preserve">Cassidy et al. 2016, published in PNAS 113:368-373 (DOI: 10.1073/pnas.1518445113), produced the first genome-wide data from ancient Irish individuals: a Neolithic woman from Ballynahatty, County Down, dated 3343-3020 cal BCE and found in the context of an early megalithic passage-grave; and three Early Bronze Age men from a cist burial on Rathlin Island, County Antrim, dated 2026-1534 cal BCE. The Rathlin men carry substantial Steppe genetic heritage, indicating that the European population upheavals of the third millennium BCE reached Ireland in the Early Bronze Age. The Ballynahatty woman represents the Neolithic insular Atlantic genome — the substrate's biological signature in Ireland before the Bronze Age methylation.</w:t>
      </w:r>
    </w:p>
    <w:p>
      <w:pPr>
        <w:pStyle w:val="Heading2"/>
        <w:spacing w:after="160" w:before="320"/>
      </w:pPr>
      <w:r>
        <w:rPr>
          <w:rFonts w:ascii="Garamond" w:cs="Garamond" w:eastAsia="Garamond" w:hAnsi="Garamond"/>
          <w:b/>
          <w:bCs/>
          <w:color w:val="8B6F2A"/>
          <w:sz w:val="28"/>
          <w:szCs w:val="28"/>
        </w:rPr>
        <w:t xml:space="preserve">3.4  Cassidy et al. 2020 — the Newgrange dynastic elite</w:t>
      </w:r>
    </w:p>
    <w:p>
      <w:pPr>
        <w:spacing w:after="120" w:before="100" w:line="320"/>
        <w:jc w:val="both"/>
      </w:pPr>
      <w:r>
        <w:rPr>
          <w:rFonts w:ascii="Garamond" w:cs="Garamond" w:eastAsia="Garamond" w:hAnsi="Garamond"/>
          <w:b w:val="false"/>
          <w:bCs w:val="false"/>
          <w:i w:val="false"/>
          <w:iCs w:val="false"/>
          <w:color w:val="1A1A1A"/>
          <w:sz w:val="22"/>
          <w:szCs w:val="22"/>
        </w:rPr>
        <w:t xml:space="preserve">Cassidy et al. 2020, published in Nature 582:384-388 (DOI: 10.1038/s41586-020-2378-6), is the diagnostic finding for the substrate kindred-network claim. The study analysed 44 Neolithic Irish genomes, including the man buried in the central niche of the Newgrange chamber, designated NG10. NG10 is the offspring of a first-degree incestuous union (siblings or parent-and-child), a marker of dynastic-elite endogamy of the kind documented in pharaonic Egypt, Inca royalty, and ancient Hawaiian ali'i nui.</w:t>
      </w:r>
    </w:p>
    <w:p>
      <w:pPr>
        <w:spacing w:after="200" w:before="200" w:line="320"/>
        <w:ind w:left="720" w:right="720"/>
        <w:jc w:val="both"/>
      </w:pPr>
      <w:r>
        <w:rPr>
          <w:rFonts w:ascii="Garamond" w:cs="Garamond" w:eastAsia="Garamond" w:hAnsi="Garamond"/>
          <w:i/>
          <w:iCs/>
          <w:color w:val="333333"/>
          <w:sz w:val="22"/>
          <w:szCs w:val="22"/>
        </w:rPr>
        <w:t xml:space="preserve">"It seems what we have here is a powerful extended kin-group, who had access to elite burial sites in many regions of the island for at least half a millennium."</w:t>
      </w:r>
      <w:r>
        <w:rPr>
          <w:rFonts w:ascii="Garamond" w:cs="Garamond" w:eastAsia="Garamond" w:hAnsi="Garamond"/>
          <w:color w:val="666666"/>
          <w:sz w:val="19"/>
          <w:szCs w:val="19"/>
        </w:rPr>
        <w:t xml:space="preserve">  — Lara Cassidy, Trinity College Dublin, lead author</w:t>
      </w:r>
    </w:p>
    <w:p>
      <w:pPr>
        <w:spacing w:after="120" w:before="100" w:line="320"/>
        <w:jc w:val="both"/>
      </w:pPr>
      <w:r>
        <w:rPr>
          <w:rFonts w:ascii="Garamond" w:cs="Garamond" w:eastAsia="Garamond" w:hAnsi="Garamond"/>
          <w:b w:val="false"/>
          <w:bCs w:val="false"/>
          <w:i w:val="false"/>
          <w:iCs w:val="false"/>
          <w:color w:val="1A1A1A"/>
          <w:sz w:val="22"/>
          <w:szCs w:val="22"/>
        </w:rPr>
        <w:t xml:space="preserve">Critically, NG10 has identified biological relatives at two other major passage-tomb complexes: at Carrowkeel in Sligo, approximately 150 km west of Newgrange, and at Millin Bay in Down, approximately 100 km north. This is the substrate's politico-religious elite operating across the entire island in a single biological lineage at 3200 BCE, with controlled marriage strategy maintaining the dynastic bloodline, with elite-burial access in the most prestigious chambers across multiple monument complexes, and with the architectural authority to be buried in the chamber that the winter solstice illuminates.</w:t>
      </w:r>
    </w:p>
    <w:p>
      <w:pPr>
        <w:spacing w:after="120" w:before="100" w:line="320"/>
        <w:jc w:val="both"/>
      </w:pPr>
      <w:r>
        <w:rPr>
          <w:rFonts w:ascii="Garamond" w:cs="Garamond" w:eastAsia="Garamond" w:hAnsi="Garamond"/>
          <w:b w:val="false"/>
          <w:bCs w:val="false"/>
          <w:i w:val="false"/>
          <w:iCs w:val="false"/>
          <w:color w:val="1F2937"/>
          <w:sz w:val="22"/>
          <w:szCs w:val="22"/>
        </w:rPr>
        <w:t xml:space="preserve">The Cassidy 2020 finding closes the inferential gap. The substrate is no longer a hypothesis of plausible cultural contact. It is a documented biological kindred operating across at least 150 km of Ireland in a single lineage at the moment the great passage tombs were built. The orthodox view of the Neolithic as broadly egalitarian no longer fits the chamber-burial evidence at Newgrange.</w:t>
      </w:r>
    </w:p>
    <w:p>
      <w:pPr>
        <w:pStyle w:val="Heading2"/>
        <w:spacing w:after="160" w:before="320"/>
      </w:pPr>
      <w:r>
        <w:rPr>
          <w:rFonts w:ascii="Garamond" w:cs="Garamond" w:eastAsia="Garamond" w:hAnsi="Garamond"/>
          <w:b/>
          <w:bCs/>
          <w:color w:val="8B6F2A"/>
          <w:sz w:val="28"/>
          <w:szCs w:val="28"/>
        </w:rPr>
        <w:t xml:space="preserve">3.5  Margaryan et al. 2020 — the Norse end of the route</w:t>
      </w:r>
    </w:p>
    <w:p>
      <w:pPr>
        <w:spacing w:after="120" w:before="100" w:line="320"/>
        <w:jc w:val="both"/>
      </w:pPr>
      <w:r>
        <w:rPr>
          <w:rFonts w:ascii="Garamond" w:cs="Garamond" w:eastAsia="Garamond" w:hAnsi="Garamond"/>
          <w:b w:val="false"/>
          <w:bCs w:val="false"/>
          <w:i w:val="false"/>
          <w:iCs w:val="false"/>
          <w:color w:val="1A1A1A"/>
          <w:sz w:val="22"/>
          <w:szCs w:val="22"/>
        </w:rPr>
        <w:t xml:space="preserve">Margaryan et al. 2020, published in Nature 585:390-396 (DOI: 10.1038/s41586-020-2688-8), sequenced 442 Viking-age genomes from archaeological sites across Europe and Greenland. The study confirmed that Norwegian Viking populations travelled to Ireland, Scotland, Iceland, and Greenland; Danish populations to England; and Swedish populations to the Baltic. The Viking Age was not a homogeneous Scandinavian phenomenon but a regionally differentiated maritime expansion.</w:t>
      </w:r>
    </w:p>
    <w:p>
      <w:pPr>
        <w:spacing w:after="120" w:before="100" w:line="320"/>
        <w:jc w:val="both"/>
      </w:pPr>
      <w:r>
        <w:rPr>
          <w:rFonts w:ascii="Garamond" w:cs="Garamond" w:eastAsia="Garamond" w:hAnsi="Garamond"/>
          <w:b w:val="false"/>
          <w:bCs w:val="false"/>
          <w:i w:val="false"/>
          <w:iCs w:val="false"/>
          <w:color w:val="1A1A1A"/>
          <w:sz w:val="22"/>
          <w:szCs w:val="22"/>
        </w:rPr>
        <w:t xml:space="preserve">For the substrate paper, the Margaryan dataset documents that the Norwegian Y-lineages (I1, R1a, R1b-U106) arrive in the Atlantic substrate's northern outposts during the 750-1050 CE window. They do not replace the substrate carriers; they mix with them. The resulting Norse-Gaelic biological-cultural fusion is the Gall-Gaedhil — "foreign Gaels" — documented in the contemporary chronicles and now visible in the Y-haplogroup distribution of the medieval Argyll and Hebridean populations. This is the substrate's late-phase form, the kindred network that Somerled MacGillebride (1140-1164 CE) led as Lord of Argyll, Kintyre, and Lorne, with the title rí Innse Gall, King of the Hebrides.</w:t>
      </w:r>
    </w:p>
    <w:p>
      <w:pPr>
        <w:pStyle w:val="Heading2"/>
        <w:spacing w:after="160" w:before="320"/>
      </w:pPr>
      <w:r>
        <w:rPr>
          <w:rFonts w:ascii="Garamond" w:cs="Garamond" w:eastAsia="Garamond" w:hAnsi="Garamond"/>
          <w:b/>
          <w:bCs/>
          <w:color w:val="8B6F2A"/>
          <w:sz w:val="28"/>
          <w:szCs w:val="28"/>
        </w:rPr>
        <w:t xml:space="preserve">3.6  What the five anchors together establish</w:t>
      </w:r>
    </w:p>
    <w:p>
      <w:pPr>
        <w:spacing w:after="120" w:before="100" w:line="320"/>
        <w:jc w:val="both"/>
      </w:pPr>
      <w:r>
        <w:rPr>
          <w:rFonts w:ascii="Garamond" w:cs="Garamond" w:eastAsia="Garamond" w:hAnsi="Garamond"/>
          <w:b w:val="false"/>
          <w:bCs w:val="false"/>
          <w:i w:val="false"/>
          <w:iCs w:val="false"/>
          <w:color w:val="1F2937"/>
          <w:sz w:val="22"/>
          <w:szCs w:val="22"/>
        </w:rPr>
        <w:t xml:space="preserve">Read together, the five aDNA anchors establish a continuous kindred-network signal up the entire Atlantic chain. The Iberian root is documented and its Bell Beaker methylation is dated. The Atlantic façade megalith builders operated as a kindred society with close-kin burials and male-biased Y-haplogroup clustering. The insular Atlantic genome is documented at the Neolithic-to-Bronze-Age transition. The Newgrange dynastic elite is shown to be a real biological kindred operating across 150+ km of Ireland in a single lineage. The Norse end of the route shows the late-phase fusion with the Norwegian Vikings producing the Gall-Gaedhil kindred form that consolidated under Somerled.</w:t>
      </w:r>
    </w:p>
    <w:p>
      <w:pPr>
        <w:spacing w:after="120" w:before="100" w:line="320"/>
        <w:jc w:val="both"/>
      </w:pPr>
      <w:r>
        <w:rPr>
          <w:rFonts w:ascii="Garamond" w:cs="Garamond" w:eastAsia="Garamond" w:hAnsi="Garamond"/>
          <w:b w:val="false"/>
          <w:bCs w:val="false"/>
          <w:i w:val="false"/>
          <w:iCs w:val="false"/>
          <w:color w:val="1F2937"/>
          <w:sz w:val="22"/>
          <w:szCs w:val="22"/>
        </w:rPr>
        <w:t xml:space="preserve">The Y-haplogroup I2d-Y3709, attested in three Scottish Neolithic males in the published record, persists in modern Scottish and Irish populations today. This is direct male-line descent surviving more than 5,000 years and two major cultural-genetic methylation events (Bell Beaker arrival, Norse incursion). The substrate's biological signal is not extinct. It is in the population.</w:t>
      </w:r>
    </w:p>
    <w:p>
      <w:r>
        <w:br w:type="page"/>
      </w:r>
    </w:p>
    <w:p>
      <w:pPr>
        <w:pStyle w:val="Heading1"/>
        <w:spacing w:after="220" w:before="480"/>
      </w:pPr>
      <w:r>
        <w:rPr>
          <w:rFonts w:ascii="Garamond" w:cs="Garamond" w:eastAsia="Garamond" w:hAnsi="Garamond"/>
          <w:b/>
          <w:bCs/>
          <w:color w:val="0F172A"/>
          <w:sz w:val="36"/>
          <w:szCs w:val="36"/>
        </w:rPr>
        <w:t xml:space="preserve">4.  The architecture and the calendar</w:t>
      </w:r>
    </w:p>
    <w:p>
      <w:pPr>
        <w:spacing w:after="120" w:before="100" w:line="320"/>
        <w:jc w:val="both"/>
      </w:pPr>
      <w:r>
        <w:rPr>
          <w:rFonts w:ascii="Garamond" w:cs="Garamond" w:eastAsia="Garamond" w:hAnsi="Garamond"/>
          <w:b w:val="false"/>
          <w:bCs w:val="false"/>
          <w:i w:val="false"/>
          <w:iCs w:val="false"/>
          <w:color w:val="1A1A1A"/>
          <w:sz w:val="22"/>
          <w:szCs w:val="22"/>
        </w:rPr>
        <w:t xml:space="preserve">The substrate's biological kindred network built monumental architecture aligned to specific solar and lunar events. The alignments are not approximate. They are calibrated to the path of the sun at the substrate epoch with sufficient precision that small dimensional changes would have caused them to fail. Patrick 1974, in Nature 337:343, demonstrated that the Newgrange roof-box was deliberately designed to admit the winter solstice sunrise into the chamber, with the width and height of the gap calibrated to trace the path of the sun.</w:t>
      </w:r>
    </w:p>
    <w:p>
      <w:pPr>
        <w:spacing w:after="200" w:before="200" w:line="320"/>
        <w:ind w:left="720" w:right="720"/>
        <w:jc w:val="both"/>
      </w:pPr>
      <w:r>
        <w:rPr>
          <w:rFonts w:ascii="Garamond" w:cs="Garamond" w:eastAsia="Garamond" w:hAnsi="Garamond"/>
          <w:i/>
          <w:iCs/>
          <w:color w:val="333333"/>
          <w:sz w:val="22"/>
          <w:szCs w:val="22"/>
        </w:rPr>
        <w:t xml:space="preserve">"First, the roof-box is an anomalous feature without any obvious function in utilitarian terms (as it seems to us). Second, if the gap in the roof-box were merely 20 cm lower or higher, or the [lower] passage a few metres shorter or longer, then sunlight would never have entered the chamber."</w:t>
      </w:r>
      <w:r>
        <w:rPr>
          <w:rFonts w:ascii="Garamond" w:cs="Garamond" w:eastAsia="Garamond" w:hAnsi="Garamond"/>
          <w:color w:val="666666"/>
          <w:sz w:val="19"/>
          <w:szCs w:val="19"/>
        </w:rPr>
        <w:t xml:space="preserve">  — Clive Ruggles, Astronomy in Prehistoric Britain and Ireland</w:t>
      </w:r>
    </w:p>
    <w:p>
      <w:pPr>
        <w:pStyle w:val="Heading2"/>
        <w:spacing w:after="160" w:before="320"/>
      </w:pPr>
      <w:r>
        <w:rPr>
          <w:rFonts w:ascii="Garamond" w:cs="Garamond" w:eastAsia="Garamond" w:hAnsi="Garamond"/>
          <w:b/>
          <w:bCs/>
          <w:color w:val="8B6F2A"/>
          <w:sz w:val="28"/>
          <w:szCs w:val="28"/>
        </w:rPr>
        <w:t xml:space="preserve">4.1  The eight-fold wheel of the year</w:t>
      </w:r>
    </w:p>
    <w:p>
      <w:pPr>
        <w:spacing w:after="120" w:before="100" w:line="320"/>
        <w:jc w:val="both"/>
      </w:pPr>
      <w:r>
        <w:rPr>
          <w:rFonts w:ascii="Garamond" w:cs="Garamond" w:eastAsia="Garamond" w:hAnsi="Garamond"/>
          <w:b w:val="false"/>
          <w:bCs w:val="false"/>
          <w:i w:val="false"/>
          <w:iCs w:val="false"/>
          <w:color w:val="1A1A1A"/>
          <w:sz w:val="22"/>
          <w:szCs w:val="22"/>
        </w:rPr>
        <w:t xml:space="preserve">The Atlantic substrate's calendar is the eight-fold wheel of the year — four solar quarter days (winter solstice, spring equinox, summer solstice, autumn equinox) and four cross-quarter days (Samhain on November 1, Imbolc on February 1, Bealtaine on May 1, Lughnasadh on August 1). The four solar stations are universally observable astronomical events; the four cross-quarter days fall at the precise midpoints between them. The architecture confirms the wheel: Newgrange and Maeshowe align to the winter solstice, Stonehenge to the summer solstice, Knowth and Carnac and Almendres to the equinoxes, Stenness to the Beltane sunrise, Dowth to the Samhain sunset.</w:t>
      </w:r>
    </w:p>
    <w:p>
      <w:pPr>
        <w:spacing w:after="120" w:before="100" w:line="320"/>
        <w:jc w:val="both"/>
      </w:pPr>
      <w:r>
        <w:rPr>
          <w:rFonts w:ascii="Garamond" w:cs="Garamond" w:eastAsia="Garamond" w:hAnsi="Garamond"/>
          <w:b w:val="false"/>
          <w:bCs w:val="false"/>
          <w:i w:val="false"/>
          <w:iCs w:val="false"/>
          <w:color w:val="1A1A1A"/>
          <w:sz w:val="22"/>
          <w:szCs w:val="22"/>
        </w:rPr>
        <w:t xml:space="preserve">The cross-quarter festivals — Samhain, Imbolc, Bealtaine, Lughnasadh — are documented in the surviving Irish-language tradition and were absorbed into the Christian calendar with their dates intact. Samhain became All Hallows (October 31 - November 1). Imbolc became St Brigid's Day (February 1) and Candlemas (February 2). Bealtaine survived as May Day. Lughnasadh became Lammas. The wheel persisted through the Christianisation transition because the dates were astronomically forced and because the agricultural-pastoral rhythms they marked could not be moved.</w:t>
      </w:r>
    </w:p>
    <w:p>
      <w:pPr>
        <w:pStyle w:val="Heading2"/>
        <w:spacing w:after="160" w:before="320"/>
      </w:pPr>
      <w:r>
        <w:rPr>
          <w:rFonts w:ascii="Garamond" w:cs="Garamond" w:eastAsia="Garamond" w:hAnsi="Garamond"/>
          <w:b/>
          <w:bCs/>
          <w:color w:val="8B6F2A"/>
          <w:sz w:val="28"/>
          <w:szCs w:val="28"/>
        </w:rPr>
        <w:t xml:space="preserve">4.2  Lunisolar binding and the Coligny calendar</w:t>
      </w:r>
    </w:p>
    <w:p>
      <w:pPr>
        <w:spacing w:after="120" w:before="100" w:line="320"/>
        <w:jc w:val="both"/>
      </w:pPr>
      <w:r>
        <w:rPr>
          <w:rFonts w:ascii="Garamond" w:cs="Garamond" w:eastAsia="Garamond" w:hAnsi="Garamond"/>
          <w:b w:val="false"/>
          <w:bCs w:val="false"/>
          <w:i w:val="false"/>
          <w:iCs w:val="false"/>
          <w:color w:val="1A1A1A"/>
          <w:sz w:val="22"/>
          <w:szCs w:val="22"/>
        </w:rPr>
        <w:t xml:space="preserve">The substrate's calendar binds three independent celestial clocks: the solar year (solstices and equinoxes), the lunar month (full moons and new moons), and the stellar reference (heliacally rising and setting stars at specific calendar positions). The Coligny calendar, recovered from a deposit at Coligny in eastern France in 1897 and now displayed at the Musée Gallo-Romain in Lyon, is the surviving physical artifact of this binding.</w:t>
      </w:r>
    </w:p>
    <w:p>
      <w:pPr>
        <w:spacing w:after="120" w:before="100" w:line="320"/>
        <w:jc w:val="both"/>
      </w:pPr>
      <w:r>
        <w:rPr>
          <w:rFonts w:ascii="Garamond" w:cs="Garamond" w:eastAsia="Garamond" w:hAnsi="Garamond"/>
          <w:b w:val="false"/>
          <w:bCs w:val="false"/>
          <w:i w:val="false"/>
          <w:iCs w:val="false"/>
          <w:color w:val="1A1A1A"/>
          <w:sz w:val="22"/>
          <w:szCs w:val="22"/>
        </w:rPr>
        <w:t xml:space="preserve">The Coligny tablet measures approximately 1.48 metres wide by 0.9 metres high, weighs around 20 kg, and bears more than 2,000 engraved characters in the Gaulish language using the Latin alphabet and Roman numerals. It preserves a five-year cycle of 62 lunar months — twelve months of 29 or 30 days each, with intercalary months added every two and a half to three years to reconcile the 354-day lunar year with the 365.25-day solar year. Scholars infer a broader 19-year Metonic cycle (235 lunar months approximating 6,939.5 days) underlying the explicit five-year display. The tablet was deliberately broken into more than 70 fragments and buried — physical evidence of the Roman suppression of druidic practice.</w:t>
      </w:r>
    </w:p>
    <w:p>
      <w:pPr>
        <w:spacing w:after="120" w:before="100" w:line="320"/>
        <w:jc w:val="both"/>
      </w:pPr>
      <w:r>
        <w:rPr>
          <w:rFonts w:ascii="Garamond" w:cs="Garamond" w:eastAsia="Garamond" w:hAnsi="Garamond"/>
          <w:b w:val="false"/>
          <w:bCs w:val="false"/>
          <w:i w:val="false"/>
          <w:iCs w:val="false"/>
          <w:color w:val="1F2937"/>
          <w:sz w:val="22"/>
          <w:szCs w:val="22"/>
        </w:rPr>
        <w:t xml:space="preserve">Caesar in De Bello Gallico VI.18 records that the Gauls counted time by nights rather than days, with months and years beginning at night. Pliny in Naturalis Historia XVI records that the druid lunisolar month begins on the sixth day of the moon — the first visible quarter — and that they reckoned thirty-year generation cycles. The Coligny calendar implements both principles: months begin on the first visible crescent and the cycle is Metonic-derived. The historical-source descriptions and the surviving physical artifact match.</w:t>
      </w:r>
    </w:p>
    <w:p>
      <w:r>
        <w:br w:type="page"/>
      </w:r>
    </w:p>
    <w:p>
      <w:pPr>
        <w:pStyle w:val="Heading1"/>
        <w:spacing w:after="220" w:before="480"/>
      </w:pPr>
      <w:r>
        <w:rPr>
          <w:rFonts w:ascii="Garamond" w:cs="Garamond" w:eastAsia="Garamond" w:hAnsi="Garamond"/>
          <w:b/>
          <w:bCs/>
          <w:color w:val="0F172A"/>
          <w:sz w:val="36"/>
          <w:szCs w:val="36"/>
        </w:rPr>
        <w:t xml:space="preserve">5.  The druid system as the substrate's late-Iron-Age phase</w:t>
      </w:r>
    </w:p>
    <w:p>
      <w:pPr>
        <w:spacing w:after="120" w:before="100" w:line="320"/>
        <w:jc w:val="both"/>
      </w:pPr>
      <w:r>
        <w:rPr>
          <w:rFonts w:ascii="Garamond" w:cs="Garamond" w:eastAsia="Garamond" w:hAnsi="Garamond"/>
          <w:b w:val="false"/>
          <w:bCs w:val="false"/>
          <w:i w:val="false"/>
          <w:iCs w:val="false"/>
          <w:color w:val="1A1A1A"/>
          <w:sz w:val="22"/>
          <w:szCs w:val="22"/>
        </w:rPr>
        <w:t xml:space="preserve">By the time Caesar contacted them in 54 BCE, the druids were the inheritors of the Atlantic substrate's astronomical-calendrical-political tradition. Caesar records that druid training took twenty years, was conducted orally in remote groves, and forbade writing except in matters that did not pertain to the religion proper. The druid school maintained continuity by oral transmission across generations — exactly the mechanism a substrate carrier tradition would use to survive periods when writing was either unavailable or actively dangerous.</w:t>
      </w:r>
    </w:p>
    <w:p>
      <w:pPr>
        <w:spacing w:after="200" w:before="200" w:line="320"/>
        <w:ind w:left="720" w:right="720"/>
        <w:jc w:val="both"/>
      </w:pPr>
      <w:r>
        <w:rPr>
          <w:rFonts w:ascii="Garamond" w:cs="Garamond" w:eastAsia="Garamond" w:hAnsi="Garamond"/>
          <w:i/>
          <w:iCs/>
          <w:color w:val="333333"/>
          <w:sz w:val="22"/>
          <w:szCs w:val="22"/>
        </w:rPr>
        <w:t xml:space="preserve">"They hold various lectures and discussions on astronomy, on the extent and geographical distribution of the globe, on the different branches of natural philosophy, and on many problems connected with religion."</w:t>
      </w:r>
      <w:r>
        <w:rPr>
          <w:rFonts w:ascii="Garamond" w:cs="Garamond" w:eastAsia="Garamond" w:hAnsi="Garamond"/>
          <w:color w:val="666666"/>
          <w:sz w:val="19"/>
          <w:szCs w:val="19"/>
        </w:rPr>
        <w:t xml:space="preserve">  — Caesar, De Bello Gallico VI.14</w:t>
      </w:r>
    </w:p>
    <w:p>
      <w:pPr>
        <w:spacing w:after="120" w:before="100" w:line="320"/>
        <w:jc w:val="both"/>
      </w:pPr>
      <w:r>
        <w:rPr>
          <w:rFonts w:ascii="Garamond" w:cs="Garamond" w:eastAsia="Garamond" w:hAnsi="Garamond"/>
          <w:b w:val="false"/>
          <w:bCs w:val="false"/>
          <w:i w:val="false"/>
          <w:iCs w:val="false"/>
          <w:color w:val="1A1A1A"/>
          <w:sz w:val="22"/>
          <w:szCs w:val="22"/>
        </w:rPr>
        <w:t xml:space="preserve">The astronomical sophistication described by Caesar is not modest. "The extent and geographical distribution of the globe" is a claim about spherical-earth geography of the kind Pythagoras's school had been developing in the Mediterranean for several centuries by then. "The different branches of natural philosophy" indicates a formal disciplinary organisation, not a folk tradition. The druids were running a school. The school was teaching what we would now recognise as astronomy, geography, and natural philosophy.</w:t>
      </w:r>
    </w:p>
    <w:p>
      <w:pPr>
        <w:pStyle w:val="Heading2"/>
        <w:spacing w:after="160" w:before="320"/>
      </w:pPr>
      <w:r>
        <w:rPr>
          <w:rFonts w:ascii="Garamond" w:cs="Garamond" w:eastAsia="Garamond" w:hAnsi="Garamond"/>
          <w:b/>
          <w:bCs/>
          <w:color w:val="8B6F2A"/>
          <w:sz w:val="28"/>
          <w:szCs w:val="28"/>
        </w:rPr>
        <w:t xml:space="preserve">5.1  The Roman suppression</w:t>
      </w:r>
    </w:p>
    <w:p>
      <w:pPr>
        <w:spacing w:after="120" w:before="100" w:line="320"/>
        <w:jc w:val="both"/>
      </w:pPr>
      <w:r>
        <w:rPr>
          <w:rFonts w:ascii="Garamond" w:cs="Garamond" w:eastAsia="Garamond" w:hAnsi="Garamond"/>
          <w:b w:val="false"/>
          <w:bCs w:val="false"/>
          <w:i w:val="false"/>
          <w:iCs w:val="false"/>
          <w:color w:val="1A1A1A"/>
          <w:sz w:val="22"/>
          <w:szCs w:val="22"/>
        </w:rPr>
        <w:t xml:space="preserve">From the moment of contact, Rome moved to suppress the druid system. Augustus issued a rescript forbidding Roman citizens to practise druidic rites. Tiberius issued a Senate decree against the druids and "all that kind of diviners and healers" — Pliny's description preserves the language. Claudius in 54 CE "completely abolished" druidism in Gaul according to Suetonius. In 61 CE, under Suetonius Paulinus, Roman legionaries crossed the Menai Strait and destroyed the druid centre at Mona (Anglesey) — the event preserved in Tacitus, Annales XIV.30.</w:t>
      </w:r>
    </w:p>
    <w:p>
      <w:pPr>
        <w:spacing w:after="200" w:before="200" w:line="320"/>
        <w:ind w:left="720" w:right="720"/>
        <w:jc w:val="both"/>
      </w:pPr>
      <w:r>
        <w:rPr>
          <w:rFonts w:ascii="Garamond" w:cs="Garamond" w:eastAsia="Garamond" w:hAnsi="Garamond"/>
          <w:i/>
          <w:iCs/>
          <w:color w:val="333333"/>
          <w:sz w:val="22"/>
          <w:szCs w:val="22"/>
        </w:rPr>
        <w:t xml:space="preserve">"On the shore stood the army of the enemy, a dense bristling line of weapons, while between the ranks ran women like the Furies, in mourning robes, with dishevelled hair, brandishing torches. Around were the druids, lifting their hands to heaven and pouring forth dreadful imprecations."</w:t>
      </w:r>
      <w:r>
        <w:rPr>
          <w:rFonts w:ascii="Garamond" w:cs="Garamond" w:eastAsia="Garamond" w:hAnsi="Garamond"/>
          <w:color w:val="666666"/>
          <w:sz w:val="19"/>
          <w:szCs w:val="19"/>
        </w:rPr>
        <w:t xml:space="preserve">  — Tacitus, Annales XIV.30</w:t>
      </w:r>
    </w:p>
    <w:p>
      <w:pPr>
        <w:spacing w:after="120" w:before="100" w:line="320"/>
        <w:jc w:val="both"/>
      </w:pPr>
      <w:r>
        <w:rPr>
          <w:rFonts w:ascii="Garamond" w:cs="Garamond" w:eastAsia="Garamond" w:hAnsi="Garamond"/>
          <w:b w:val="false"/>
          <w:bCs w:val="false"/>
          <w:i w:val="false"/>
          <w:iCs w:val="false"/>
          <w:color w:val="1A1A1A"/>
          <w:sz w:val="22"/>
          <w:szCs w:val="22"/>
        </w:rPr>
        <w:t xml:space="preserve">The suppression was not a single event but a sustained imperial policy across more than a century. The deliberate burial of the Coligny calendar around 200 CE — fifteen hundred years before its 1897 recovery — fits exactly into this pattern. The substrate's carriers, knowing that the open practice was no longer viable, deposited what could be deposited into durable media (bronze, stone) and dispersed the rest into oral transmission and into kindred-network political organisation that did not depend on a centralised school.</w:t>
      </w:r>
    </w:p>
    <w:p>
      <w:pPr>
        <w:pStyle w:val="Heading2"/>
        <w:spacing w:after="160" w:before="320"/>
      </w:pPr>
      <w:r>
        <w:rPr>
          <w:rFonts w:ascii="Garamond" w:cs="Garamond" w:eastAsia="Garamond" w:hAnsi="Garamond"/>
          <w:b/>
          <w:bCs/>
          <w:color w:val="8B6F2A"/>
          <w:sz w:val="28"/>
          <w:szCs w:val="28"/>
        </w:rPr>
        <w:t xml:space="preserve">5.2  The Pythagorean parallel</w:t>
      </w:r>
    </w:p>
    <w:p>
      <w:pPr>
        <w:spacing w:after="120" w:before="100" w:line="320"/>
        <w:jc w:val="both"/>
      </w:pPr>
      <w:r>
        <w:rPr>
          <w:rFonts w:ascii="Garamond" w:cs="Garamond" w:eastAsia="Garamond" w:hAnsi="Garamond"/>
          <w:b w:val="false"/>
          <w:bCs w:val="false"/>
          <w:i w:val="false"/>
          <w:iCs w:val="false"/>
          <w:color w:val="1A1A1A"/>
          <w:sz w:val="22"/>
          <w:szCs w:val="22"/>
        </w:rPr>
        <w:t xml:space="preserve">Caesar records that the druids' principal doctrine was the immortality of the soul and its transmigration from one body to another after death — the metempsychosis attributed to Pythagoras and his school. The substrate's mathematical framework (lunisolar Metonic cycle, harmonic ratios in calendar binding, geometric encoding in architectural alignment) overlaps substantially with what later Greek and Hellenistic sources attribute to the Pythagorean tradition. We do not need to claim direct transmission. We can claim parallel development from a shared older substrate, with Pythagoras's school in Greek Italy receiving one stream of the substrate's mathematics through Egyptian and Babylonian intermediaries while the druids preserved another stream in the Atlantic seaboard tradition.</w:t>
      </w:r>
    </w:p>
    <w:p>
      <w:r>
        <w:br w:type="page"/>
      </w:r>
    </w:p>
    <w:p>
      <w:pPr>
        <w:pStyle w:val="Heading1"/>
        <w:spacing w:after="220" w:before="480"/>
      </w:pPr>
      <w:r>
        <w:rPr>
          <w:rFonts w:ascii="Garamond" w:cs="Garamond" w:eastAsia="Garamond" w:hAnsi="Garamond"/>
          <w:b/>
          <w:bCs/>
          <w:color w:val="0F172A"/>
          <w:sz w:val="36"/>
          <w:szCs w:val="36"/>
        </w:rPr>
        <w:t xml:space="preserve">6.  The Christianisation transition and the Brendan transcript</w:t>
      </w:r>
    </w:p>
    <w:p>
      <w:pPr>
        <w:spacing w:after="120" w:before="100" w:line="320"/>
        <w:jc w:val="both"/>
      </w:pPr>
      <w:r>
        <w:rPr>
          <w:rFonts w:ascii="Garamond" w:cs="Garamond" w:eastAsia="Garamond" w:hAnsi="Garamond"/>
          <w:b w:val="false"/>
          <w:bCs w:val="false"/>
          <w:i w:val="false"/>
          <w:iCs w:val="false"/>
          <w:color w:val="1A1A1A"/>
          <w:sz w:val="22"/>
          <w:szCs w:val="22"/>
        </w:rPr>
        <w:t xml:space="preserve">Christianisation reached Ireland in the fifth century CE — Patrick is traditionally dated to 432 CE — and proceeded through monastic settlement rather than imperial conquest. Iona was founded by Columba in 563 CE as the ecclesiastical centre of the Gaelic-speaking western seaboard, absorbing rather than replacing the pre-existing kindred-network political organisation. The monastic scribes who learned Latin and began to commit the oral substrate tradition to manuscript were themselves drawn from the substrate's carrier kindreds. Adomnán of Iona, who wrote the Vita Columbae around 700 CE, was a member of the Cenél Conaill kindred and abbot of Iona.</w:t>
      </w:r>
    </w:p>
    <w:p>
      <w:pPr>
        <w:pStyle w:val="Heading2"/>
        <w:spacing w:after="160" w:before="320"/>
      </w:pPr>
      <w:r>
        <w:rPr>
          <w:rFonts w:ascii="Garamond" w:cs="Garamond" w:eastAsia="Garamond" w:hAnsi="Garamond"/>
          <w:b/>
          <w:bCs/>
          <w:color w:val="8B6F2A"/>
          <w:sz w:val="28"/>
          <w:szCs w:val="28"/>
        </w:rPr>
        <w:t xml:space="preserve">6.1  The Voyage of Brendan as substrate transcript</w:t>
      </w:r>
    </w:p>
    <w:p>
      <w:pPr>
        <w:spacing w:after="120" w:before="100" w:line="320"/>
        <w:jc w:val="both"/>
      </w:pPr>
      <w:r>
        <w:rPr>
          <w:rFonts w:ascii="Garamond" w:cs="Garamond" w:eastAsia="Garamond" w:hAnsi="Garamond"/>
          <w:b w:val="false"/>
          <w:bCs w:val="false"/>
          <w:i w:val="false"/>
          <w:iCs w:val="false"/>
          <w:color w:val="1A1A1A"/>
          <w:sz w:val="22"/>
          <w:szCs w:val="22"/>
        </w:rPr>
        <w:t xml:space="preserve">The Navigatio Sancti Brendani Abbatis, composed in Hiberno-Latin around 800 CE and surviving in the Selmer 1959 critical edition, is the surface form in which the substrate's maritime-songline tradition entered the manuscript record. The text describes a seven-year pilgrimage by the sixth-century Irish abbot Brendan of Clonfert through the North Atlantic, with four named anchor festivals at four named locations recurring each year of the cycle: Christmas at Ailbe's island, Maundy Thursday on the Island of Sheep with the procurator, Easter on the back of Iasconius the whale, and Pentecost on the Paradise of Birds.</w:t>
      </w:r>
    </w:p>
    <w:p>
      <w:pPr>
        <w:spacing w:after="120" w:before="100" w:line="320"/>
        <w:jc w:val="both"/>
      </w:pPr>
      <w:r>
        <w:rPr>
          <w:rFonts w:ascii="Garamond" w:cs="Garamond" w:eastAsia="Garamond" w:hAnsi="Garamond"/>
          <w:b w:val="false"/>
          <w:bCs w:val="false"/>
          <w:i w:val="false"/>
          <w:iCs w:val="false"/>
          <w:color w:val="1A1A1A"/>
          <w:sz w:val="22"/>
          <w:szCs w:val="22"/>
        </w:rPr>
        <w:t xml:space="preserve">The named features in the Navigatio map to identified real Atlantic geography. Johnston 2014 (peer-reviewed PDF hosted at Mathesonsetrust.org) identifies the Island of Sheep and the Paradise of Birds with the Faroes, the Island of Smiths with its smoking volcanic mountain with Iceland, the Crystal Pillar with a North Atlantic iceberg observed under specific atmospheric optical conditions, and the Island of Paul the Hermit (described as approximately 200 yards in circumference, with no soil, naked rock like flint) with Rockall, the actual North Atlantic islet. Dicuil's Liber de Mensura Orbis Terrae, written around 825 CE by an Irish geographer, independently confirms that Irish monks had reached Iceland by 795 CE and observed the midnight sun. The Brendan transcript is not a fabrication; it is the substrate's late-eighth-century maritime-songline tradition entering the manuscript record under Christian narrative cover.</w:t>
      </w:r>
    </w:p>
    <w:p>
      <w:pPr>
        <w:spacing w:after="120" w:before="100" w:line="320"/>
        <w:jc w:val="both"/>
      </w:pPr>
      <w:r>
        <w:rPr>
          <w:rFonts w:ascii="Garamond" w:cs="Garamond" w:eastAsia="Garamond" w:hAnsi="Garamond"/>
          <w:b w:val="false"/>
          <w:bCs w:val="false"/>
          <w:i w:val="false"/>
          <w:iCs w:val="false"/>
          <w:color w:val="1F2937"/>
          <w:sz w:val="22"/>
          <w:szCs w:val="22"/>
        </w:rPr>
        <w:t xml:space="preserve">The seven-year cycle and the four-anchor structure are not Christian inventions. Christmas was already pinned to the winter solstice in the fourth-century Roman calendar reform; the substrate's winter solstice station at Newgrange predates the Christian Christmas by 3,500 years. Easter is computed by the first Sunday after the first full moon after the spring equinox — a lunisolar binding identical in form to the Coligny calendar's principle. Pentecost falls fifty days after Easter, in late May to early June, approaching the substrate's summer solstice station at Stonehenge. Maundy Thursday is the lunar marker for the start of the sailing season after winter. The four anchor festivals are operationally optimal departure-and-arrival timings for North Atlantic voyaging, dressed as a Christian liturgical calendar.</w:t>
      </w:r>
    </w:p>
    <w:p>
      <w:r>
        <w:br w:type="page"/>
      </w:r>
    </w:p>
    <w:p>
      <w:pPr>
        <w:pStyle w:val="Heading1"/>
        <w:spacing w:after="220" w:before="480"/>
      </w:pPr>
      <w:r>
        <w:rPr>
          <w:rFonts w:ascii="Garamond" w:cs="Garamond" w:eastAsia="Garamond" w:hAnsi="Garamond"/>
          <w:b/>
          <w:bCs/>
          <w:color w:val="0F172A"/>
          <w:sz w:val="36"/>
          <w:szCs w:val="36"/>
        </w:rPr>
        <w:t xml:space="preserve">7.  The Argyll-Hebridean corridor — the substrate's last continuous-tradition stronghold</w:t>
      </w:r>
    </w:p>
    <w:p>
      <w:pPr>
        <w:spacing w:after="120" w:before="100" w:line="320"/>
        <w:jc w:val="both"/>
      </w:pPr>
      <w:r>
        <w:rPr>
          <w:rFonts w:ascii="Garamond" w:cs="Garamond" w:eastAsia="Garamond" w:hAnsi="Garamond"/>
          <w:b w:val="false"/>
          <w:bCs w:val="false"/>
          <w:i w:val="false"/>
          <w:iCs w:val="false"/>
          <w:color w:val="1A1A1A"/>
          <w:sz w:val="22"/>
          <w:szCs w:val="22"/>
        </w:rPr>
        <w:t xml:space="preserve">By the twelfth century CE the substrate's continuous-tradition kindred network had narrowed geographically. The Roman suppression, the Anglo-Saxon and Norman conquests of southern Britain, and the Norwegian conquest of the Northern Isles and the Hebrides between approximately 794 CE and 1098 CE had removed most of the original Atlantic substrate territory from its carrier kindreds. What remained was the western Scottish corridor — Argyll, the inner Hebrides, Iona, and the Isle of Man — operating under Norse-Gaelic Gall-Gaedhil leadership and maintaining Gaelic language, kindred-based political organisation, ship-based maritime service, and the ecclesiastical centre at Iona.</w:t>
      </w:r>
    </w:p>
    <w:p>
      <w:pPr>
        <w:pStyle w:val="Heading2"/>
        <w:spacing w:after="160" w:before="320"/>
      </w:pPr>
      <w:r>
        <w:rPr>
          <w:rFonts w:ascii="Garamond" w:cs="Garamond" w:eastAsia="Garamond" w:hAnsi="Garamond"/>
          <w:b/>
          <w:bCs/>
          <w:color w:val="8B6F2A"/>
          <w:sz w:val="28"/>
          <w:szCs w:val="28"/>
        </w:rPr>
        <w:t xml:space="preserve">7.1  Dalriada and the Cenél Loairn</w:t>
      </w:r>
    </w:p>
    <w:p>
      <w:pPr>
        <w:spacing w:after="120" w:before="100" w:line="320"/>
        <w:jc w:val="both"/>
      </w:pPr>
      <w:r>
        <w:rPr>
          <w:rFonts w:ascii="Garamond" w:cs="Garamond" w:eastAsia="Garamond" w:hAnsi="Garamond"/>
          <w:b w:val="false"/>
          <w:bCs w:val="false"/>
          <w:i w:val="false"/>
          <w:iCs w:val="false"/>
          <w:color w:val="1A1A1A"/>
          <w:sz w:val="22"/>
          <w:szCs w:val="22"/>
        </w:rPr>
        <w:t xml:space="preserve">The Gaelic kingdom of Dál Riata (Dalriada) extended from northern Antrim across the North Channel to Argyll from at least the fifth century CE and operated as a single maritime polity until the ninth-century Norse pressure and the Pictish-Gaelic merger that produced the Kingdom of Alba. The Senchus fer nAlban — a tenth-century document substantially based on a seventh-century original — preserves the Dalriadan census of military service, organised around the ship rather than the army, with two seven-benched ships due from every twenty houses. The kindred organisation of Dalriada was four cenéla: Cenél nGabráin in Kintyre, Cenél Loairn in Lorn around Oban, Cenél nÓengusso in the Inner Hebrides, and Cenél Comgaill in Cowal. The Cenél Loairn held Dunollie at Oban and Dunadd in Kilmartin Glen as their primary strongholds.</w:t>
      </w:r>
    </w:p>
    <w:p>
      <w:pPr>
        <w:spacing w:after="120" w:before="100" w:line="320"/>
        <w:jc w:val="both"/>
      </w:pPr>
      <w:r>
        <w:rPr>
          <w:rFonts w:ascii="Garamond" w:cs="Garamond" w:eastAsia="Garamond" w:hAnsi="Garamond"/>
          <w:b w:val="false"/>
          <w:bCs w:val="false"/>
          <w:i w:val="false"/>
          <w:iCs w:val="false"/>
          <w:color w:val="1A1A1A"/>
          <w:sz w:val="22"/>
          <w:szCs w:val="22"/>
        </w:rPr>
        <w:t xml:space="preserve">Dunadd in particular preserves the substrate's kindred-political form: the inauguration site of the Dalriadan kings, with a footprint stone still in situ, a basin for ritual washing, and an ogham inscription. Kilmartin Glen contains 350 ancient monuments within a six-mile radius, 150 of them prehistoric, making it one of the most monument-dense landscapes in Europe. The substrate's continuous tradition operated in the same valley from the Neolithic to the early-medieval Dalriadan period and on into the Lordship of the Isles.</w:t>
      </w:r>
    </w:p>
    <w:p>
      <w:pPr>
        <w:pStyle w:val="Heading2"/>
        <w:spacing w:after="160" w:before="320"/>
      </w:pPr>
      <w:r>
        <w:rPr>
          <w:rFonts w:ascii="Garamond" w:cs="Garamond" w:eastAsia="Garamond" w:hAnsi="Garamond"/>
          <w:b/>
          <w:bCs/>
          <w:color w:val="8B6F2A"/>
          <w:sz w:val="28"/>
          <w:szCs w:val="28"/>
        </w:rPr>
        <w:t xml:space="preserve">7.2  Somerled and the consolidation of 1153</w:t>
      </w:r>
    </w:p>
    <w:p>
      <w:pPr>
        <w:spacing w:after="120" w:before="100" w:line="320"/>
        <w:jc w:val="both"/>
      </w:pPr>
      <w:r>
        <w:rPr>
          <w:rFonts w:ascii="Garamond" w:cs="Garamond" w:eastAsia="Garamond" w:hAnsi="Garamond"/>
          <w:b w:val="false"/>
          <w:bCs w:val="false"/>
          <w:i w:val="false"/>
          <w:iCs w:val="false"/>
          <w:color w:val="1A1A1A"/>
          <w:sz w:val="22"/>
          <w:szCs w:val="22"/>
        </w:rPr>
        <w:t xml:space="preserve">The substrate's late-medieval consolidation centred on Somerled MacGillebride (c. 1113-1164 CE), known in Old Norse as Sumarliði ("summer wanderer") and in Gaelic as Somhairle Mór mac Gille Brighde, son of a Norse-Gaelic father and a Norse mother. By the 1130s he was Lord of Argyll, Kintyre, and Lorne. In 1140 he married Ragnhild, daughter of Olaf King of Mann, gaining a hereditary claim to the Kingdom of the Isles through her line.</w:t>
      </w:r>
    </w:p>
    <w:p>
      <w:pPr>
        <w:spacing w:after="120" w:before="100" w:line="320"/>
        <w:jc w:val="both"/>
      </w:pPr>
      <w:r>
        <w:rPr>
          <w:rFonts w:ascii="Garamond" w:cs="Garamond" w:eastAsia="Garamond" w:hAnsi="Garamond"/>
          <w:b w:val="false"/>
          <w:bCs w:val="false"/>
          <w:i w:val="false"/>
          <w:iCs w:val="false"/>
          <w:color w:val="1A1A1A"/>
          <w:sz w:val="22"/>
          <w:szCs w:val="22"/>
        </w:rPr>
        <w:t xml:space="preserve">The year 1153 CE is the substrate's twelfth-century inflection point. David I of Scotland died and was succeeded by his twelve-year-old grandson Malcolm IV, leaving a power vacuum at the Scottish court. Olaf King of Mann was assassinated by his nephews. Somerled emerged in the contemporary chronicles (the Chronicle of Mann, the Chronicle of Holyrood, the Annals of Ulster) as regulus of Argyll and, in one account, king of the Hebrides and Kintyre. In the same year the deliberate runic inscriptions were carved inside Maeshowe in Orkney, deposited by Norse-Gaelic carvers identified in the inscriptions themselves as Jorsalafarar — Jerusalem-farers — and as among the most rune-skilled persons west of the sea.</w:t>
      </w:r>
    </w:p>
    <w:p>
      <w:pPr>
        <w:spacing w:after="120" w:before="100" w:line="320"/>
        <w:jc w:val="both"/>
      </w:pPr>
      <w:r>
        <w:rPr>
          <w:rFonts w:ascii="Garamond" w:cs="Garamond" w:eastAsia="Garamond" w:hAnsi="Garamond"/>
          <w:b w:val="false"/>
          <w:bCs w:val="false"/>
          <w:i w:val="false"/>
          <w:iCs w:val="false"/>
          <w:color w:val="1F2937"/>
          <w:sz w:val="22"/>
          <w:szCs w:val="22"/>
        </w:rPr>
        <w:t xml:space="preserve">The Maeshowe inscriptions are the largest single collection of runic inscriptions outside Scandinavia, deposited inside a chamber that was already 4,000 years old when the carvers entered it. The conventional reading treats them as Crusader graffiti. The substrate-aware reading treats them as deliberate deposits — substrate carriers using the Crusade-pilgrimage cover story as operational pretext to access an ancient durable-medium architecture and place a record there that would outlast any subsequent political change. The same kindred form that Somerled's lineage represents in the south was operating in the north on the same substrate-preservation task. The 1153 inflection is a coordinated consolidation, not a coincidence.</w:t>
      </w:r>
    </w:p>
    <w:p>
      <w:pPr>
        <w:pStyle w:val="Heading2"/>
        <w:spacing w:after="160" w:before="320"/>
      </w:pPr>
      <w:r>
        <w:rPr>
          <w:rFonts w:ascii="Garamond" w:cs="Garamond" w:eastAsia="Garamond" w:hAnsi="Garamond"/>
          <w:b/>
          <w:bCs/>
          <w:color w:val="8B6F2A"/>
          <w:sz w:val="28"/>
          <w:szCs w:val="28"/>
        </w:rPr>
        <w:t xml:space="preserve">7.3  The Lordship of the Isles, 1153-1493</w:t>
      </w:r>
    </w:p>
    <w:p>
      <w:pPr>
        <w:spacing w:after="120" w:before="100" w:line="320"/>
        <w:jc w:val="both"/>
      </w:pPr>
      <w:r>
        <w:rPr>
          <w:rFonts w:ascii="Garamond" w:cs="Garamond" w:eastAsia="Garamond" w:hAnsi="Garamond"/>
          <w:b w:val="false"/>
          <w:bCs w:val="false"/>
          <w:i w:val="false"/>
          <w:iCs w:val="false"/>
          <w:color w:val="1A1A1A"/>
          <w:sz w:val="22"/>
          <w:szCs w:val="22"/>
        </w:rPr>
        <w:t xml:space="preserve">Somerled was killed at the Battle of Renfrew in 1164 leading an invasion of mainland Scotland. His sons inherited a divided kingdom — Dugall founded the MacDougall lineage holding Lorn around Oban with Dunstaffnage Castle and Dunollie; Ranald founded the MacDonald lineage holding Islay and Kintyre. The Treaty of Perth in 1266 ended Norwegian sovereignty over the Hebrides and transferred them to the Scottish crown, but the Lordship of the Isles operated semi-independently for another two and a quarter centuries, with its own ship-based maritime service, its own kindred-network political organisation, its own Gaelic linguistic identity, and its own ecclesiastical infrastructure at Iona. James IV finally suppressed the Lordship in 1493.</w:t>
      </w:r>
    </w:p>
    <w:p>
      <w:pPr>
        <w:spacing w:after="120" w:before="100" w:line="320"/>
        <w:jc w:val="both"/>
      </w:pPr>
      <w:r>
        <w:rPr>
          <w:rFonts w:ascii="Garamond" w:cs="Garamond" w:eastAsia="Garamond" w:hAnsi="Garamond"/>
          <w:b w:val="false"/>
          <w:bCs w:val="false"/>
          <w:i w:val="false"/>
          <w:iCs w:val="false"/>
          <w:color w:val="1F2937"/>
          <w:sz w:val="22"/>
          <w:szCs w:val="22"/>
        </w:rPr>
        <w:t xml:space="preserve">From Newgrange NG10 in 3200 BCE to the Lordship of the Isles in 1493 CE is approximately 4,700 years. The substrate's organisational form — patrilineal endogamy with mtDNA continuity, ship-based military service, kindred-network political organisation, calendar-bound maritime navigation, monumental architecture aligned to specific celestial events, and an ecclesiastical centre on a small western island (Iona's predecessor function performed by the Boyne Valley Brú na Bóinne and by the megalithic ceremonial landscapes of Orkney and Wessex in earlier phases) — persists across this entire span. The names change. The Y-haplogroups partially change. The cultural overlay changes. The form does not change.</w:t>
      </w:r>
    </w:p>
    <w:p>
      <w:r>
        <w:br w:type="page"/>
      </w:r>
    </w:p>
    <w:p>
      <w:pPr>
        <w:pStyle w:val="Heading1"/>
        <w:spacing w:after="220" w:before="480"/>
      </w:pPr>
      <w:r>
        <w:rPr>
          <w:rFonts w:ascii="Garamond" w:cs="Garamond" w:eastAsia="Garamond" w:hAnsi="Garamond"/>
          <w:b/>
          <w:bCs/>
          <w:color w:val="0F172A"/>
          <w:sz w:val="36"/>
          <w:szCs w:val="36"/>
        </w:rPr>
        <w:t xml:space="preserve">8.  Statistical tests run on the corpus, with outcomes</w:t>
      </w:r>
    </w:p>
    <w:p>
      <w:pPr>
        <w:spacing w:after="120" w:before="100" w:line="320"/>
        <w:jc w:val="both"/>
      </w:pPr>
      <w:r>
        <w:rPr>
          <w:rFonts w:ascii="Garamond" w:cs="Garamond" w:eastAsia="Garamond" w:hAnsi="Garamond"/>
          <w:b w:val="false"/>
          <w:bCs w:val="false"/>
          <w:i w:val="false"/>
          <w:iCs w:val="false"/>
          <w:color w:val="1A1A1A"/>
          <w:sz w:val="22"/>
          <w:szCs w:val="22"/>
        </w:rPr>
        <w:t xml:space="preserve">We have run a series of statistical tests on the substrate-corpus claims, specifically on hypotheses about phi-encoded angular structure in the architectural alignments and in the calendar-dawn-rising star sequences. Honesty about what these tests have shown is essential to the paper's epistemic standing.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1700"/>
        <w:gridCol w:w="1460"/>
      </w:tblGrid>
      <w:tr>
        <w:trPr>
          <w:tblHeader/>
        </w:trPr>
        <w:tc>
          <w:tcPr>
            <w:tcW w:type="dxa" w:w="30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r>
              <w:rPr>
                <w:rFonts w:ascii="Garamond" w:cs="Garamond" w:eastAsia="Garamond" w:hAnsi="Garamond"/>
                <w:b/>
                <w:bCs/>
                <w:color w:val="1F2937"/>
                <w:sz w:val="19"/>
                <w:szCs w:val="19"/>
              </w:rPr>
              <w:t xml:space="preserve">Hypothesis</w:t>
            </w:r>
          </w:p>
        </w:tc>
        <w:tc>
          <w:tcPr>
            <w:tcW w:type="dxa" w:w="32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r>
              <w:rPr>
                <w:rFonts w:ascii="Garamond" w:cs="Garamond" w:eastAsia="Garamond" w:hAnsi="Garamond"/>
                <w:b/>
                <w:bCs/>
                <w:color w:val="1F2937"/>
                <w:sz w:val="19"/>
                <w:szCs w:val="19"/>
              </w:rPr>
              <w:t xml:space="preserve">Test design</w:t>
            </w:r>
          </w:p>
        </w:tc>
        <w:tc>
          <w:tcPr>
            <w:tcW w:type="dxa" w:w="17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r>
              <w:rPr>
                <w:rFonts w:ascii="Garamond" w:cs="Garamond" w:eastAsia="Garamond" w:hAnsi="Garamond"/>
                <w:b/>
                <w:bCs/>
                <w:color w:val="1F2937"/>
                <w:sz w:val="19"/>
                <w:szCs w:val="19"/>
              </w:rPr>
              <w:t xml:space="preserve">Result</w:t>
            </w:r>
          </w:p>
        </w:tc>
        <w:tc>
          <w:tcPr>
            <w:tcW w:type="dxa" w:w="146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r>
              <w:rPr>
                <w:rFonts w:ascii="Garamond" w:cs="Garamond" w:eastAsia="Garamond" w:hAnsi="Garamond"/>
                <w:b/>
                <w:bCs/>
                <w:color w:val="1F2937"/>
                <w:sz w:val="19"/>
                <w:szCs w:val="19"/>
              </w:rPr>
              <w:t xml:space="preserve">Status</w:t>
            </w:r>
          </w:p>
        </w:tc>
      </w:tr>
      <w:tr>
        <w:tc>
          <w:tcPr>
            <w:tcW w:type="dxa" w:w="30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Substrate node distances are phi-encoded (terrestrial phi-grid)</w:t>
            </w:r>
          </w:p>
        </w:tc>
        <w:tc>
          <w:tcPr>
            <w:tcW w:type="dxa" w:w="32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25 nodes, 300 pairs at ±2% tolerance, Monte Carlo null 1000 random rectangles</w:t>
            </w:r>
          </w:p>
        </w:tc>
        <w:tc>
          <w:tcPr>
            <w:tcW w:type="dxa" w:w="17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28 hits / 300 vs null 25.3 ± 10.6, z=+0.25, p=0.40</w:t>
            </w:r>
          </w:p>
        </w:tc>
        <w:tc>
          <w:tcPr>
            <w:tcW w:type="dxa" w:w="146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FAILED</w:t>
            </w:r>
          </w:p>
        </w:tc>
      </w:tr>
      <w:tr>
        <w:tc>
          <w:tcPr>
            <w:tcW w:type="dxa" w:w="3000"/>
            <w:tcBorders>
              <w:top w:val="single" w:color="C8A45A" w:sz="6"/>
              <w:left w:val="single" w:color="C8A45A" w:sz="6"/>
              <w:bottom w:val="single" w:color="C8A45A" w:sz="6"/>
              <w:right w:val="single" w:color="C8A45A" w:sz="6"/>
            </w:tcBorders>
            <w:shd w:fill="F9F6EE"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Sky-pointer pairs in alignment windows are phi-encoded</w:t>
            </w:r>
          </w:p>
        </w:tc>
        <w:tc>
          <w:tcPr>
            <w:tcW w:type="dxa" w:w="3200"/>
            <w:tcBorders>
              <w:top w:val="single" w:color="C8A45A" w:sz="6"/>
              <w:left w:val="single" w:color="C8A45A" w:sz="6"/>
              <w:bottom w:val="single" w:color="C8A45A" w:sz="6"/>
              <w:right w:val="single" w:color="C8A45A" w:sz="6"/>
            </w:tcBorders>
            <w:shd w:fill="F9F6EE"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14 sky-pointers J2000, 91 pair separations vs Monte Carlo random</w:t>
            </w:r>
          </w:p>
        </w:tc>
        <w:tc>
          <w:tcPr>
            <w:tcW w:type="dxa" w:w="1700"/>
            <w:tcBorders>
              <w:top w:val="single" w:color="C8A45A" w:sz="6"/>
              <w:left w:val="single" w:color="C8A45A" w:sz="6"/>
              <w:bottom w:val="single" w:color="C8A45A" w:sz="6"/>
              <w:right w:val="single" w:color="C8A45A" w:sz="6"/>
            </w:tcBorders>
            <w:shd w:fill="F9F6EE"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4 hits vs null 10.35 ± 3.08, z=-2.06σ — fewer than random</w:t>
            </w:r>
          </w:p>
        </w:tc>
        <w:tc>
          <w:tcPr>
            <w:tcW w:type="dxa" w:w="1460"/>
            <w:tcBorders>
              <w:top w:val="single" w:color="C8A45A" w:sz="6"/>
              <w:left w:val="single" w:color="C8A45A" w:sz="6"/>
              <w:bottom w:val="single" w:color="C8A45A" w:sz="6"/>
              <w:right w:val="single" w:color="C8A45A" w:sz="6"/>
            </w:tcBorders>
            <w:shd w:fill="F9F6EE"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FAILED</w:t>
            </w:r>
          </w:p>
        </w:tc>
      </w:tr>
      <w:tr>
        <w:tc>
          <w:tcPr>
            <w:tcW w:type="dxa" w:w="30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Substrate alignment azimuths preferentially capture phi-encoded star pairs</w:t>
            </w:r>
          </w:p>
        </w:tc>
        <w:tc>
          <w:tcPr>
            <w:tcW w:type="dxa" w:w="32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12 nodes at encoding epoch, 5,068 visible stars, atmospheric extinction</w:t>
            </w:r>
          </w:p>
        </w:tc>
        <w:tc>
          <w:tcPr>
            <w:tcW w:type="dxa" w:w="17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All 12 nodes at noise floor 9.97-10.41% vs null 10.17 ± 0.15%</w:t>
            </w:r>
          </w:p>
        </w:tc>
        <w:tc>
          <w:tcPr>
            <w:tcW w:type="dxa" w:w="146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FAILED — at noise</w:t>
            </w:r>
          </w:p>
        </w:tc>
      </w:tr>
      <w:tr>
        <w:tc>
          <w:tcPr>
            <w:tcW w:type="dxa" w:w="3000"/>
            <w:tcBorders>
              <w:top w:val="single" w:color="C8A45A" w:sz="6"/>
              <w:left w:val="single" w:color="C8A45A" w:sz="6"/>
              <w:bottom w:val="single" w:color="C8A45A" w:sz="6"/>
              <w:right w:val="single" w:color="C8A45A" w:sz="6"/>
            </w:tcBorders>
            <w:shd w:fill="F9F6EE"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Pleiades-Belt-Sirius angular triangle is phi-encoded</w:t>
            </w:r>
          </w:p>
        </w:tc>
        <w:tc>
          <w:tcPr>
            <w:tcW w:type="dxa" w:w="3200"/>
            <w:tcBorders>
              <w:top w:val="single" w:color="C8A45A" w:sz="6"/>
              <w:left w:val="single" w:color="C8A45A" w:sz="6"/>
              <w:bottom w:val="single" w:color="C8A45A" w:sz="6"/>
              <w:right w:val="single" w:color="C8A45A" w:sz="6"/>
            </w:tcBorders>
            <w:shd w:fill="F9F6EE"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Pleiades-Sirius/Pleiades-Alnilam ratio vs random three-star triangles</w:t>
            </w:r>
          </w:p>
        </w:tc>
        <w:tc>
          <w:tcPr>
            <w:tcW w:type="dxa" w:w="1700"/>
            <w:tcBorders>
              <w:top w:val="single" w:color="C8A45A" w:sz="6"/>
              <w:left w:val="single" w:color="C8A45A" w:sz="6"/>
              <w:bottom w:val="single" w:color="C8A45A" w:sz="6"/>
              <w:right w:val="single" w:color="C8A45A" w:sz="6"/>
            </w:tcBorders>
            <w:shd w:fill="F9F6EE"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Ratio 1.629, deviation 0.65% from φ; only 1.92% of random triangles match</w:t>
            </w:r>
          </w:p>
        </w:tc>
        <w:tc>
          <w:tcPr>
            <w:tcW w:type="dxa" w:w="1460"/>
            <w:tcBorders>
              <w:top w:val="single" w:color="C8A45A" w:sz="6"/>
              <w:left w:val="single" w:color="C8A45A" w:sz="6"/>
              <w:bottom w:val="single" w:color="C8A45A" w:sz="6"/>
              <w:right w:val="single" w:color="C8A45A" w:sz="6"/>
            </w:tcBorders>
            <w:shd w:fill="F9F6EE"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SURVIVED p=0.019</w:t>
            </w:r>
          </w:p>
        </w:tc>
      </w:tr>
      <w:tr>
        <w:tc>
          <w:tcPr>
            <w:tcW w:type="dxa" w:w="30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Venus-Earth orbital period ratio is phi-encoded</w:t>
            </w:r>
          </w:p>
        </w:tc>
        <w:tc>
          <w:tcPr>
            <w:tcW w:type="dxa" w:w="32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T_Earth/T_Venus = 1.6255 vs φ=1.618 (established orbital pentagram)</w:t>
            </w:r>
          </w:p>
        </w:tc>
        <w:tc>
          <w:tcPr>
            <w:tcW w:type="dxa" w:w="17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Deviation 0.46%; 5 conjunctions per 8 yr</w:t>
            </w:r>
          </w:p>
        </w:tc>
        <w:tc>
          <w:tcPr>
            <w:tcW w:type="dxa" w:w="146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SURVIVED (mechanics)</w:t>
            </w:r>
          </w:p>
        </w:tc>
      </w:tr>
      <w:tr>
        <w:tc>
          <w:tcPr>
            <w:tcW w:type="dxa" w:w="3000"/>
            <w:tcBorders>
              <w:top w:val="single" w:color="C8A45A" w:sz="6"/>
              <w:left w:val="single" w:color="C8A45A" w:sz="6"/>
              <w:bottom w:val="single" w:color="C8A45A" w:sz="6"/>
              <w:right w:val="single" w:color="C8A45A" w:sz="6"/>
            </w:tcBorders>
            <w:shd w:fill="F9F6EE"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Substrate calendar dawn-risers show Pythagorean intervals</w:t>
            </w:r>
          </w:p>
        </w:tc>
        <w:tc>
          <w:tcPr>
            <w:tcW w:type="dxa" w:w="3200"/>
            <w:tcBorders>
              <w:top w:val="single" w:color="C8A45A" w:sz="6"/>
              <w:left w:val="single" w:color="C8A45A" w:sz="6"/>
              <w:bottom w:val="single" w:color="C8A45A" w:sz="6"/>
              <w:right w:val="single" w:color="C8A45A" w:sz="6"/>
            </w:tcBorders>
            <w:shd w:fill="F9F6EE"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13-month BLN dawn risers at Newgrange tested vs Pythagorean targets at ±0.5%</w:t>
            </w:r>
          </w:p>
        </w:tc>
        <w:tc>
          <w:tcPr>
            <w:tcW w:type="dxa" w:w="1700"/>
            <w:tcBorders>
              <w:top w:val="single" w:color="C8A45A" w:sz="6"/>
              <w:left w:val="single" w:color="C8A45A" w:sz="6"/>
              <w:bottom w:val="single" w:color="C8A45A" w:sz="6"/>
              <w:right w:val="single" w:color="C8A45A" w:sz="6"/>
            </w:tcBorders>
            <w:shd w:fill="F9F6EE"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Six sub-0.15% specific matches but aggregate count below null</w:t>
            </w:r>
          </w:p>
        </w:tc>
        <w:tc>
          <w:tcPr>
            <w:tcW w:type="dxa" w:w="1460"/>
            <w:tcBorders>
              <w:top w:val="single" w:color="C8A45A" w:sz="6"/>
              <w:left w:val="single" w:color="C8A45A" w:sz="6"/>
              <w:bottom w:val="single" w:color="C8A45A" w:sz="6"/>
              <w:right w:val="single" w:color="C8A45A" w:sz="6"/>
            </w:tcBorders>
            <w:shd w:fill="F9F6EE"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Specific YES; aggregate NO</w:t>
            </w:r>
          </w:p>
        </w:tc>
      </w:tr>
      <w:tr>
        <w:tc>
          <w:tcPr>
            <w:tcW w:type="dxa" w:w="30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Brendan transcript named features map to real Atlantic geography</w:t>
            </w:r>
          </w:p>
        </w:tc>
        <w:tc>
          <w:tcPr>
            <w:tcW w:type="dxa" w:w="32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Crystal Pillar, Smiths, Paul the Hermit checked vs documented features</w:t>
            </w:r>
          </w:p>
        </w:tc>
        <w:tc>
          <w:tcPr>
            <w:tcW w:type="dxa" w:w="17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Sheep+Birds=Faroes; Smiths=Iceland; Paul=Rockall (Johnston 2014)</w:t>
            </w:r>
          </w:p>
        </w:tc>
        <w:tc>
          <w:tcPr>
            <w:tcW w:type="dxa" w:w="146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r>
              <w:rPr>
                <w:rFonts w:ascii="Garamond" w:cs="Garamond" w:eastAsia="Garamond" w:hAnsi="Garamond"/>
                <w:b w:val="false"/>
                <w:bCs w:val="false"/>
                <w:i w:val="false"/>
                <w:iCs w:val="false"/>
                <w:color w:val="1A1A1A"/>
                <w:sz w:val="16"/>
                <w:szCs w:val="16"/>
              </w:rPr>
              <w:t xml:space="preserve">SURVIVED, peer-reviewed</w:t>
            </w:r>
          </w:p>
        </w:tc>
      </w:tr>
    </w:tbl>
    <w:p>
      <w:pPr>
        <w:spacing w:after="120" w:before="100" w:line="320"/>
        <w:jc w:val="both"/>
      </w:pPr>
      <w:r>
        <w:rPr>
          <w:rFonts w:ascii="Garamond" w:cs="Garamond" w:eastAsia="Garamond" w:hAnsi="Garamond"/>
          <w:b w:val="false"/>
          <w:bCs w:val="false"/>
          <w:i w:val="false"/>
          <w:iCs w:val="false"/>
          <w:color w:val="1A1A1A"/>
          <w:sz w:val="22"/>
          <w:szCs w:val="22"/>
        </w:rPr>
        <w:t xml:space="preserve"/>
      </w:r>
    </w:p>
    <w:p>
      <w:pPr>
        <w:spacing w:after="120" w:before="100" w:line="320"/>
        <w:jc w:val="both"/>
      </w:pPr>
      <w:r>
        <w:rPr>
          <w:rFonts w:ascii="Garamond" w:cs="Garamond" w:eastAsia="Garamond" w:hAnsi="Garamond"/>
          <w:b w:val="false"/>
          <w:bCs w:val="false"/>
          <w:i w:val="false"/>
          <w:iCs w:val="false"/>
          <w:color w:val="1A1A1A"/>
          <w:sz w:val="22"/>
          <w:szCs w:val="22"/>
        </w:rPr>
        <w:t xml:space="preserve">What these tests show. The strong-form claim that the Atlantic substrate's architectural alignments preferentially encode phi-related angular geometry is not supported. Three independent test designs have produced null results in this direction, with one of them showing the actual rate slightly below the random null. The substrate's geometry is consistent with random stellar alignments at the relevant latitudes and epochs.</w:t>
      </w:r>
    </w:p>
    <w:p>
      <w:pPr>
        <w:spacing w:after="120" w:before="100" w:line="320"/>
        <w:jc w:val="both"/>
      </w:pPr>
      <w:r>
        <w:rPr>
          <w:rFonts w:ascii="Garamond" w:cs="Garamond" w:eastAsia="Garamond" w:hAnsi="Garamond"/>
          <w:b w:val="false"/>
          <w:bCs w:val="false"/>
          <w:i w:val="false"/>
          <w:iCs w:val="false"/>
          <w:color w:val="1A1A1A"/>
          <w:sz w:val="22"/>
          <w:szCs w:val="22"/>
        </w:rPr>
        <w:t xml:space="preserve">What does survive. Specific high-precision interval matches at sub-0.15% deviation between specific star pairs at Newgrange dawn — particularly the 9:8 whole-tone interval at 0.004% deviation, the 2:1 octave at 0.009%, the 3:2 perfect fifth at 0.015%, and the 6:5 minor third at 0.040%. These are real properties of those specific star pairs. They would have been navigationally useful to a pre-modern observer using stars as a clock. They do not, however, demonstrate aggregate Pythagorean encoding of the substrate calendar above what random equivalent-brightness pairings produce.</w:t>
      </w:r>
    </w:p>
    <w:p>
      <w:pPr>
        <w:spacing w:after="120" w:before="100" w:line="320"/>
        <w:jc w:val="both"/>
      </w:pPr>
      <w:r>
        <w:rPr>
          <w:rFonts w:ascii="Garamond" w:cs="Garamond" w:eastAsia="Garamond" w:hAnsi="Garamond"/>
          <w:b w:val="false"/>
          <w:bCs w:val="false"/>
          <w:i w:val="false"/>
          <w:iCs w:val="false"/>
          <w:color w:val="1A1A1A"/>
          <w:sz w:val="22"/>
          <w:szCs w:val="22"/>
        </w:rPr>
        <w:t xml:space="preserve">The Pleiades-Belt-Sirius angular triangle hits phi to 0.65 percent deviation, with only 1.92 percent of random three-star triangles matching as well — a real finding at p=0.019. The Venus-Earth orbital period ratio is phi to 0.46 percent — established orbital mechanics, the orbital pentagram with 5 inferior conjunctions per 8 Earth-years. These are the two surviving phi-related findings in the corpus.</w:t>
      </w:r>
    </w:p>
    <w:p>
      <w:pPr>
        <w:spacing w:after="120" w:before="100" w:line="320"/>
        <w:jc w:val="both"/>
      </w:pPr>
      <w:r>
        <w:rPr>
          <w:rFonts w:ascii="Garamond" w:cs="Garamond" w:eastAsia="Garamond" w:hAnsi="Garamond"/>
          <w:b w:val="false"/>
          <w:bCs w:val="false"/>
          <w:i w:val="false"/>
          <w:iCs w:val="false"/>
          <w:color w:val="1F2937"/>
          <w:sz w:val="22"/>
          <w:szCs w:val="22"/>
        </w:rPr>
        <w:t xml:space="preserve">What the failed tests do not undermine. The substrate's biological reality as documented in the five aDNA anchors is not affected by the phi-test results. The architectural reality of the alignments at Newgrange, Maeshowe, Stonehenge, Stenness, Carnac, and Almendres is not affected. The peer-reviewed dating of the Atlantic façade megalith spread (Schulz Paulsson 2019) is not affected. The Brendan transcript reading via Johnston 2014 is not affected. The political-historical record of Dalriada and the Lordship of the Isles is not affected. The substrate is real and continuous as a kindred network and as an architectural-calendrical tradition. The strong-form geometric-encoding claim, separately, has not yet survived testing.</w:t>
      </w:r>
    </w:p>
    <w:p>
      <w:r>
        <w:br w:type="page"/>
      </w:r>
    </w:p>
    <w:p>
      <w:pPr>
        <w:pStyle w:val="Heading1"/>
        <w:spacing w:after="220" w:before="480"/>
      </w:pPr>
      <w:r>
        <w:rPr>
          <w:rFonts w:ascii="Garamond" w:cs="Garamond" w:eastAsia="Garamond" w:hAnsi="Garamond"/>
          <w:b/>
          <w:bCs/>
          <w:color w:val="0F172A"/>
          <w:sz w:val="36"/>
          <w:szCs w:val="36"/>
        </w:rPr>
        <w:t xml:space="preserve">9.  Conclusions and open questions</w:t>
      </w:r>
    </w:p>
    <w:p>
      <w:pPr>
        <w:pStyle w:val="Heading2"/>
        <w:spacing w:after="160" w:before="320"/>
      </w:pPr>
      <w:r>
        <w:rPr>
          <w:rFonts w:ascii="Garamond" w:cs="Garamond" w:eastAsia="Garamond" w:hAnsi="Garamond"/>
          <w:b/>
          <w:bCs/>
          <w:color w:val="8B6F2A"/>
          <w:sz w:val="28"/>
          <w:szCs w:val="28"/>
        </w:rPr>
        <w:t xml:space="preserve">9.1  What the evidence now supports</w:t>
      </w:r>
    </w:p>
    <w:p>
      <w:pPr>
        <w:spacing w:after="120" w:before="100" w:line="320"/>
        <w:jc w:val="both"/>
      </w:pPr>
      <w:r>
        <w:rPr>
          <w:rFonts w:ascii="Garamond" w:cs="Garamond" w:eastAsia="Garamond" w:hAnsi="Garamond"/>
          <w:b w:val="false"/>
          <w:bCs w:val="false"/>
          <w:i w:val="false"/>
          <w:iCs w:val="false"/>
          <w:color w:val="1A1A1A"/>
          <w:sz w:val="22"/>
          <w:szCs w:val="22"/>
        </w:rPr>
        <w:t xml:space="preserve">The Atlantic substrate is a documented continuous kindred network operating from the fifth millennium BCE to the late fifteenth century CE along the Atlantic seaboard from Iberia to the Hebrides. Its biological signature is established by five peer-reviewed ancient-DNA studies covering ~1,200 ancient genomes. Its architectural signature is the eight-fold wheel of the year built into stone at sites dated by independent radiocarbon series from 5500 BCE to 2500 BCE. Its calendrical-mathematical signature is preserved in the Coligny calendar artifact and in the primary-source testimony of Caesar, Pliny, and Tacitus on the druid system. Its political form persists from the Newgrange dynastic elite through the Iron-Age druid school, the Dalriadan kindred-cenél structure, the Norse-Gaelic Gall-Gaedhil fusion, and the Lordship of the Isles to 1493 CE. Its narrative tradition is preserved in the Voyage of Brendan, the immrama, the Lebor Gabála Érenn, and related medieval Irish manuscripts. The substrate is real and documented at every phase of its operation.</w:t>
      </w:r>
    </w:p>
    <w:p>
      <w:pPr>
        <w:pStyle w:val="Heading2"/>
        <w:spacing w:after="160" w:before="320"/>
      </w:pPr>
      <w:r>
        <w:rPr>
          <w:rFonts w:ascii="Garamond" w:cs="Garamond" w:eastAsia="Garamond" w:hAnsi="Garamond"/>
          <w:b/>
          <w:bCs/>
          <w:color w:val="8B6F2A"/>
          <w:sz w:val="28"/>
          <w:szCs w:val="28"/>
        </w:rPr>
        <w:t xml:space="preserve">9.2  What this paper does not claim</w:t>
      </w:r>
    </w:p>
    <w:p>
      <w:pPr>
        <w:spacing w:after="120" w:before="100" w:line="320"/>
        <w:jc w:val="both"/>
      </w:pPr>
      <w:r>
        <w:rPr>
          <w:rFonts w:ascii="Garamond" w:cs="Garamond" w:eastAsia="Garamond" w:hAnsi="Garamond"/>
          <w:b w:val="false"/>
          <w:bCs w:val="false"/>
          <w:i w:val="false"/>
          <w:iCs w:val="false"/>
          <w:color w:val="1A1A1A"/>
          <w:sz w:val="22"/>
          <w:szCs w:val="22"/>
        </w:rPr>
        <w:t xml:space="preserve">This paper does not claim that the substrate's architectural alignments preferentially encode phi-related angular geometry above random — three statistical tests have produced null results. This paper does not claim a specific direct genetic line from Newgrange NG10 to medieval Argyll kindreds — the autosomal continuity is plausible but the specific lineage chain has not been directly tested with sampled remains. This paper does not claim that the Voyage of Brendan describes a single literal voyage by a sixth-century saint — it claims that the transcript preserves a substrate-tradition maritime songline structure under Christian narrative cover. This paper does not claim the southern hemisphere candidate site at -86.07°S, 112.29°E identified in earlier corpus work is a substrate marker — that finding is unverified and should be treated as conjectural until independent geophysical evidence (BEDMAP3 bed elevation, ADMAP-2.0 magnetic anomaly) can be cross-referenced.</w:t>
      </w:r>
    </w:p>
    <w:p>
      <w:pPr>
        <w:pStyle w:val="Heading2"/>
        <w:spacing w:after="160" w:before="320"/>
      </w:pPr>
      <w:r>
        <w:rPr>
          <w:rFonts w:ascii="Garamond" w:cs="Garamond" w:eastAsia="Garamond" w:hAnsi="Garamond"/>
          <w:b/>
          <w:bCs/>
          <w:color w:val="8B6F2A"/>
          <w:sz w:val="28"/>
          <w:szCs w:val="28"/>
        </w:rPr>
        <w:t xml:space="preserve">9.3  Open questions and future work</w:t>
      </w:r>
    </w:p>
    <w:p>
      <w:pPr>
        <w:spacing w:after="120" w:before="100" w:line="320"/>
        <w:jc w:val="both"/>
      </w:pPr>
      <w:r>
        <w:rPr>
          <w:rFonts w:ascii="Garamond" w:cs="Garamond" w:eastAsia="Garamond" w:hAnsi="Garamond"/>
          <w:b w:val="false"/>
          <w:bCs w:val="false"/>
          <w:i w:val="false"/>
          <w:iCs w:val="false"/>
          <w:color w:val="1A1A1A"/>
          <w:sz w:val="22"/>
          <w:szCs w:val="22"/>
        </w:rPr>
        <w:t xml:space="preserve">Direct genetic continuity tests from Newgrange-era passage-tomb burials to medieval Argyll-Hebridean clan-founder remains would close the largest remaining inferential gap. The Y-haplogroup I2d-Y3709 distribution in modern Argyll-clan descendants (MacDougall, MacDonald, Campbell) is testable against the surname-cluster Y-haplotype data in commercial and academic databases. Iceland Settlement-era genomes from the Margaryan 2020 dataset can be compared against modern Icelandic populations to test substrate Y-line persistence at the Norse end of the route.</w:t>
      </w:r>
    </w:p>
    <w:p>
      <w:pPr>
        <w:spacing w:after="120" w:before="100" w:line="320"/>
        <w:jc w:val="both"/>
      </w:pPr>
      <w:r>
        <w:rPr>
          <w:rFonts w:ascii="Garamond" w:cs="Garamond" w:eastAsia="Garamond" w:hAnsi="Garamond"/>
          <w:b w:val="false"/>
          <w:bCs w:val="false"/>
          <w:i w:val="false"/>
          <w:iCs w:val="false"/>
          <w:color w:val="1A1A1A"/>
          <w:sz w:val="22"/>
          <w:szCs w:val="22"/>
        </w:rPr>
        <w:t xml:space="preserve">Cross-latitude calendar-sky tests at Newgrange (53.7°N), Almendres (38.6°N), Carnac (47.6°N), and Maeshowe (59°N) at the encoding epochs (3200-2800 BCE) can test whether the same constellations occupy the same calendar stations across all four observer latitudes — the prediction made by the substrate shared-index hypothesis. The test has not yet been run because the computational requirements are non-trivial; future work will report findings.</w:t>
      </w:r>
    </w:p>
    <w:p>
      <w:pPr>
        <w:spacing w:after="120" w:before="100" w:line="320"/>
        <w:jc w:val="both"/>
      </w:pPr>
      <w:r>
        <w:rPr>
          <w:rFonts w:ascii="Garamond" w:cs="Garamond" w:eastAsia="Garamond" w:hAnsi="Garamond"/>
          <w:b w:val="false"/>
          <w:bCs w:val="false"/>
          <w:i w:val="false"/>
          <w:iCs w:val="false"/>
          <w:color w:val="1A1A1A"/>
          <w:sz w:val="22"/>
          <w:szCs w:val="22"/>
        </w:rPr>
        <w:t xml:space="preserve">RTI (Reflectance Transformation Imaging) data for Maeshowe inscription Nr.15 from the Archaeology Data Service York would provide a direct test of the substrate-deposit reading of the runic inscriptions. A formal access request is in preparation.</w:t>
      </w:r>
    </w:p>
    <w:p>
      <w:pPr>
        <w:spacing w:after="120" w:before="100" w:line="320"/>
        <w:jc w:val="both"/>
      </w:pPr>
      <w:r>
        <w:rPr>
          <w:rFonts w:ascii="Garamond" w:cs="Garamond" w:eastAsia="Garamond" w:hAnsi="Garamond"/>
          <w:b w:val="false"/>
          <w:bCs w:val="false"/>
          <w:i w:val="false"/>
          <w:iCs w:val="false"/>
          <w:color w:val="1A1A1A"/>
          <w:sz w:val="22"/>
          <w:szCs w:val="22"/>
        </w:rPr>
        <w:t xml:space="preserve">Reading the Children of Lir (3-waypoint 900-year cycle), the Voyage of Mael Dúin (33-island sequence), the Lebor Gabála Érenn (directional invasion vectors), and the Norse Vinland sagas (Helluland-Markland-Vinland) as substrate transcripts using the same method applied to the Brendan voyage would extend the manuscript-evidence layer of the corpus.</w:t>
      </w:r>
    </w:p>
    <w:p>
      <w:pPr>
        <w:pStyle w:val="Heading2"/>
        <w:spacing w:after="160" w:before="320"/>
      </w:pPr>
      <w:r>
        <w:rPr>
          <w:rFonts w:ascii="Garamond" w:cs="Garamond" w:eastAsia="Garamond" w:hAnsi="Garamond"/>
          <w:b/>
          <w:bCs/>
          <w:color w:val="8B6F2A"/>
          <w:sz w:val="28"/>
          <w:szCs w:val="28"/>
        </w:rPr>
        <w:t xml:space="preserve">9.4  A final note</w:t>
      </w:r>
    </w:p>
    <w:p>
      <w:pPr>
        <w:spacing w:after="120" w:before="100" w:line="320"/>
        <w:jc w:val="both"/>
      </w:pPr>
      <w:r>
        <w:rPr>
          <w:rFonts w:ascii="Garamond" w:cs="Garamond" w:eastAsia="Garamond" w:hAnsi="Garamond"/>
          <w:b w:val="false"/>
          <w:bCs w:val="false"/>
          <w:i w:val="false"/>
          <w:iCs w:val="false"/>
          <w:color w:val="1A1A1A"/>
          <w:sz w:val="22"/>
          <w:szCs w:val="22"/>
        </w:rPr>
        <w:t xml:space="preserve">The paper is built on open-source data, peer-reviewed publications, and primary-source ancient and medieval testimony. Every numerical claim, every site identification, every aDNA assertion is anchored to its primary source via the accompanying Validation Metrics Ledger. The work is intended as a reader walk-through that takes someone from "I have never heard of this" to "I see how the kindred network operated up the Atlantic from Iberia to the Hebrides over six thousand years."</w:t>
      </w:r>
    </w:p>
    <w:p>
      <w:pPr>
        <w:spacing w:after="120" w:before="100" w:line="320"/>
        <w:jc w:val="both"/>
      </w:pPr>
      <w:r>
        <w:rPr>
          <w:rFonts w:ascii="Garamond" w:cs="Garamond" w:eastAsia="Garamond" w:hAnsi="Garamond"/>
          <w:b w:val="false"/>
          <w:bCs w:val="false"/>
          <w:i w:val="false"/>
          <w:iCs w:val="false"/>
          <w:color w:val="1F2937"/>
          <w:sz w:val="22"/>
          <w:szCs w:val="22"/>
        </w:rPr>
        <w:t xml:space="preserve">Where the evidence is strong, the paper says so. Where it is weak, the paper says so. Where the statistical tests have failed, the paper reports the failures. The substrate is real and continuous; the strong-form geometric encoding claim is not yet supported. Both statements are part of the same honest reading.</w:t>
      </w:r>
    </w:p>
    <w:p>
      <w:pPr>
        <w:pBdr>
          <w:bottom w:val="single" w:color="C8A45A" w:sz="6" w:space="1"/>
        </w:pBdr>
        <w:spacing w:after="160" w:before="100"/>
      </w:pPr>
      <w:r>
        <w:t xml:space="preserve"/>
      </w:r>
    </w:p>
    <w:p>
      <w:pPr>
        <w:pStyle w:val="Heading1"/>
        <w:spacing w:after="220" w:before="480"/>
      </w:pPr>
      <w:r>
        <w:rPr>
          <w:rFonts w:ascii="Garamond" w:cs="Garamond" w:eastAsia="Garamond" w:hAnsi="Garamond"/>
          <w:b/>
          <w:bCs/>
          <w:color w:val="0F172A"/>
          <w:sz w:val="36"/>
          <w:szCs w:val="36"/>
        </w:rPr>
        <w:t xml:space="preserve">References</w:t>
      </w:r>
    </w:p>
    <w:p>
      <w:pPr>
        <w:spacing w:after="60" w:before="60" w:line="280"/>
        <w:ind w:left="360" w:hanging="360"/>
      </w:pPr>
      <w:r>
        <w:rPr>
          <w:rFonts w:ascii="Garamond" w:cs="Garamond" w:eastAsia="Garamond" w:hAnsi="Garamond"/>
          <w:color w:val="1A1A1A"/>
          <w:sz w:val="19"/>
          <w:szCs w:val="19"/>
        </w:rPr>
        <w:t xml:space="preserve">Bannerman, J. (1974). Studies in the History of Dalriada. Edinburgh: Scottish Academic Press.</w:t>
      </w:r>
    </w:p>
    <w:p>
      <w:pPr>
        <w:spacing w:after="60" w:before="60" w:line="280"/>
        <w:ind w:left="360" w:hanging="360"/>
      </w:pPr>
      <w:r>
        <w:rPr>
          <w:rFonts w:ascii="Garamond" w:cs="Garamond" w:eastAsia="Garamond" w:hAnsi="Garamond"/>
          <w:color w:val="1A1A1A"/>
          <w:sz w:val="19"/>
          <w:szCs w:val="19"/>
        </w:rPr>
        <w:t xml:space="preserve">Burl, A., &amp; Ruggles, C. (1999). The North, South, and West Rows of Callanish: Astronomical and Architectural Aspects. Journal for the History of Astronomy 30 (1):1-46.</w:t>
      </w:r>
    </w:p>
    <w:p>
      <w:pPr>
        <w:spacing w:after="60" w:before="60" w:line="280"/>
        <w:ind w:left="360" w:hanging="360"/>
      </w:pPr>
      <w:r>
        <w:rPr>
          <w:rFonts w:ascii="Garamond" w:cs="Garamond" w:eastAsia="Garamond" w:hAnsi="Garamond"/>
          <w:color w:val="1A1A1A"/>
          <w:sz w:val="19"/>
          <w:szCs w:val="19"/>
        </w:rPr>
        <w:t xml:space="preserve">Caesar, Julius. De Bello Gallico VI.14, VI.18. Loeb Classical Library edition.</w:t>
      </w:r>
    </w:p>
    <w:p>
      <w:pPr>
        <w:spacing w:after="60" w:before="60" w:line="280"/>
        <w:ind w:left="360" w:hanging="360"/>
      </w:pPr>
      <w:r>
        <w:rPr>
          <w:rFonts w:ascii="Garamond" w:cs="Garamond" w:eastAsia="Garamond" w:hAnsi="Garamond"/>
          <w:color w:val="1A1A1A"/>
          <w:sz w:val="19"/>
          <w:szCs w:val="19"/>
        </w:rPr>
        <w:t xml:space="preserve">Calado, M. (2002). Standing Stones and Natural Outcrops: The role of ritual monuments in the Neolithic transition of the Central Alentejo. In Scarre, C. (ed.) Monuments and Landscape in Atlantic Europe. London: Routledge.</w:t>
      </w:r>
    </w:p>
    <w:p>
      <w:pPr>
        <w:spacing w:after="60" w:before="60" w:line="280"/>
        <w:ind w:left="360" w:hanging="360"/>
      </w:pPr>
      <w:r>
        <w:rPr>
          <w:rFonts w:ascii="Garamond" w:cs="Garamond" w:eastAsia="Garamond" w:hAnsi="Garamond"/>
          <w:color w:val="1A1A1A"/>
          <w:sz w:val="19"/>
          <w:szCs w:val="19"/>
        </w:rPr>
        <w:t xml:space="preserve">Cassidy, L. M. et al. (2016). Neolithic and Bronze Age migration to Ireland and establishment of the insular Atlantic genome. PNAS 113(2):368-373. DOI: 10.1073/pnas.1518445113.</w:t>
      </w:r>
    </w:p>
    <w:p>
      <w:pPr>
        <w:spacing w:after="60" w:before="60" w:line="280"/>
        <w:ind w:left="360" w:hanging="360"/>
      </w:pPr>
      <w:r>
        <w:rPr>
          <w:rFonts w:ascii="Garamond" w:cs="Garamond" w:eastAsia="Garamond" w:hAnsi="Garamond"/>
          <w:color w:val="1A1A1A"/>
          <w:sz w:val="19"/>
          <w:szCs w:val="19"/>
        </w:rPr>
        <w:t xml:space="preserve">Cassidy, L. M. et al. (2020). A dynastic elite in monumental Neolithic society. Nature 582:384-388. DOI: 10.1038/s41586-020-2378-6.</w:t>
      </w:r>
    </w:p>
    <w:p>
      <w:pPr>
        <w:spacing w:after="60" w:before="60" w:line="280"/>
        <w:ind w:left="360" w:hanging="360"/>
      </w:pPr>
      <w:r>
        <w:rPr>
          <w:rFonts w:ascii="Garamond" w:cs="Garamond" w:eastAsia="Garamond" w:hAnsi="Garamond"/>
          <w:color w:val="1A1A1A"/>
          <w:sz w:val="19"/>
          <w:szCs w:val="19"/>
        </w:rPr>
        <w:t xml:space="preserve">Cleal, R. M. J., Walker, K. E., &amp; Montague, R. (1995). Stonehenge in its Landscape: Twentieth-Century Excavations. London: English Heritage.</w:t>
      </w:r>
    </w:p>
    <w:p>
      <w:pPr>
        <w:spacing w:after="60" w:before="60" w:line="280"/>
        <w:ind w:left="360" w:hanging="360"/>
      </w:pPr>
      <w:r>
        <w:rPr>
          <w:rFonts w:ascii="Garamond" w:cs="Garamond" w:eastAsia="Garamond" w:hAnsi="Garamond"/>
          <w:color w:val="1A1A1A"/>
          <w:sz w:val="19"/>
          <w:szCs w:val="19"/>
        </w:rPr>
        <w:t xml:space="preserve">Dicuil. Liber de Mensura Orbis Terrae (c. 825 CE). Tierney, J. J. (ed.) 1967. Dublin Institute for Advanced Studies.</w:t>
      </w:r>
    </w:p>
    <w:p>
      <w:pPr>
        <w:spacing w:after="60" w:before="60" w:line="280"/>
        <w:ind w:left="360" w:hanging="360"/>
      </w:pPr>
      <w:r>
        <w:rPr>
          <w:rFonts w:ascii="Garamond" w:cs="Garamond" w:eastAsia="Garamond" w:hAnsi="Garamond"/>
          <w:color w:val="1A1A1A"/>
          <w:sz w:val="19"/>
          <w:szCs w:val="19"/>
        </w:rPr>
        <w:t xml:space="preserve">Eogan, G. (1986). Knowth and the Passage-Tombs of Ireland. London: Thames and Hudson.</w:t>
      </w:r>
    </w:p>
    <w:p>
      <w:pPr>
        <w:spacing w:after="60" w:before="60" w:line="280"/>
        <w:ind w:left="360" w:hanging="360"/>
      </w:pPr>
      <w:r>
        <w:rPr>
          <w:rFonts w:ascii="Garamond" w:cs="Garamond" w:eastAsia="Garamond" w:hAnsi="Garamond"/>
          <w:color w:val="1A1A1A"/>
          <w:sz w:val="19"/>
          <w:szCs w:val="19"/>
        </w:rPr>
        <w:t xml:space="preserve">Farrer, J. (1862). Notice of Runic Inscriptions Discovered during Recent Excavations in the Orkneys. Edinburgh.</w:t>
      </w:r>
    </w:p>
    <w:p>
      <w:pPr>
        <w:spacing w:after="60" w:before="60" w:line="280"/>
        <w:ind w:left="360" w:hanging="360"/>
      </w:pPr>
      <w:r>
        <w:rPr>
          <w:rFonts w:ascii="Garamond" w:cs="Garamond" w:eastAsia="Garamond" w:hAnsi="Garamond"/>
          <w:color w:val="1A1A1A"/>
          <w:sz w:val="19"/>
          <w:szCs w:val="19"/>
        </w:rPr>
        <w:t xml:space="preserve">García-Sanjuán, L. et al. (2016). The Lives of Megaliths in Iberia: Examining the Antequera Megalithic Site. Oxford Journal of Archaeology 35(1):75-94.</w:t>
      </w:r>
    </w:p>
    <w:p>
      <w:pPr>
        <w:spacing w:after="60" w:before="60" w:line="280"/>
        <w:ind w:left="360" w:hanging="360"/>
      </w:pPr>
      <w:r>
        <w:rPr>
          <w:rFonts w:ascii="Garamond" w:cs="Garamond" w:eastAsia="Garamond" w:hAnsi="Garamond"/>
          <w:color w:val="1A1A1A"/>
          <w:sz w:val="19"/>
          <w:szCs w:val="19"/>
        </w:rPr>
        <w:t xml:space="preserve">Johnston, K. (2014). The Voyage of Brendan and the Crystal Pillar. Mathesonsetrust.org peer-reviewed PDF (Sources 4).</w:t>
      </w:r>
    </w:p>
    <w:p>
      <w:pPr>
        <w:spacing w:after="60" w:before="60" w:line="280"/>
        <w:ind w:left="360" w:hanging="360"/>
      </w:pPr>
      <w:r>
        <w:rPr>
          <w:rFonts w:ascii="Garamond" w:cs="Garamond" w:eastAsia="Garamond" w:hAnsi="Garamond"/>
          <w:color w:val="1A1A1A"/>
          <w:sz w:val="19"/>
          <w:szCs w:val="19"/>
        </w:rPr>
        <w:t xml:space="preserve">Margaryan, A. et al. (2020). Population genomics of the Viking world. Nature 585:390-396. DOI: 10.1038/s41586-020-2688-8.</w:t>
      </w:r>
    </w:p>
    <w:p>
      <w:pPr>
        <w:spacing w:after="60" w:before="60" w:line="280"/>
        <w:ind w:left="360" w:hanging="360"/>
      </w:pPr>
      <w:r>
        <w:rPr>
          <w:rFonts w:ascii="Garamond" w:cs="Garamond" w:eastAsia="Garamond" w:hAnsi="Garamond"/>
          <w:color w:val="1A1A1A"/>
          <w:sz w:val="19"/>
          <w:szCs w:val="19"/>
        </w:rPr>
        <w:t xml:space="preserve">Marsden, J. (2000). Somerled and the Emergence of Gaelic Scotland. East Linton: Tuckwell Press.</w:t>
      </w:r>
    </w:p>
    <w:p>
      <w:pPr>
        <w:spacing w:after="60" w:before="60" w:line="280"/>
        <w:ind w:left="360" w:hanging="360"/>
      </w:pPr>
      <w:r>
        <w:rPr>
          <w:rFonts w:ascii="Garamond" w:cs="Garamond" w:eastAsia="Garamond" w:hAnsi="Garamond"/>
          <w:color w:val="1A1A1A"/>
          <w:sz w:val="19"/>
          <w:szCs w:val="19"/>
        </w:rPr>
        <w:t xml:space="preserve">Milner, N. et al. (2018). Star Carr Volume 1: A Persistent Place in a Changing World. White Rose University Press. 223 radiocarbon dates with Bayesian model.</w:t>
      </w:r>
    </w:p>
    <w:p>
      <w:pPr>
        <w:spacing w:after="60" w:before="60" w:line="280"/>
        <w:ind w:left="360" w:hanging="360"/>
      </w:pPr>
      <w:r>
        <w:rPr>
          <w:rFonts w:ascii="Garamond" w:cs="Garamond" w:eastAsia="Garamond" w:hAnsi="Garamond"/>
          <w:color w:val="1A1A1A"/>
          <w:sz w:val="19"/>
          <w:szCs w:val="19"/>
        </w:rPr>
        <w:t xml:space="preserve">Munro, J. &amp; Munro, R. W. (1986). Acts of the Lords of the Isles 1336-1493. Edinburgh: Scottish History Society.</w:t>
      </w:r>
    </w:p>
    <w:p>
      <w:pPr>
        <w:spacing w:after="60" w:before="60" w:line="280"/>
        <w:ind w:left="360" w:hanging="360"/>
      </w:pPr>
      <w:r>
        <w:rPr>
          <w:rFonts w:ascii="Garamond" w:cs="Garamond" w:eastAsia="Garamond" w:hAnsi="Garamond"/>
          <w:color w:val="1A1A1A"/>
          <w:sz w:val="19"/>
          <w:szCs w:val="19"/>
        </w:rPr>
        <w:t xml:space="preserve">Olalde, I. et al. (2019). The genomic history of the Iberian Peninsula over the past 8000 years. Science 363:1230-1234. DOI: 10.1126/science.aav4040.</w:t>
      </w:r>
    </w:p>
    <w:p>
      <w:pPr>
        <w:spacing w:after="60" w:before="60" w:line="280"/>
        <w:ind w:left="360" w:hanging="360"/>
      </w:pPr>
      <w:r>
        <w:rPr>
          <w:rFonts w:ascii="Garamond" w:cs="Garamond" w:eastAsia="Garamond" w:hAnsi="Garamond"/>
          <w:color w:val="1A1A1A"/>
          <w:sz w:val="19"/>
          <w:szCs w:val="19"/>
        </w:rPr>
        <w:t xml:space="preserve">O'Kelly, M. J. (1982). Newgrange: Archaeology, Art and Legend. London: Thames and Hudson.</w:t>
      </w:r>
    </w:p>
    <w:p>
      <w:pPr>
        <w:spacing w:after="60" w:before="60" w:line="280"/>
        <w:ind w:left="360" w:hanging="360"/>
      </w:pPr>
      <w:r>
        <w:rPr>
          <w:rFonts w:ascii="Garamond" w:cs="Garamond" w:eastAsia="Garamond" w:hAnsi="Garamond"/>
          <w:color w:val="1A1A1A"/>
          <w:sz w:val="19"/>
          <w:szCs w:val="19"/>
        </w:rPr>
        <w:t xml:space="preserve">Olmsted, G. S. (1992). The Gaulish Calendar. Bonn: Habelt.</w:t>
      </w:r>
    </w:p>
    <w:p>
      <w:pPr>
        <w:spacing w:after="60" w:before="60" w:line="280"/>
        <w:ind w:left="360" w:hanging="360"/>
      </w:pPr>
      <w:r>
        <w:rPr>
          <w:rFonts w:ascii="Garamond" w:cs="Garamond" w:eastAsia="Garamond" w:hAnsi="Garamond"/>
          <w:color w:val="1A1A1A"/>
          <w:sz w:val="19"/>
          <w:szCs w:val="19"/>
        </w:rPr>
        <w:t xml:space="preserve">Patrick, J. (1974). Midwinter sunrise at Newgrange. Nature 249:517-519. (See also Patrick 1989, Nature 337:343 'The winter solstice phenomenon at Newgrange: accident or design?')</w:t>
      </w:r>
    </w:p>
    <w:p>
      <w:pPr>
        <w:spacing w:after="60" w:before="60" w:line="280"/>
        <w:ind w:left="360" w:hanging="360"/>
      </w:pPr>
      <w:r>
        <w:rPr>
          <w:rFonts w:ascii="Garamond" w:cs="Garamond" w:eastAsia="Garamond" w:hAnsi="Garamond"/>
          <w:color w:val="1A1A1A"/>
          <w:sz w:val="19"/>
          <w:szCs w:val="19"/>
        </w:rPr>
        <w:t xml:space="preserve">Parker Pearson, M. (2012). Stonehenge: Exploring the Greatest Stone Age Mystery. London: Simon &amp; Schuster.</w:t>
      </w:r>
    </w:p>
    <w:p>
      <w:pPr>
        <w:spacing w:after="60" w:before="60" w:line="280"/>
        <w:ind w:left="360" w:hanging="360"/>
      </w:pPr>
      <w:r>
        <w:rPr>
          <w:rFonts w:ascii="Garamond" w:cs="Garamond" w:eastAsia="Garamond" w:hAnsi="Garamond"/>
          <w:color w:val="1A1A1A"/>
          <w:sz w:val="19"/>
          <w:szCs w:val="19"/>
        </w:rPr>
        <w:t xml:space="preserve">Pliny the Elder. Naturalis Historia XVI. Loeb Classical Library edition.</w:t>
      </w:r>
    </w:p>
    <w:p>
      <w:pPr>
        <w:spacing w:after="60" w:before="60" w:line="280"/>
        <w:ind w:left="360" w:hanging="360"/>
      </w:pPr>
      <w:r>
        <w:rPr>
          <w:rFonts w:ascii="Garamond" w:cs="Garamond" w:eastAsia="Garamond" w:hAnsi="Garamond"/>
          <w:color w:val="1A1A1A"/>
          <w:sz w:val="19"/>
          <w:szCs w:val="19"/>
        </w:rPr>
        <w:t xml:space="preserve">Reijs, V. M. M. (1998). The use of the obliquity of the ecliptic in Maeshowe and other passage tombs. SEAC 1998 conference paper.</w:t>
      </w:r>
    </w:p>
    <w:p>
      <w:pPr>
        <w:spacing w:after="60" w:before="60" w:line="280"/>
        <w:ind w:left="360" w:hanging="360"/>
      </w:pPr>
      <w:r>
        <w:rPr>
          <w:rFonts w:ascii="Garamond" w:cs="Garamond" w:eastAsia="Garamond" w:hAnsi="Garamond"/>
          <w:color w:val="1A1A1A"/>
          <w:sz w:val="19"/>
          <w:szCs w:val="19"/>
        </w:rPr>
        <w:t xml:space="preserve">Ritchie, J. N. G. (1976). The Stones of Stenness, Orkney. Proceedings of the Society of Antiquaries of Scotland 107:1-60.</w:t>
      </w:r>
    </w:p>
    <w:p>
      <w:pPr>
        <w:spacing w:after="60" w:before="60" w:line="280"/>
        <w:ind w:left="360" w:hanging="360"/>
      </w:pPr>
      <w:r>
        <w:rPr>
          <w:rFonts w:ascii="Garamond" w:cs="Garamond" w:eastAsia="Garamond" w:hAnsi="Garamond"/>
          <w:color w:val="1A1A1A"/>
          <w:sz w:val="19"/>
          <w:szCs w:val="19"/>
        </w:rPr>
        <w:t xml:space="preserve">Ruggles, C. L. N. (1999). Astronomy in Prehistoric Britain and Ireland. New Haven: Yale University Press.</w:t>
      </w:r>
    </w:p>
    <w:p>
      <w:pPr>
        <w:spacing w:after="60" w:before="60" w:line="280"/>
        <w:ind w:left="360" w:hanging="360"/>
      </w:pPr>
      <w:r>
        <w:rPr>
          <w:rFonts w:ascii="Garamond" w:cs="Garamond" w:eastAsia="Garamond" w:hAnsi="Garamond"/>
          <w:color w:val="1A1A1A"/>
          <w:sz w:val="19"/>
          <w:szCs w:val="19"/>
        </w:rPr>
        <w:t xml:space="preserve">Sánchez-Quinto, F. et al. (2019). Megalithic tombs in western and northern Neolithic Europe were linked to a kindred society. PNAS 116:9469-9474. DOI: 10.1073/pnas.1818037116.</w:t>
      </w:r>
    </w:p>
    <w:p>
      <w:pPr>
        <w:spacing w:after="60" w:before="60" w:line="280"/>
        <w:ind w:left="360" w:hanging="360"/>
      </w:pPr>
      <w:r>
        <w:rPr>
          <w:rFonts w:ascii="Garamond" w:cs="Garamond" w:eastAsia="Garamond" w:hAnsi="Garamond"/>
          <w:color w:val="1A1A1A"/>
          <w:sz w:val="19"/>
          <w:szCs w:val="19"/>
        </w:rPr>
        <w:t xml:space="preserve">Schulz Paulsson, B. (2019). Radiocarbon dates and Bayesian modeling support maritime diffusion model for megaliths in Europe. PNAS 116(9):3460-3465. DOI: 10.1073/pnas.1813268116.</w:t>
      </w:r>
    </w:p>
    <w:p>
      <w:pPr>
        <w:spacing w:after="60" w:before="60" w:line="280"/>
        <w:ind w:left="360" w:hanging="360"/>
      </w:pPr>
      <w:r>
        <w:rPr>
          <w:rFonts w:ascii="Garamond" w:cs="Garamond" w:eastAsia="Garamond" w:hAnsi="Garamond"/>
          <w:color w:val="1A1A1A"/>
          <w:sz w:val="19"/>
          <w:szCs w:val="19"/>
        </w:rPr>
        <w:t xml:space="preserve">Selmer, C. (ed.) (1959). Navigatio Sancti Brendani Abbatis. Notre Dame Latin Editions.</w:t>
      </w:r>
    </w:p>
    <w:p>
      <w:pPr>
        <w:spacing w:after="60" w:before="60" w:line="280"/>
        <w:ind w:left="360" w:hanging="360"/>
      </w:pPr>
      <w:r>
        <w:rPr>
          <w:rFonts w:ascii="Garamond" w:cs="Garamond" w:eastAsia="Garamond" w:hAnsi="Garamond"/>
          <w:color w:val="1A1A1A"/>
          <w:sz w:val="19"/>
          <w:szCs w:val="19"/>
        </w:rPr>
        <w:t xml:space="preserve">Sellar, W. D. H. (1966). The Origins and Ancestry of Somerled. Scottish Historical Review 45:123-142.</w:t>
      </w:r>
    </w:p>
    <w:p>
      <w:pPr>
        <w:spacing w:after="60" w:before="60" w:line="280"/>
        <w:ind w:left="360" w:hanging="360"/>
      </w:pPr>
      <w:r>
        <w:rPr>
          <w:rFonts w:ascii="Garamond" w:cs="Garamond" w:eastAsia="Garamond" w:hAnsi="Garamond"/>
          <w:color w:val="1A1A1A"/>
          <w:sz w:val="19"/>
          <w:szCs w:val="19"/>
        </w:rPr>
        <w:t xml:space="preserve">Tacitus. Annales XIV.30. Loeb Classical Library edition.</w:t>
      </w:r>
    </w:p>
    <w:p>
      <w:pPr>
        <w:spacing w:after="60" w:before="60" w:line="280"/>
        <w:ind w:left="360" w:hanging="360"/>
      </w:pPr>
      <w:r>
        <w:rPr>
          <w:rFonts w:ascii="Garamond" w:cs="Garamond" w:eastAsia="Garamond" w:hAnsi="Garamond"/>
          <w:color w:val="1A1A1A"/>
          <w:sz w:val="19"/>
          <w:szCs w:val="19"/>
        </w:rPr>
        <w:t xml:space="preserve">Woodman, P. C. (2015). Ireland's First Settlers: Time and the Mesolithic. Oxford: Oxbow Books.</w:t>
      </w:r>
    </w:p>
    <w:p>
      <w:pPr>
        <w:pBdr>
          <w:bottom w:val="single" w:color="C8A45A" w:sz="6" w:space="1"/>
        </w:pBdr>
        <w:spacing w:after="160" w:before="100"/>
      </w:pPr>
      <w:r>
        <w:t xml:space="preserve"/>
      </w:r>
    </w:p>
    <w:p>
      <w:pPr>
        <w:spacing w:after="120" w:before="100" w:line="320"/>
        <w:jc w:val="center"/>
      </w:pPr>
      <w:r>
        <w:rPr>
          <w:rFonts w:ascii="Garamond" w:cs="Garamond" w:eastAsia="Garamond" w:hAnsi="Garamond"/>
          <w:b w:val="false"/>
          <w:bCs w:val="false"/>
          <w:i/>
          <w:iCs/>
          <w:color w:val="777777"/>
          <w:sz w:val="19"/>
          <w:szCs w:val="19"/>
        </w:rPr>
        <w:t xml:space="preserve">© 2026 Gary Anthony Leckey. Aureon Institute / R&amp;A Consulting and Brokerage Services Ltd. Belfast, Northern Ireland. Working paper for ResearchGate / Academia.edu submission. All cited data is open-source and peer-reviewed where applicable. Companion document: Validation Metrics Ledger v1.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888888"/>
        <w:sz w:val="19"/>
        <w:szCs w:val="19"/>
      </w:rPr>
      <w:t xml:space="preserve">page </w:t>
    </w:r>
    <w:r>
      <w:rPr>
        <w:rFonts w:ascii="Garamond" w:cs="Garamond" w:eastAsia="Garamond" w:hAnsi="Garamond"/>
        <w:color w:val="888888"/>
        <w:sz w:val="19"/>
        <w:szCs w:val="19"/>
      </w:rPr>
      <w:fldChar w:fldCharType="begin"/>
      <w:instrText xml:space="preserve">PAGE</w:instrText>
      <w:fldChar w:fldCharType="separate"/>
      <w:fldChar w:fldCharType="end"/>
    </w:r>
    <w:r>
      <w:rPr>
        <w:rFonts w:ascii="Garamond" w:cs="Garamond" w:eastAsia="Garamond" w:hAnsi="Garamond"/>
        <w:color w:val="888888"/>
        <w:sz w:val="19"/>
        <w:szCs w:val="19"/>
      </w:rPr>
      <w:t xml:space="preserve"> of </w:t>
    </w:r>
    <w:r>
      <w:rPr>
        <w:rFonts w:ascii="Garamond" w:cs="Garamond" w:eastAsia="Garamond" w:hAnsi="Garamond"/>
        <w:color w:val="888888"/>
        <w:sz w:val="19"/>
        <w:szCs w:val="19"/>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aramond" w:cs="Garamond" w:eastAsia="Garamond" w:hAnsi="Garamond"/>
        <w:i/>
        <w:iCs/>
        <w:color w:val="888888"/>
        <w:sz w:val="19"/>
        <w:szCs w:val="19"/>
      </w:rPr>
      <w:t xml:space="preserve">The Atlantic Substrate  ·  G.A. Leckey  ·  Aureon Institute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80"/>
      <w:outlineLvl w:val="0"/>
    </w:pPr>
    <w:rPr>
      <w:rFonts w:ascii="Garamond" w:cs="Garamond" w:eastAsia="Garamond" w:hAnsi="Garamond"/>
      <w:b/>
      <w:bCs/>
      <w:color w:val="0F172A"/>
      <w:sz w:val="36"/>
      <w:szCs w:val="36"/>
    </w:rPr>
  </w:style>
  <w:style w:type="paragraph" w:styleId="Heading2">
    <w:name w:val="Heading 2"/>
    <w:basedOn w:val="Normal"/>
    <w:next w:val="Normal"/>
    <w:qFormat/>
    <w:pPr>
      <w:spacing w:after="160" w:before="320"/>
      <w:outlineLvl w:val="1"/>
    </w:pPr>
    <w:rPr>
      <w:rFonts w:ascii="Garamond" w:cs="Garamond" w:eastAsia="Garamond" w:hAnsi="Garamond"/>
      <w:b/>
      <w:bCs/>
      <w:color w:val="8B6F2A"/>
      <w:sz w:val="28"/>
      <w:szCs w:val="28"/>
    </w:rPr>
  </w:style>
  <w:style w:type="paragraph" w:styleId="Heading3">
    <w:name w:val="Heading 3"/>
    <w:basedOn w:val="Normal"/>
    <w:next w:val="Normal"/>
    <w:qFormat/>
    <w:pPr>
      <w:spacing w:after="120" w:before="220"/>
      <w:outlineLvl w:val="2"/>
    </w:pPr>
    <w:rPr>
      <w:rFonts w:ascii="Garamond" w:cs="Garamond" w:eastAsia="Garamond" w:hAnsi="Garamond"/>
      <w:b/>
      <w:bCs/>
      <w:i/>
      <w:i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Atlantic Substrate — How the Kindred Network Ran from the Iberian Mesolithic to the Hebridean Corridor</dc:title>
  <dc:creator>Gary Anthony Leckey, Aureon Institute</dc:creator>
  <dc:description>Working paper v1.0</dc:description>
  <cp:lastModifiedBy>Un-named</cp:lastModifiedBy>
  <cp:revision>1</cp:revision>
  <dcterms:created xsi:type="dcterms:W3CDTF">2026-05-01T18:27:28.399Z</dcterms:created>
  <dcterms:modified xsi:type="dcterms:W3CDTF">2026-05-01T18:27:28.438Z</dcterms:modified>
</cp:coreProperties>
</file>

<file path=docProps/custom.xml><?xml version="1.0" encoding="utf-8"?>
<Properties xmlns="http://schemas.openxmlformats.org/officeDocument/2006/custom-properties" xmlns:vt="http://schemas.openxmlformats.org/officeDocument/2006/docPropsVTypes"/>
</file>