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Garamond" w:cs="Garamond" w:eastAsia="Garamond" w:hAnsi="Garamond"/>
          <w:b/>
          <w:bCs/>
          <w:color w:val="0F172A"/>
          <w:sz w:val="56"/>
          <w:szCs w:val="56"/>
        </w:rPr>
        <w:t xml:space="preserve">THE ATLANTIC SUBSTRATE</w:t>
      </w:r>
    </w:p>
    <w:p>
      <w:pPr>
        <w:spacing w:after="80" w:before="0"/>
        <w:jc w:val="center"/>
      </w:pPr>
      <w:r>
        <w:rPr>
          <w:rFonts w:ascii="Garamond" w:cs="Garamond" w:eastAsia="Garamond" w:hAnsi="Garamond"/>
          <w:i/>
          <w:iCs/>
          <w:color w:val="8B6F2A"/>
          <w:sz w:val="36"/>
          <w:szCs w:val="36"/>
        </w:rPr>
        <w:t xml:space="preserve">the full story</w:t>
      </w:r>
    </w:p>
    <w:p>
      <w:pPr>
        <w:spacing w:after="240" w:before="0"/>
        <w:jc w:val="center"/>
      </w:pPr>
      <w:r>
        <w:rPr>
          <w:rFonts w:ascii="Garamond" w:cs="Garamond" w:eastAsia="Garamond" w:hAnsi="Garamond"/>
          <w:i/>
          <w:iCs/>
          <w:color w:val="555555"/>
          <w:sz w:val="22"/>
          <w:szCs w:val="22"/>
        </w:rPr>
        <w:t xml:space="preserve">from origin through transmission, integration, fragmentation, dispersion, and recovery</w:t>
      </w:r>
    </w:p>
    <w:p>
      <w:pPr>
        <w:spacing w:after="600" w:before="0"/>
        <w:jc w:val="center"/>
      </w:pPr>
      <w:r>
        <w:rPr>
          <w:rFonts w:ascii="Garamond" w:cs="Garamond" w:eastAsia="Garamond" w:hAnsi="Garamond"/>
          <w:i/>
          <w:iCs/>
          <w:color w:val="555555"/>
          <w:sz w:val="22"/>
          <w:szCs w:val="22"/>
        </w:rPr>
        <w:t xml:space="preserve">every validated fact in narrative order</w:t>
      </w:r>
    </w:p>
    <w:p>
      <w:pPr>
        <w:spacing w:after="60" w:before="360"/>
        <w:jc w:val="center"/>
      </w:pPr>
      <w:r>
        <w:rPr>
          <w:rFonts w:ascii="Garamond" w:cs="Garamond" w:eastAsia="Garamond" w:hAnsi="Garamond"/>
          <w:b/>
          <w:bCs/>
          <w:color w:val="1F2937"/>
          <w:sz w:val="26"/>
          <w:szCs w:val="26"/>
        </w:rPr>
        <w:t xml:space="preserve">Gary Anthony Leckey</w:t>
      </w:r>
    </w:p>
    <w:p>
      <w:pPr>
        <w:spacing w:after="60" w:before="0"/>
        <w:jc w:val="center"/>
      </w:pPr>
      <w:r>
        <w:rPr>
          <w:rFonts w:ascii="Garamond" w:cs="Garamond" w:eastAsia="Garamond" w:hAnsi="Garamond"/>
          <w:i/>
          <w:iCs/>
          <w:color w:val="555555"/>
          <w:sz w:val="22"/>
          <w:szCs w:val="22"/>
        </w:rPr>
        <w:t xml:space="preserve">Aureon Institute  ·  R&amp;A Consulting and Brokerage Services Ltd</w:t>
      </w:r>
    </w:p>
    <w:p>
      <w:pPr>
        <w:spacing w:after="120" w:before="0"/>
        <w:jc w:val="center"/>
      </w:pPr>
      <w:r>
        <w:rPr>
          <w:rFonts w:ascii="Garamond" w:cs="Garamond" w:eastAsia="Garamond" w:hAnsi="Garamond"/>
          <w:color w:val="555555"/>
          <w:sz w:val="20"/>
          <w:szCs w:val="20"/>
        </w:rPr>
        <w:t xml:space="preserve">Belfast, BT12 4HX  ·  gaxlec@gmail.com</w:t>
      </w:r>
    </w:p>
    <w:p>
      <w:pPr>
        <w:spacing w:before="60"/>
        <w:jc w:val="center"/>
      </w:pPr>
      <w:r>
        <w:rPr>
          <w:rFonts w:ascii="Garamond" w:cs="Garamond" w:eastAsia="Garamond" w:hAnsi="Garamond"/>
          <w:i/>
          <w:iCs/>
          <w:color w:val="888888"/>
          <w:sz w:val="20"/>
          <w:szCs w:val="20"/>
        </w:rPr>
        <w:t xml:space="preserve">2 May 2026  ·  full-story edition v1.0</w:t>
      </w:r>
    </w:p>
    <w:p>
      <w:pPr>
        <w:pStyle w:val="Heading1"/>
        <w:pageBreakBefore/>
        <w:spacing w:after="220" w:before="480"/>
      </w:pPr>
      <w:r>
        <w:rPr>
          <w:rFonts w:ascii="Garamond" w:cs="Garamond" w:eastAsia="Garamond" w:hAnsi="Garamond"/>
          <w:b/>
          <w:bCs/>
          <w:color w:val="0F172A"/>
          <w:sz w:val="36"/>
          <w:szCs w:val="36"/>
        </w:rPr>
        <w:t xml:space="preserve">Prologue: the question and the six phases</w:t>
      </w:r>
    </w:p>
    <w:p>
      <w:pPr>
        <w:spacing w:after="120" w:before="100" w:line="320"/>
        <w:jc w:val="both"/>
      </w:pPr>
      <w:r>
        <w:rPr>
          <w:rFonts w:ascii="Garamond" w:cs="Garamond" w:eastAsia="Garamond" w:hAnsi="Garamond"/>
          <w:b w:val="false"/>
          <w:bCs w:val="false"/>
          <w:i w:val="false"/>
          <w:iCs w:val="false"/>
          <w:color w:val="1A1A1A"/>
          <w:sz w:val="22"/>
          <w:szCs w:val="22"/>
        </w:rPr>
        <w:t xml:space="preserve">This document is the full story of the Atlantic substrate — the kindred-organised maritime network that operated from the Iberian Mesolithic to the Hebridean corridor, and beyond, in different forms and under different names, for at least seven thousand years. The work is built on open-source data, peer-reviewed publications, primary-source ancient and medieval testimony, physical artifacts in named museums, and the cross-cultural pattern-match that emerges when the streams are read together rather than in isolation.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story has six phases. Phase one is origin — the substrate operates as an integrated kindred-network at its threshold, building the architecture, encoding the calendar, holding the knowledge in unified form. Phase two is transmission — carriers travel from the threshold to home cultures around the world, conduct documented transactions there, and return with the integrated cargo. Phase three is integration — the home cultures absorb the cargo as one package, reorganising around it. Phase four is fragmentation — religious or imperial factions in each home culture break the integrated package into specialised fragments under separate authorities. Phase five is dispersion — the fragments become invisible to one another and the substrate is described by historians as several unrelated phenomena. Phase six is recovery — modern scholarship begins to read the fragments together, ancient DNA closes inferential gaps, the cross-cultural pattern-match is laid out, and the integration becomes visible again.</w:t>
      </w:r>
    </w:p>
    <w:p>
      <w:pPr>
        <w:spacing w:after="120" w:before="100" w:line="320"/>
        <w:jc w:val="both"/>
      </w:pPr>
      <w:r>
        <w:rPr>
          <w:rFonts w:ascii="Garamond" w:cs="Garamond" w:eastAsia="Garamond" w:hAnsi="Garamond"/>
          <w:b w:val="false"/>
          <w:bCs w:val="false"/>
          <w:i/>
          <w:iCs/>
          <w:color w:val="555555"/>
          <w:sz w:val="22"/>
          <w:szCs w:val="22"/>
        </w:rPr>
        <w:t xml:space="preserve">Every claim in this document is anchored to a primary source via the accompanying Validation Metrics Ledger v1. Where evidence is contested, the document marks the contestation. Where statistical tests have failed, the document reports the failures. The work is at evidence-board stage, not claim-defense stage. Where the evidence is strong it is presented as strong. Where the evidence is suggestive but not yet decisive it is presented as suggestive. The reader is expected to evaluate the integration on its merits, not to accept it on authority.</w:t>
      </w:r>
    </w:p>
    <w:p>
      <w:pPr>
        <w:pBdr>
          <w:bottom w:val="single" w:color="C8A45A" w:sz="6" w:space="1"/>
        </w:pBdr>
        <w:spacing w:after="160" w:before="100"/>
      </w:pPr>
      <w:r>
        <w:t xml:space="preserve"/>
      </w:r>
    </w:p>
    <w:p>
      <w:pPr>
        <w:pStyle w:val="Heading1"/>
        <w:pageBreakBefore/>
        <w:spacing w:after="220" w:before="480"/>
      </w:pPr>
      <w:r>
        <w:rPr>
          <w:rFonts w:ascii="Garamond" w:cs="Garamond" w:eastAsia="Garamond" w:hAnsi="Garamond"/>
          <w:b/>
          <w:bCs/>
          <w:color w:val="0F172A"/>
          <w:sz w:val="36"/>
          <w:szCs w:val="36"/>
        </w:rPr>
        <w:t xml:space="preserve">Phase One — Origin</w:t>
      </w:r>
    </w:p>
    <w:p>
      <w:pPr>
        <w:pStyle w:val="Heading2"/>
        <w:spacing w:after="160" w:before="320"/>
      </w:pPr>
      <w:r>
        <w:rPr>
          <w:rFonts w:ascii="Garamond" w:cs="Garamond" w:eastAsia="Garamond" w:hAnsi="Garamond"/>
          <w:b/>
          <w:bCs/>
          <w:color w:val="8B6F2A"/>
          <w:sz w:val="28"/>
          <w:szCs w:val="28"/>
        </w:rPr>
        <w:t xml:space="preserve">the substrate at its threshold, building the architecture and holding the knowledge in unified form</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earliest documented operations are along the Atlantic seaboard from approximately 5500 BCE. The chain begins in southern Iberia at Almendres Cromlech and runs north through Brittany, the British Isles, and the Northern Isles to the maritime extensions reaching the Faroes and Iceland. The carriers are biologically related across the chain. The architecture is calendrically calibrated. The kindred network is patrilineal-endogamic at the elite level with broader maternal-line continuity. Every node on the chain has documented archaeology, peer-reviewed dating, and at least one piece of independent evidence supporting its place in the integrated whole.</w:t>
      </w:r>
    </w:p>
    <w:p>
      <w:pPr>
        <w:pStyle w:val="Heading3"/>
        <w:spacing w:after="120" w:before="220"/>
      </w:pPr>
      <w:r>
        <w:rPr>
          <w:rFonts w:ascii="Garamond" w:cs="Garamond" w:eastAsia="Garamond" w:hAnsi="Garamond"/>
          <w:b/>
          <w:bCs/>
          <w:i/>
          <w:iCs/>
          <w:color w:val="0F172A"/>
          <w:sz w:val="24"/>
          <w:szCs w:val="24"/>
        </w:rPr>
        <w:t xml:space="preserve">1.1  Almendres, Iberia, 5500 BCE</w:t>
      </w:r>
    </w:p>
    <w:p>
      <w:pPr>
        <w:spacing w:after="120" w:before="100" w:line="320"/>
        <w:jc w:val="both"/>
      </w:pPr>
      <w:r>
        <w:rPr>
          <w:rFonts w:ascii="Garamond" w:cs="Garamond" w:eastAsia="Garamond" w:hAnsi="Garamond"/>
          <w:b w:val="false"/>
          <w:bCs w:val="false"/>
          <w:i w:val="false"/>
          <w:iCs w:val="false"/>
          <w:color w:val="1A1A1A"/>
          <w:sz w:val="22"/>
          <w:szCs w:val="22"/>
        </w:rPr>
        <w:t xml:space="preserve">At Évora in southern Portugal stands Almendres Cromlech, the oldest known stone circle in Europe — a complex of 95 standing stones in two adjoining ovals with the eastern entrance aligned to the equinox sunrise. Construction began in the early sixth millennium BCE, before Newgrange, before Stonehenge, before the Great Pyramid. Almendres establishes the southern anchor of the chain and demonstrates that the substrate's calendar mathematics — equinox and solstice marking through architectural alignment — was already in operation a millennium before the Atlantic façade megalith spread documented by Schulz Paulsson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w:t>
            </w:r>
          </w:p>
          <w:p>
            <w:pPr>
              <w:spacing w:after="40" w:before="60"/>
              <w:jc w:val="center"/>
            </w:pPr>
            <w:r>
              <w:rPr>
                <w:rFonts w:ascii="Garamond" w:cs="Garamond" w:eastAsia="Garamond" w:hAnsi="Garamond"/>
                <w:i/>
                <w:iCs/>
                <w:color w:val="555555"/>
                <w:sz w:val="16"/>
                <w:szCs w:val="16"/>
              </w:rPr>
              <w:t xml:space="preserve">5500-5400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Calado, M. (2002). Iberian peninsula archaeoastronomy.</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Almendres Cromlech, Iberia — equinox sunrise alignment, oldest known stone circle in Europe.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archaeoastronomy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1.2  The Atlantic façade emerges as a single network, 4500-2500 BCE</w:t>
      </w:r>
    </w:p>
    <w:p>
      <w:pPr>
        <w:spacing w:after="120" w:before="100" w:line="320"/>
        <w:jc w:val="both"/>
      </w:pPr>
      <w:r>
        <w:rPr>
          <w:rFonts w:ascii="Garamond" w:cs="Garamond" w:eastAsia="Garamond" w:hAnsi="Garamond"/>
          <w:b w:val="false"/>
          <w:bCs w:val="false"/>
          <w:i w:val="false"/>
          <w:iCs w:val="false"/>
          <w:color w:val="1A1A1A"/>
          <w:sz w:val="22"/>
          <w:szCs w:val="22"/>
        </w:rPr>
        <w:t xml:space="preserve">Schulz Paulsson 2019 in PNAS analysed 2,410 radiocarbon dates from megalithic graves across Atlantic Europe with Bayesian statistical modelling. Her finding is the watershed of the substrate's documented existence as a single network.</w:t>
      </w:r>
    </w:p>
    <w:p>
      <w:pPr>
        <w:spacing w:after="200" w:before="200" w:line="320"/>
        <w:ind w:left="720" w:right="720"/>
        <w:jc w:val="both"/>
      </w:pPr>
      <w:r>
        <w:rPr>
          <w:rFonts w:ascii="Garamond" w:cs="Garamond" w:eastAsia="Garamond" w:hAnsi="Garamond"/>
          <w:i/>
          <w:iCs/>
          <w:color w:val="333333"/>
          <w:sz w:val="22"/>
          <w:szCs w:val="22"/>
        </w:rPr>
        <w:t xml:space="preserve">"The radiocarbon results suggest that megalithic graves emerged within a brief time interval of 200 y to 300 y in the second half of the fifth millennium calibrated years BC in northwest France, the Mediterranean, and the Atlantic coast of Iberia."</w:t>
      </w:r>
      <w:r>
        <w:rPr>
          <w:rFonts w:ascii="Garamond" w:cs="Garamond" w:eastAsia="Garamond" w:hAnsi="Garamond"/>
          <w:color w:val="666666"/>
          <w:sz w:val="19"/>
          <w:szCs w:val="19"/>
        </w:rPr>
        <w:t xml:space="preserve">  — Schulz Paulsson 2019, PNAS 116:3460-3465</w:t>
      </w:r>
    </w:p>
    <w:p>
      <w:pPr>
        <w:spacing w:after="120" w:before="100" w:line="320"/>
        <w:jc w:val="both"/>
      </w:pPr>
      <w:r>
        <w:rPr>
          <w:rFonts w:ascii="Garamond" w:cs="Garamond" w:eastAsia="Garamond" w:hAnsi="Garamond"/>
          <w:b w:val="false"/>
          <w:bCs w:val="false"/>
          <w:i w:val="false"/>
          <w:iCs w:val="false"/>
          <w:color w:val="1A1A1A"/>
          <w:sz w:val="22"/>
          <w:szCs w:val="22"/>
        </w:rPr>
        <w:t xml:space="preserve">Megaliths did not arise independently. They emerged from a single source in northwest France and spread along the maritime routes within 200 to 300 years. Whoever was sailing those routes in 4500 BCE was carrying an architectural-religious package, and the receiving communities adopted the package quickly and consistently. This is the substrate's first documented integrated phase, and the dating is peer-reviewed and Bayesian-modelled.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A.4</w:t>
            </w:r>
          </w:p>
          <w:p>
            <w:pPr>
              <w:spacing w:after="40" w:before="60"/>
              <w:jc w:val="center"/>
            </w:pPr>
            <w:r>
              <w:rPr>
                <w:rFonts w:ascii="Garamond" w:cs="Garamond" w:eastAsia="Garamond" w:hAnsi="Garamond"/>
                <w:i/>
                <w:iCs/>
                <w:color w:val="555555"/>
                <w:sz w:val="16"/>
                <w:szCs w:val="16"/>
              </w:rPr>
              <w:t xml:space="preserve">4500-2500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Schulz Paulsson, B. (2019). PNAS 116(9):3460-3465. DOI: 10.1073/pnas.1813268116. 2,410 14C dates Bayesian.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Atlantic megaliths emerge as a coordinated network spreading by maritime diffusion from northwest France within 200-300 years.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1.3  Carnac, Brittany, 4500 BCE — the gateway</w:t>
      </w:r>
    </w:p>
    <w:p>
      <w:pPr>
        <w:spacing w:after="120" w:before="100" w:line="320"/>
        <w:jc w:val="both"/>
      </w:pPr>
      <w:r>
        <w:rPr>
          <w:rFonts w:ascii="Garamond" w:cs="Garamond" w:eastAsia="Garamond" w:hAnsi="Garamond"/>
          <w:b w:val="false"/>
          <w:bCs w:val="false"/>
          <w:i w:val="false"/>
          <w:iCs w:val="false"/>
          <w:color w:val="1A1A1A"/>
          <w:sz w:val="22"/>
          <w:szCs w:val="22"/>
        </w:rPr>
        <w:t xml:space="preserve">The alignments at Le Ménec, Kermario, and Kerlescan together comprise more than 3,000 standing stones in approximately east-west rows running for over four kilometres. The orientation is to the equinoxes. Carnac sits at the gateway between the Iberian and the British-Irish portions of the chain — geographically, the natural point where a sea route up from Iberia meets a sea route across to Britain and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A.5</w:t>
            </w:r>
          </w:p>
          <w:p>
            <w:pPr>
              <w:spacing w:after="40" w:before="60"/>
              <w:jc w:val="center"/>
            </w:pPr>
            <w:r>
              <w:rPr>
                <w:rFonts w:ascii="Garamond" w:cs="Garamond" w:eastAsia="Garamond" w:hAnsi="Garamond"/>
                <w:i/>
                <w:iCs/>
                <w:color w:val="555555"/>
                <w:sz w:val="16"/>
                <w:szCs w:val="16"/>
              </w:rPr>
              <w:t xml:space="preserve">4500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Le Roux excavations and CNRS dating series.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Carnac Le Ménec alignments — Brittany, equinox E-W axis. Substrate gateway between Iberia and the insular Atlantic.</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archaeology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1.4  Newgrange and the Boyne Valley, 3200 BCE</w:t>
      </w:r>
    </w:p>
    <w:p>
      <w:pPr>
        <w:spacing w:after="120" w:before="100" w:line="320"/>
        <w:jc w:val="both"/>
      </w:pPr>
      <w:r>
        <w:rPr>
          <w:rFonts w:ascii="Garamond" w:cs="Garamond" w:eastAsia="Garamond" w:hAnsi="Garamond"/>
          <w:b w:val="false"/>
          <w:bCs w:val="false"/>
          <w:i w:val="false"/>
          <w:iCs w:val="false"/>
          <w:color w:val="1A1A1A"/>
          <w:sz w:val="22"/>
          <w:szCs w:val="22"/>
        </w:rPr>
        <w:t xml:space="preserve">Seven hundred years after Carnac, Ireland's Boyne Valley becomes the densest substrate node yet built. Newgrange, Knowth, and Dowth are constructed within roughly the same century. Newgrange is the most architecturally sophisticated. Its passage runs nineteen metres into the cairn. A small slot above the entrance — the roof-box — was deliberately cut to admit the rising sun on the morning of the winter solstice into the central chamber. The roof-box is calibrated. If it had been cut twenty centimetres too high or too low, or if the passage had been built a few metres shorter or longer, the alignment would have failed. It does not fail.</w:t>
      </w:r>
    </w:p>
    <w:p>
      <w:pPr>
        <w:spacing w:after="200" w:before="200" w:line="320"/>
        <w:ind w:left="720" w:right="720"/>
        <w:jc w:val="both"/>
      </w:pPr>
      <w:r>
        <w:rPr>
          <w:rFonts w:ascii="Garamond" w:cs="Garamond" w:eastAsia="Garamond" w:hAnsi="Garamond"/>
          <w:i/>
          <w:iCs/>
          <w:color w:val="333333"/>
          <w:sz w:val="22"/>
          <w:szCs w:val="22"/>
        </w:rPr>
        <w:t xml:space="preserve">"If the gap in the roof-box were merely 20 cm lower or higher, or the passage a few metres shorter or longer, then sunlight would never have entered the chamber."</w:t>
      </w:r>
      <w:r>
        <w:rPr>
          <w:rFonts w:ascii="Garamond" w:cs="Garamond" w:eastAsia="Garamond" w:hAnsi="Garamond"/>
          <w:color w:val="666666"/>
          <w:sz w:val="19"/>
          <w:szCs w:val="19"/>
        </w:rPr>
        <w:t xml:space="preserve">  — Clive Ruggles, Astronomy in Prehistoric Britain and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A.8</w:t>
            </w:r>
          </w:p>
          <w:p>
            <w:pPr>
              <w:spacing w:after="40" w:before="60"/>
              <w:jc w:val="center"/>
            </w:pPr>
            <w:r>
              <w:rPr>
                <w:rFonts w:ascii="Garamond" w:cs="Garamond" w:eastAsia="Garamond" w:hAnsi="Garamond"/>
                <w:i/>
                <w:iCs/>
                <w:color w:val="555555"/>
                <w:sz w:val="16"/>
                <w:szCs w:val="16"/>
              </w:rPr>
              <w:t xml:space="preserve">3200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Patrick, J. (1974). Nature 249:517-519. O'Kelly excavations 1962-75.</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Newgrange roof-box winter solstice sunrise alignment — peer-reviewed in Nature, deliberately designed.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in Nature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1.5  The kindred at Newgrange — Cassidy 2020</w:t>
      </w:r>
    </w:p>
    <w:p>
      <w:pPr>
        <w:spacing w:after="120" w:before="100" w:line="320"/>
        <w:jc w:val="both"/>
      </w:pPr>
      <w:r>
        <w:rPr>
          <w:rFonts w:ascii="Garamond" w:cs="Garamond" w:eastAsia="Garamond" w:hAnsi="Garamond"/>
          <w:b w:val="false"/>
          <w:bCs w:val="false"/>
          <w:i w:val="false"/>
          <w:iCs w:val="false"/>
          <w:color w:val="1A1A1A"/>
          <w:sz w:val="22"/>
          <w:szCs w:val="22"/>
        </w:rPr>
        <w:t xml:space="preserve">And here we hit the diagnostic finding for the substrate as a single biological kindred rather than a culture-spread. Cassidy and colleagues sequenced 44 Neolithic Irish genomes including the man buried in the central niche of the Newgrange chamber, designated NG10. NG10 is the offspring of a first-degree incestuous union — siblings or parent-and-child — a marker of dynastic-elite endogamy of the kind documented in pharaonic Egypt, the Inca royal house, and the Hawaiian ali'i nui.</w:t>
      </w:r>
    </w:p>
    <w:p>
      <w:pPr>
        <w:spacing w:after="120" w:before="100" w:line="320"/>
        <w:jc w:val="both"/>
      </w:pPr>
      <w:r>
        <w:rPr>
          <w:rFonts w:ascii="Garamond" w:cs="Garamond" w:eastAsia="Garamond" w:hAnsi="Garamond"/>
          <w:b w:val="false"/>
          <w:bCs w:val="false"/>
          <w:i w:val="false"/>
          <w:iCs w:val="false"/>
          <w:color w:val="1A1A1A"/>
          <w:sz w:val="22"/>
          <w:szCs w:val="22"/>
        </w:rPr>
        <w:t xml:space="preserve">Critically, NG10 has identified biological relatives at two other major passage-tomb complexes 100 to 150 kilometres away. Carrowkeel in Sligo on the western Atlantic coast, and Millin Bay in County Down on the eastern coast facing Britain. The Newgrange dynasty was operating across the entire island in a single biological lineage at 3200 BCE.</w:t>
      </w:r>
    </w:p>
    <w:p>
      <w:pPr>
        <w:spacing w:after="200" w:before="200" w:line="320"/>
        <w:ind w:left="720" w:right="720"/>
        <w:jc w:val="both"/>
      </w:pPr>
      <w:r>
        <w:rPr>
          <w:rFonts w:ascii="Garamond" w:cs="Garamond" w:eastAsia="Garamond" w:hAnsi="Garamond"/>
          <w:i/>
          <w:iCs/>
          <w:color w:val="333333"/>
          <w:sz w:val="22"/>
          <w:szCs w:val="22"/>
        </w:rPr>
        <w:t xml:space="preserve">"It seems what we have here is a powerful extended kin-group, who had access to elite burial sites in many regions of the island for at least half a millennium."</w:t>
      </w:r>
      <w:r>
        <w:rPr>
          <w:rFonts w:ascii="Garamond" w:cs="Garamond" w:eastAsia="Garamond" w:hAnsi="Garamond"/>
          <w:color w:val="666666"/>
          <w:sz w:val="19"/>
          <w:szCs w:val="19"/>
        </w:rPr>
        <w:t xml:space="preserve">  — Lara Cassidy, Trinity College Dublin, lead author of Cassidy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A.34</w:t>
            </w:r>
          </w:p>
          <w:p>
            <w:pPr>
              <w:spacing w:after="40" w:before="60"/>
              <w:jc w:val="center"/>
            </w:pPr>
            <w:r>
              <w:rPr>
                <w:rFonts w:ascii="Garamond" w:cs="Garamond" w:eastAsia="Garamond" w:hAnsi="Garamond"/>
                <w:i/>
                <w:iCs/>
                <w:color w:val="555555"/>
                <w:sz w:val="16"/>
                <w:szCs w:val="16"/>
              </w:rPr>
              <w:t xml:space="preserve">~3200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Cassidy, L. M. et al. (2020). Nature 582:384-388. DOI: 10.1038/s41586-020-2378-6.</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Newgrange burial NG10 = offspring of first-degree incestuous union (dynastic elite); identified relatives at Carrowkeel (150 km W) and Millin Bay (100 km N) — kindred network operating across whole island in single biological lineage.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in Nature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1.6  The Atlantic façade kindred — Sánchez-Quinto 2019</w:t>
      </w:r>
    </w:p>
    <w:p>
      <w:pPr>
        <w:spacing w:after="120" w:before="100" w:line="320"/>
        <w:jc w:val="both"/>
      </w:pPr>
      <w:r>
        <w:rPr>
          <w:rFonts w:ascii="Garamond" w:cs="Garamond" w:eastAsia="Garamond" w:hAnsi="Garamond"/>
          <w:b w:val="false"/>
          <w:bCs w:val="false"/>
          <w:i w:val="false"/>
          <w:iCs w:val="false"/>
          <w:color w:val="1A1A1A"/>
          <w:sz w:val="22"/>
          <w:szCs w:val="22"/>
        </w:rPr>
        <w:t xml:space="preserve">Sánchez-Quinto and colleagues sequenced 24 individuals from five Neolithic megalithic burial sites in Sweden, Britain, Ireland, and Iberia. Two findings emerged. First, individuals buried inside the same megalithic tomb were close biological kin. Second, the male individuals showed marked clustering on a small number of Y-haplogroup lineages, suggesting male-biased patrilineal succession and dynastic-elite endogamy at the megalithic-burial elite level. The Atlantic façade was a kindred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A.36-SQ</w:t>
            </w:r>
          </w:p>
          <w:p>
            <w:pPr>
              <w:spacing w:after="40" w:before="60"/>
              <w:jc w:val="center"/>
            </w:pPr>
            <w:r>
              <w:rPr>
                <w:rFonts w:ascii="Garamond" w:cs="Garamond" w:eastAsia="Garamond" w:hAnsi="Garamond"/>
                <w:i/>
                <w:iCs/>
                <w:color w:val="555555"/>
                <w:sz w:val="16"/>
                <w:szCs w:val="16"/>
              </w:rPr>
              <w:t xml:space="preserve">Neolithic ~3500-2500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Sánchez-Quinto, F. et al. (2019). PNAS 116:9469-9474. DOI: 10.1073/pnas.1818037116.</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24 individuals from 5 megalithic sites — close-kin burial in same tombs + male-biased Y-haplogroup clustering = kindred society at Atlantic megaliths.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1.7  The northern bookend — Stenness 3100 BCE, Maeshowe 2800 BCE</w:t>
      </w:r>
    </w:p>
    <w:p>
      <w:pPr>
        <w:spacing w:after="120" w:before="100" w:line="320"/>
        <w:jc w:val="both"/>
      </w:pPr>
      <w:r>
        <w:rPr>
          <w:rFonts w:ascii="Garamond" w:cs="Garamond" w:eastAsia="Garamond" w:hAnsi="Garamond"/>
          <w:b w:val="false"/>
          <w:bCs w:val="false"/>
          <w:i w:val="false"/>
          <w:iCs w:val="false"/>
          <w:color w:val="1A1A1A"/>
          <w:sz w:val="22"/>
          <w:szCs w:val="22"/>
        </w:rPr>
        <w:t xml:space="preserve">Three hundred kilometres further north, on the Orkney Mainland at 59°N, the substrate builds its northern Atlantic anchor. The Stones of Stenness are the oldest stone circle in Britain, raised around 3100 BCE. Their primary alignment is to the Beltane sunrise on May 1 at azimuth 41.27°. Three hundred years after Stenness, the chambered cairn of Maeshowe is built one kilometre to the east. Maeshowe's passage runs at azimuth 221°, oriented to the winter solstice sunset. For approximately three weeks around the solstice each year, the setting sun enters the passage and illuminates the back wall. Maeshowe is, with Newgrange, one of only two solstice-aligned chambered monuments in the British Isles, and it is the substrate's northern bookend matching Newgrange's southern bookend.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A.11</w:t>
            </w:r>
          </w:p>
          <w:p>
            <w:pPr>
              <w:spacing w:after="40" w:before="60"/>
              <w:jc w:val="center"/>
            </w:pPr>
            <w:r>
              <w:rPr>
                <w:rFonts w:ascii="Garamond" w:cs="Garamond" w:eastAsia="Garamond" w:hAnsi="Garamond"/>
                <w:i/>
                <w:iCs/>
                <w:color w:val="555555"/>
                <w:sz w:val="16"/>
                <w:szCs w:val="16"/>
              </w:rPr>
              <w:t xml:space="preserve">2800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Reijs 1998; Childe excavations; Ness of Brodgar Project.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Maeshowe winter solstice sunset alignment 221° — pair-monument to Newgrange marking the year's bookend stations.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archaeoastronomy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1.8  Stonehenge sarsen circle, 2500 BCE — the summer station</w:t>
      </w:r>
    </w:p>
    <w:p>
      <w:pPr>
        <w:spacing w:after="120" w:before="100" w:line="320"/>
        <w:jc w:val="both"/>
      </w:pPr>
      <w:r>
        <w:rPr>
          <w:rFonts w:ascii="Garamond" w:cs="Garamond" w:eastAsia="Garamond" w:hAnsi="Garamond"/>
          <w:b w:val="false"/>
          <w:bCs w:val="false"/>
          <w:i w:val="false"/>
          <w:iCs w:val="false"/>
          <w:color w:val="1A1A1A"/>
          <w:sz w:val="22"/>
          <w:szCs w:val="22"/>
        </w:rPr>
        <w:t xml:space="preserve">Five hundred years after Maeshowe, the sarsen circle of Stonehenge is raised at 51°N on the Wessex chalk downs. Its primary alignment is to the summer solstice sunrise along the avenue running northeast from the circle past the Heel Stone at azimuth 50.7°. Where Newgrange and Maeshowe mark the winter solstice and the year's death, Stonehenge marks the summer solstice and the year's fullness. The substrate's eight-fold wheel of the year is now built into stone across the entire Atlantic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A.12</w:t>
            </w:r>
          </w:p>
          <w:p>
            <w:pPr>
              <w:spacing w:after="40" w:before="60"/>
              <w:jc w:val="center"/>
            </w:pPr>
            <w:r>
              <w:rPr>
                <w:rFonts w:ascii="Garamond" w:cs="Garamond" w:eastAsia="Garamond" w:hAnsi="Garamond"/>
                <w:i/>
                <w:iCs/>
                <w:color w:val="555555"/>
                <w:sz w:val="16"/>
                <w:szCs w:val="16"/>
              </w:rPr>
              <w:t xml:space="preserve">2500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Cleal, Walker, &amp; Montague (1995). Stonehenge in its Landscape. English Heritage.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Stonehenge sarsen circle, summer solstice sunrise azimuth 50.7° — Atlantic substrate's summer-station bookend.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1.9  What Phase One establishes</w:t>
      </w:r>
    </w:p>
    <w:p>
      <w:pPr>
        <w:spacing w:after="120" w:before="100" w:line="320"/>
        <w:jc w:val="both"/>
      </w:pPr>
      <w:r>
        <w:rPr>
          <w:rFonts w:ascii="Garamond" w:cs="Garamond" w:eastAsia="Garamond" w:hAnsi="Garamond"/>
          <w:b w:val="false"/>
          <w:bCs w:val="false"/>
          <w:i w:val="false"/>
          <w:iCs w:val="false"/>
          <w:color w:val="1F2937"/>
          <w:sz w:val="22"/>
          <w:szCs w:val="22"/>
        </w:rPr>
        <w:t xml:space="preserve">By 2500 BCE the Atlantic substrate has built a chain of solstice-and-equinox-aligned monuments from southern Iberia at 38°N to the Northern Isles at 59°N. The kindred network is documented genetically across the chain. The architecture is calendrically calibrated to the working of solar and lunar bodies in the sky at the substrate epoch. The home base of operations is the threshold itself — the threshold being not just the architectural sites but the maritime kindred network that linked them, the calendar mathematics that timed them, and the carrier-class that operated them.</w:t>
      </w:r>
    </w:p>
    <w:p>
      <w:pPr>
        <w:spacing w:after="120" w:before="100" w:line="320"/>
        <w:jc w:val="both"/>
      </w:pPr>
      <w:r>
        <w:rPr>
          <w:rFonts w:ascii="Garamond" w:cs="Garamond" w:eastAsia="Garamond" w:hAnsi="Garamond"/>
          <w:b w:val="false"/>
          <w:bCs w:val="false"/>
          <w:i w:val="false"/>
          <w:iCs w:val="false"/>
          <w:color w:val="1F2937"/>
          <w:sz w:val="22"/>
          <w:szCs w:val="22"/>
        </w:rPr>
        <w:t xml:space="preserve">Phase One is the substrate as an integrated whole, before any cargo has yet been carried out to home cultures. The next phase begins when carriers start to travel and the integrated package starts to arrive in cultures that did not build it.</w:t>
      </w:r>
    </w:p>
    <w:p>
      <w:pPr>
        <w:pStyle w:val="Heading1"/>
        <w:pageBreakBefore/>
        <w:spacing w:after="220" w:before="480"/>
      </w:pPr>
      <w:r>
        <w:rPr>
          <w:rFonts w:ascii="Garamond" w:cs="Garamond" w:eastAsia="Garamond" w:hAnsi="Garamond"/>
          <w:b/>
          <w:bCs/>
          <w:color w:val="0F172A"/>
          <w:sz w:val="36"/>
          <w:szCs w:val="36"/>
        </w:rPr>
        <w:t xml:space="preserve">Phase Two — Transmission</w:t>
      </w:r>
    </w:p>
    <w:p>
      <w:pPr>
        <w:pStyle w:val="Heading2"/>
        <w:spacing w:after="160" w:before="320"/>
      </w:pPr>
      <w:r>
        <w:rPr>
          <w:rFonts w:ascii="Garamond" w:cs="Garamond" w:eastAsia="Garamond" w:hAnsi="Garamond"/>
          <w:b/>
          <w:bCs/>
          <w:color w:val="8B6F2A"/>
          <w:sz w:val="28"/>
          <w:szCs w:val="28"/>
        </w:rPr>
        <w:t xml:space="preserve">carriers travel from the threshold to home cultures, conduct documented transactions, and return with the integrated cargo</w:t>
      </w:r>
    </w:p>
    <w:p>
      <w:pPr>
        <w:spacing w:after="120" w:before="100" w:line="320"/>
        <w:jc w:val="both"/>
      </w:pPr>
      <w:r>
        <w:rPr>
          <w:rFonts w:ascii="Garamond" w:cs="Garamond" w:eastAsia="Garamond" w:hAnsi="Garamond"/>
          <w:b w:val="false"/>
          <w:bCs w:val="false"/>
          <w:i w:val="false"/>
          <w:iCs w:val="false"/>
          <w:color w:val="1A1A1A"/>
          <w:sz w:val="22"/>
          <w:szCs w:val="22"/>
        </w:rPr>
        <w:t xml:space="preserve">Phase Two is what the testaments describe. Carriers move from the substrate's threshold to home cultures around the world, conduct specific transactions there, and return with cargo that the home culture absorbs as a single integrated package. Seven testament-streams document this phase from independent cultural traditions with no plausible pre-modern transmission contact. The convergence on the same five-stage transaction structure across all seven streams is the evidence that the same operating-system was being carried in each case.</w:t>
      </w:r>
    </w:p>
    <w:p>
      <w:pPr>
        <w:spacing w:after="120" w:before="100" w:line="320"/>
        <w:jc w:val="both"/>
      </w:pPr>
      <w:r>
        <w:rPr>
          <w:rFonts w:ascii="Garamond" w:cs="Garamond" w:eastAsia="Garamond" w:hAnsi="Garamond"/>
          <w:b w:val="false"/>
          <w:bCs w:val="false"/>
          <w:i w:val="false"/>
          <w:iCs w:val="false"/>
          <w:color w:val="1A1A1A"/>
          <w:sz w:val="22"/>
          <w:szCs w:val="22"/>
        </w:rPr>
        <w:t xml:space="preserve">The five stages of every threshold-transaction. First, why go: the home culture establishes a motive — a vision, a mission, a directive from an elder or a god. Second, cargo out: offerings, ritual objects, or emissaries are carried to the threshold. Third, arrival: crossing fog or dark waters, meeting a guardian, being greeted by name, conducting the specific transaction. Fourth, cargo back: fruit, precious stones, knowledge, star-charts, healing teachings, memory carried home. Fifth, meaning: the cargo integrated into the home culture as sacred reference and authority. Each stream encodes all five stages with cultural-specific details that would not be transmissible across the streams without independent origin in the substrate's actual operations.</w:t>
      </w:r>
    </w:p>
    <w:p>
      <w:pPr>
        <w:pStyle w:val="Heading3"/>
        <w:spacing w:after="120" w:before="220"/>
      </w:pPr>
      <w:r>
        <w:rPr>
          <w:rFonts w:ascii="Garamond" w:cs="Garamond" w:eastAsia="Garamond" w:hAnsi="Garamond"/>
          <w:b/>
          <w:bCs/>
          <w:i/>
          <w:iCs/>
          <w:color w:val="0F172A"/>
          <w:sz w:val="24"/>
          <w:szCs w:val="24"/>
        </w:rPr>
        <w:t xml:space="preserve">2.1  The Greek-Hyperborean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Herodotus in Histories 4.32-36 documents the most detailed transaction record. The Hyperboreans owe biennial offerings to Apollo — who visits them every nineteen years on the Metonic cycle. Originally two named priestess-emissaries (Hyperokhe and Laodike) carried the offerings in person to Delos, accompanied by five male guardians called the Perpherees. They died on Delos and their graves are preserved in the Apollonian precinct, with high honours given to the burial site by the Delians for centuries afterward. Subsequent offerings were wrapped in wheat-straw bundles and passed tribe-to-tribe along a documented route from the Hyperborean north through Scythia, then south through the Adriatic, then east to Dodona, then through the Greek tribes of Euboea, Carystus, Tenos to Delos.</w:t>
      </w:r>
    </w:p>
    <w:p>
      <w:pPr>
        <w:spacing w:after="200" w:before="200" w:line="320"/>
        <w:ind w:left="720" w:right="720"/>
        <w:jc w:val="both"/>
      </w:pPr>
      <w:r>
        <w:rPr>
          <w:rFonts w:ascii="Garamond" w:cs="Garamond" w:eastAsia="Garamond" w:hAnsi="Garamond"/>
          <w:i/>
          <w:iCs/>
          <w:color w:val="333333"/>
          <w:sz w:val="22"/>
          <w:szCs w:val="22"/>
        </w:rPr>
        <w:t xml:space="preserve">"They say that offerings wrapped in straw are brought from the Hyperboreans to Skythia; when these have passed Skythia, each nation in turn receives them from its neighbours until they are carried to the Adriatic sea, which is the most westerly limit of their journey; from there, they are brought on to the south, the people of Dodona being the first Greeks to receive them."</w:t>
      </w:r>
      <w:r>
        <w:rPr>
          <w:rFonts w:ascii="Garamond" w:cs="Garamond" w:eastAsia="Garamond" w:hAnsi="Garamond"/>
          <w:color w:val="666666"/>
          <w:sz w:val="19"/>
          <w:szCs w:val="19"/>
        </w:rPr>
        <w:t xml:space="preserve">  — Herodotus, Histories 4.33 (5th century BCE)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A.16-PYTH-T</w:t>
            </w:r>
          </w:p>
          <w:p>
            <w:pPr>
              <w:spacing w:after="40" w:before="60"/>
              <w:jc w:val="center"/>
            </w:pPr>
            <w:r>
              <w:rPr>
                <w:rFonts w:ascii="Garamond" w:cs="Garamond" w:eastAsia="Garamond" w:hAnsi="Garamond"/>
                <w:i/>
                <w:iCs/>
                <w:color w:val="555555"/>
                <w:sz w:val="16"/>
                <w:szCs w:val="16"/>
              </w:rPr>
              <w:t xml:space="preserve">5th century BCE composition; oral tradition older</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Herodotus, Histories 4.32-36; Pausanias 1.31.2; Hecataeus of Abdera via Diodorus II.47.</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Hyperborean biennial offerings reach Delos via documented multi-stage tribe-to-tribe route. Apollo's 19-year Metonic visit. Maiden-emissaries Hyperokhe and Laodike died and were buried at Delos with high honours.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cargo back was Apollonian doctrine, healing arts (transmitted by the Hyperborean priest Abaris with his magical arrow), oracular prophecy, and the Olen poet's original Apollonian hymns which became the foundation of Delian ritual practice. Most importantly, the 19-year Metonic cycle was locked into Greek ritual practice as a live observance. Pythagoras was said in antiquity to have learned directly from Abaris — the meeting is recorded by Iamblichus in his Life of Pythagoras and by Porphyry. The Pythagorean school in southern Italy is therefore the documented destination of the Hyperborean substrate-cargo in its Greek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A.16-ABARIS</w:t>
            </w:r>
          </w:p>
          <w:p>
            <w:pPr>
              <w:spacing w:after="40" w:before="60"/>
              <w:jc w:val="center"/>
            </w:pPr>
            <w:r>
              <w:rPr>
                <w:rFonts w:ascii="Garamond" w:cs="Garamond" w:eastAsia="Garamond" w:hAnsi="Garamond"/>
                <w:i/>
                <w:iCs/>
                <w:color w:val="555555"/>
                <w:sz w:val="16"/>
                <w:szCs w:val="16"/>
              </w:rPr>
              <w:t xml:space="preserve">Iamblichus 4th c. CE compiling earlier sources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De Vita Pythagorica 28.140-141; Porphyry, Vita Pythagorae 29.</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Hyperborean priest Abaris meets Pythagoras and transmits substrate doctrine. Pythagorean school is documented destination of Hyperborean cargo in Greek phase.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 compiling earlier</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2.2  The Atlantic-Brendan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Navigatio Sancti Brendani Abbatis, composed in Hiberno-Latin around 800 CE and surviving in the Selmer 1959 critical edition, documents the substrate's Insular Atlantic transaction in the most detail of any single text. Brendan goes because Barinthus tells him about the Land of Promise his godson Mernoc has reached. The cargo out is fourteen monks, a curragh, forty days of provisions, and the liturgical gear required to celebrate the four anchor festivals over the seven-year cycle: Christmas at Ailbe's island, Maundy Thursday on the Island of Sheep with the procurator, Easter on the back of Iasconius the whale, and Pentecost on the Paradise of Birds.</w:t>
      </w:r>
    </w:p>
    <w:p>
      <w:pPr>
        <w:spacing w:after="120" w:before="100" w:line="320"/>
        <w:jc w:val="both"/>
      </w:pPr>
      <w:r>
        <w:rPr>
          <w:rFonts w:ascii="Garamond" w:cs="Garamond" w:eastAsia="Garamond" w:hAnsi="Garamond"/>
          <w:b w:val="false"/>
          <w:bCs w:val="false"/>
          <w:i w:val="false"/>
          <w:iCs w:val="false"/>
          <w:color w:val="1A1A1A"/>
          <w:sz w:val="22"/>
          <w:szCs w:val="22"/>
        </w:rPr>
        <w:t xml:space="preserve">On arrival at the Promised Land they are greeted by name by a young man who tells them this is the land they sought, and instructs them to take fruit and precious stones from it back to Ireland.</w:t>
      </w:r>
    </w:p>
    <w:p>
      <w:pPr>
        <w:spacing w:after="200" w:before="200" w:line="320"/>
        <w:ind w:left="720" w:right="720"/>
        <w:jc w:val="both"/>
      </w:pPr>
      <w:r>
        <w:rPr>
          <w:rFonts w:ascii="Garamond" w:cs="Garamond" w:eastAsia="Garamond" w:hAnsi="Garamond"/>
          <w:i/>
          <w:iCs/>
          <w:color w:val="333333"/>
          <w:sz w:val="22"/>
          <w:szCs w:val="22"/>
        </w:rPr>
        <w:t xml:space="preserve">"Return, then, to the land of your birth, bringing with you some of the fruit of this land and as many of the precious stones as your boat can carry. The final day of your pilgrimage draws near so that you may sleep with your fathers. After the passage of many times this land will become known to your successors, when persecution of the Christians shall have come."</w:t>
      </w:r>
      <w:r>
        <w:rPr>
          <w:rFonts w:ascii="Garamond" w:cs="Garamond" w:eastAsia="Garamond" w:hAnsi="Garamond"/>
          <w:color w:val="666666"/>
          <w:sz w:val="19"/>
          <w:szCs w:val="19"/>
        </w:rPr>
        <w:t xml:space="preserve">  — Navigatio Sancti Brendani §28.80 (Selmer 1959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A.22</w:t>
            </w:r>
          </w:p>
          <w:p>
            <w:pPr>
              <w:spacing w:after="40" w:before="60"/>
              <w:jc w:val="center"/>
            </w:pPr>
            <w:r>
              <w:rPr>
                <w:rFonts w:ascii="Garamond" w:cs="Garamond" w:eastAsia="Garamond" w:hAnsi="Garamond"/>
                <w:i/>
                <w:iCs/>
                <w:color w:val="555555"/>
                <w:sz w:val="16"/>
                <w:szCs w:val="16"/>
              </w:rPr>
              <w:t xml:space="preserve">Composed ~800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Navigatio Sancti Brendani Abbatis (Selmer 1959 critical Latin); O'Meara 1976 trans.; Johnston 2014 peer-review.</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Brendan transcript identifies real Atlantic features (Faroes, Iceland, Rockall, iceberg); four-station seven-year cycle binding solar+lunar+stellar clocks; explicit deposit-and-proof transaction with cargo-back instruction.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B — primary documentary + peer-reviewed Johnston 2014</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named features in the Navigatio map to identified real Atlantic geography. Johnston 2014 identifies the Island of Sheep and the Paradise of Birds with the Faroes, the Island of Smiths with its smoking volcanic mountain with Iceland, the Crystal Pillar with a North Atlantic iceberg observed under specific atmospheric optical conditions, and the Island of Paul the Hermit with Rockall, the actual North Atlantic islet. Independent contemporary witness Dicuil in his Liber de Mensura Orbis Terrae of approximately 825 CE confirms that Irish monks had reached Iceland by 795 CE and observed the midnight sun. The Brendan transcript is not a fabrication. It is the substrate's late-eighth-century maritime-songline tradition entering the manuscript record under Christian narrative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A.22-DICUIL</w:t>
            </w:r>
          </w:p>
          <w:p>
            <w:pPr>
              <w:spacing w:after="40" w:before="60"/>
              <w:jc w:val="center"/>
            </w:pPr>
            <w:r>
              <w:rPr>
                <w:rFonts w:ascii="Garamond" w:cs="Garamond" w:eastAsia="Garamond" w:hAnsi="Garamond"/>
                <w:i/>
                <w:iCs/>
                <w:color w:val="555555"/>
                <w:sz w:val="16"/>
                <w:szCs w:val="16"/>
              </w:rPr>
              <w:t xml:space="preserve">~825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Dicuil, Liber de Mensura Orbis Terrae VII.11 (c. 825 CE); Tierney 1967 ed.</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Independent confirmation that Irish monks reached Iceland by 795 CE and observed midnight sun. Confirms operational maritime substrate-route during composition period of the Brendan transcript.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2.3  The Polynesian Hui Te Rangiora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Polynesian tradition records a southern voyage by the seventh-century chief Hui Te Rangiora — also known as Ūi Te Rangiora — on the vessel Te Ivi o Atea, sailing south into Te Tai-uka-a-pia, the frozen sea. The narrative was first transcribed by Stephenson Percy Smith in 1899 from oral tradition preserved by Ngāti Rārua and Te Āti Awa. Wehi and colleagues 2021 in the Journal of the Royal Society of New Zealand reviewed the narrative against Antarctic and sub-Antarctic geography.</w:t>
      </w:r>
    </w:p>
    <w:p>
      <w:pPr>
        <w:spacing w:after="200" w:before="200" w:line="320"/>
        <w:ind w:left="720" w:right="720"/>
        <w:jc w:val="both"/>
      </w:pPr>
      <w:r>
        <w:rPr>
          <w:rFonts w:ascii="Garamond" w:cs="Garamond" w:eastAsia="Garamond" w:hAnsi="Garamond"/>
          <w:i/>
          <w:iCs/>
          <w:color w:val="333333"/>
          <w:sz w:val="22"/>
          <w:szCs w:val="22"/>
        </w:rPr>
        <w:t xml:space="preserve">"The rocks that grow out of the sea, in the space beyond Rapa; the monstrous seas; the female that dwells in those mountainous waves, whose tresses wave about in the water and on the surface of the sea; and the frozen sea of pia, with the deceitful animal of the sea who dives to great depths — a foggy, misty, and dark place not seen by the sun. Other things are like rocks, whose summits pierce the skies, they are completely bare and without vegetation on them."</w:t>
      </w:r>
      <w:r>
        <w:rPr>
          <w:rFonts w:ascii="Garamond" w:cs="Garamond" w:eastAsia="Garamond" w:hAnsi="Garamond"/>
          <w:color w:val="666666"/>
          <w:sz w:val="19"/>
          <w:szCs w:val="19"/>
        </w:rPr>
        <w:t xml:space="preserve">  — Hui Te Rangiora narrative, recorded by Smith 1899 from Rarotongan oral tradition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A.16-HTR</w:t>
            </w:r>
          </w:p>
          <w:p>
            <w:pPr>
              <w:spacing w:after="40" w:before="60"/>
              <w:jc w:val="center"/>
            </w:pPr>
            <w:r>
              <w:rPr>
                <w:rFonts w:ascii="Garamond" w:cs="Garamond" w:eastAsia="Garamond" w:hAnsi="Garamond"/>
                <w:i/>
                <w:iCs/>
                <w:color w:val="555555"/>
                <w:sz w:val="16"/>
                <w:szCs w:val="16"/>
              </w:rPr>
              <w:t xml:space="preserve">Voyage ~7th century CE; transcribed 1899; peer-reviewed 2021</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Smith 1899 J. Polynesian Society; Wehi et al. 2021 J. Royal Society of NZ; PMC11485871.</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Polynesian testament of southern voyage to frozen sea with named female guardian, named diving animal, rock-pillar features. Pou whakairo of Tamarereti at Bluff carved as protector of southern oceans.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Tier D — peer-reviewed Wehi 2021 + Polynesian oral tradition</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cargo back from this transaction is memory only — the description itself. Hui Te Rangiora's descendant Te Aru Tanga Nuku later sailed the same route specifically to behold what his ancestor saw. The third voyager Tamarereti also saw the towering ice cliffs. The voyage account is preserved orally and through the pou whakairo carved post at Bluff for 1,300 years, used by subsequent voyagers as a navigation guide. The threshold is a documented southern destination known to the home culture through generations.</w:t>
      </w:r>
    </w:p>
    <w:p>
      <w:pPr>
        <w:pStyle w:val="Heading3"/>
        <w:spacing w:after="120" w:before="220"/>
      </w:pPr>
      <w:r>
        <w:rPr>
          <w:rFonts w:ascii="Garamond" w:cs="Garamond" w:eastAsia="Garamond" w:hAnsi="Garamond"/>
          <w:b/>
          <w:bCs/>
          <w:i/>
          <w:iCs/>
          <w:color w:val="0F172A"/>
          <w:sz w:val="24"/>
          <w:szCs w:val="24"/>
        </w:rPr>
        <w:t xml:space="preserve">2.4  The Egyptian Duat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Egyptian funerary tradition documents the substrate's calendar-and-vault function in two integrated forms operating across more than three thousand years of Pharaonic religion. The Duat or Tuat is the hidden chamber of the underworld, navigated by the sun-god Ra during the twelve hours of night. The Pyramid Texts of the Old Kingdom (2686-2181 BCE), the Coffin Texts of the First Intermediate Period, and the Book of Amduat — "The Book of What Is in the Underworld" — of the New Kingdom document the twelve regions in detail. Each hour has its named gods, demons, gates, and guardians. The Duat hieroglyph itself is a star inside a circle. Mummification took 70 days — the same period Sirius is invisible before its heliacal rising. The vault period and the celestial period match.</w:t>
      </w:r>
    </w:p>
    <w:p>
      <w:pPr>
        <w:spacing w:after="120" w:before="100" w:line="320"/>
        <w:jc w:val="both"/>
      </w:pPr>
      <w:r>
        <w:rPr>
          <w:rFonts w:ascii="Garamond" w:cs="Garamond" w:eastAsia="Garamond" w:hAnsi="Garamond"/>
          <w:b w:val="false"/>
          <w:bCs w:val="false"/>
          <w:i w:val="false"/>
          <w:iCs w:val="false"/>
          <w:color w:val="1A1A1A"/>
          <w:sz w:val="22"/>
          <w:szCs w:val="22"/>
        </w:rPr>
        <w:t xml:space="preserve">The Sothic cycle binds the calendar to the celestial event. The heliacal rising of Sirius — Sopdet, the star-crowned woman — coincides with the start of the Egyptian civil year and heralds the annual flooding of the Nile. The temples of Isis at Philae and Hathor at Dendera are oriented to the Sirius rising. The Sothic cycle of 1,461 years is the period after which the heliacal rising returns to the same calendar day. Three calendars run concurrently — stellar, solar, and lunar — for over two thousand years of documented Egyptian astronomical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A.16-EGYPT</w:t>
            </w:r>
          </w:p>
          <w:p>
            <w:pPr>
              <w:spacing w:after="40" w:before="60"/>
              <w:jc w:val="center"/>
            </w:pPr>
            <w:r>
              <w:rPr>
                <w:rFonts w:ascii="Garamond" w:cs="Garamond" w:eastAsia="Garamond" w:hAnsi="Garamond"/>
                <w:i/>
                <w:iCs/>
                <w:color w:val="555555"/>
                <w:sz w:val="16"/>
                <w:szCs w:val="16"/>
              </w:rPr>
              <w:t xml:space="preserve">2686 BCE - 2nd century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(Old Kingdom 2686-2181 BCE); Coffin Texts; Book of Amduat; Sothic cycle records via Censorinus.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Duat as hidden 12-hour vault with named guardians; Sothic 1461-year cycle binds heliacal Sirius rising to Nile flood and civil calendar. Sopdet (Sirius) personified as star-crowned woman with vessel.</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2.5  The Vedic-Meru tirtha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Mahabharata's Vana Parva tirtha-yatra section, the Skanda Purana, and the broader Puranic literature document the Vedic-Buddhist substrate transaction in its pilgrimage form. The pilgrim — tirtha-yatri — travels to "cross over" karma at the world-axis, with specified routes leading to Mount Meru and Mount Kailash. The cargo out is offering, devotion, and ascetic practice; the pilgrim gives up household life to travel and carries water for ritual.</w:t>
      </w:r>
    </w:p>
    <w:p>
      <w:pPr>
        <w:spacing w:after="120" w:before="100" w:line="320"/>
        <w:jc w:val="both"/>
      </w:pPr>
      <w:r>
        <w:rPr>
          <w:rFonts w:ascii="Garamond" w:cs="Garamond" w:eastAsia="Garamond" w:hAnsi="Garamond"/>
          <w:b w:val="false"/>
          <w:bCs w:val="false"/>
          <w:i w:val="false"/>
          <w:iCs w:val="false"/>
          <w:color w:val="1A1A1A"/>
          <w:sz w:val="22"/>
          <w:szCs w:val="22"/>
        </w:rPr>
        <w:t xml:space="preserve">On arrival the pilgrim circumambulates the axis (the kora around Kailash), bathes at the sacred rivers, and receives darshan — sight of the deity. The cargo back is punya (spiritual merit), relic water from the source-river such as the Ganges or Manasarovar, the darshan-vision, an initiated tirtha-name, and released karma. The karma-system the whole society runs on is reset by the pilgrimage. Maintains caste continuity and rebirth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A.16-VEDIC-T</w:t>
            </w:r>
          </w:p>
          <w:p>
            <w:pPr>
              <w:spacing w:after="40" w:before="60"/>
              <w:jc w:val="center"/>
            </w:pPr>
            <w:r>
              <w:rPr>
                <w:rFonts w:ascii="Garamond" w:cs="Garamond" w:eastAsia="Garamond" w:hAnsi="Garamond"/>
                <w:i/>
                <w:iCs/>
                <w:color w:val="555555"/>
                <w:sz w:val="16"/>
                <w:szCs w:val="16"/>
              </w:rPr>
              <w:t xml:space="preserve">~1500 BCE - 5th century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Mahabharata Vana Parva; Skanda Purana; Vishnu Purana.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Tirtha-yatra pilgrimage to Meru/Kailash with circumambulation, sacred-river bathing, darshan. Cargo back: punya, relic water, tirtha-name, karma reset.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religious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2.6  The Hopi-Sipapu transaction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tradition of the American Southwest preserves the substrate's emergence-and-vault function as the Sipapu — the opening between worlds — and the Four Worlds cycle. The Hopi Emergence Myth, recorded most fully by Voth 1905, Stephen via Mindeleff, and Lockett 1933, describes humanity's ascent through four successive worlds, each ending in cataclysm. Spider Grandmother and Hard-Being Woman guide the ascent. Masau'u — Skeleton Man — owns both the underworld and the surface and stands at the threshold between them.</w:t>
      </w:r>
    </w:p>
    <w:p>
      <w:pPr>
        <w:spacing w:after="120" w:before="100" w:line="320"/>
        <w:jc w:val="both"/>
      </w:pPr>
      <w:r>
        <w:rPr>
          <w:rFonts w:ascii="Garamond" w:cs="Garamond" w:eastAsia="Garamond" w:hAnsi="Garamond"/>
          <w:b w:val="false"/>
          <w:bCs w:val="false"/>
          <w:i w:val="false"/>
          <w:iCs w:val="false"/>
          <w:color w:val="1A1A1A"/>
          <w:sz w:val="22"/>
          <w:szCs w:val="22"/>
        </w:rPr>
        <w:t xml:space="preserve">Each kiva ceremony re-enacts the Emergence. Initiates descend into the kiva carrying prayer-feathers (paho), corn-meal, tobacco, and songs of the four worlds. They see the sipapu in the floor, perform ritual renewal, and receive the kachina teachings. They emerge above-ground as adult clan members. The Wuwuchim ritual every November maintains the four-world cycle, the clan continuity, and the agricultural ritual calendar.</w:t>
      </w:r>
    </w:p>
    <w:p>
      <w:pPr>
        <w:spacing w:after="200" w:before="200" w:line="320"/>
        <w:ind w:left="720" w:right="720"/>
        <w:jc w:val="both"/>
      </w:pPr>
      <w:r>
        <w:rPr>
          <w:rFonts w:ascii="Garamond" w:cs="Garamond" w:eastAsia="Garamond" w:hAnsi="Garamond"/>
          <w:i/>
          <w:iCs/>
          <w:color w:val="333333"/>
          <w:sz w:val="22"/>
          <w:szCs w:val="22"/>
        </w:rPr>
        <w:t xml:space="preserve">"Out of the sipapu we all came … and back to the underworld, through the sipapu, we shall go when we die."</w:t>
      </w:r>
      <w:r>
        <w:rPr>
          <w:rFonts w:ascii="Garamond" w:cs="Garamond" w:eastAsia="Garamond" w:hAnsi="Garamond"/>
          <w:color w:val="666666"/>
          <w:sz w:val="19"/>
          <w:szCs w:val="19"/>
        </w:rPr>
        <w:t xml:space="preserve">  — Hattie Greene Lockett, The Unwritten Literature of the Hopi (1933)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A.16-HOPI</w:t>
            </w:r>
          </w:p>
          <w:p>
            <w:pPr>
              <w:spacing w:after="40" w:before="60"/>
              <w:jc w:val="center"/>
            </w:pPr>
            <w:r>
              <w:rPr>
                <w:rFonts w:ascii="Garamond" w:cs="Garamond" w:eastAsia="Garamond" w:hAnsi="Garamond"/>
                <w:i/>
                <w:iCs/>
                <w:color w:val="555555"/>
                <w:sz w:val="16"/>
                <w:szCs w:val="16"/>
              </w:rPr>
              <w:t xml:space="preserve">Continuous oral; first transcription 1905</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Stephen via Mindeleff; Lockett 1933; continuous Hopi oral tradition.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Sipapu as opening between worlds; Four Worlds cycle of cataclysm-and-emergence; Spider Grandmother / Hard-Being Woman as feminine creator-guardians; Masau'u as threshold-keeper. Each kiva ritually instantiates the sipapu.</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indigenous source + ethnographic record</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2.7  The Mael Duin and Bran transactions — the encyclopedia of thresholds</w:t>
      </w:r>
    </w:p>
    <w:p>
      <w:pPr>
        <w:spacing w:after="120" w:before="100" w:line="320"/>
        <w:jc w:val="both"/>
      </w:pPr>
      <w:r>
        <w:rPr>
          <w:rFonts w:ascii="Garamond" w:cs="Garamond" w:eastAsia="Garamond" w:hAnsi="Garamond"/>
          <w:b w:val="false"/>
          <w:bCs w:val="false"/>
          <w:i w:val="false"/>
          <w:iCs w:val="false"/>
          <w:color w:val="1A1A1A"/>
          <w:sz w:val="22"/>
          <w:szCs w:val="22"/>
        </w:rPr>
        <w:t xml:space="preserve">The Voyage of Mael Duin and the Voyage of Bran extend the Atlantic-Irish transaction record. Mael Duin's thirty-three-island voyage is a survey of named thresholds, each island encoding a specific lesson — the Isle of Smiths, the Laughing Isle, the Land of Women, the Island of Truth, the Silver Pillar in chapter 11. Bran is summoned by the fairy-woman with the silver branch and travels with her to the Otherworld. The cargo back from the immrama is the encyclopedia of thresholds — the rules for crossing, the names of the guardians, the navigation atlas of the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A.22-IMMRAMA</w:t>
            </w:r>
          </w:p>
          <w:p>
            <w:pPr>
              <w:spacing w:after="40" w:before="60"/>
              <w:jc w:val="center"/>
            </w:pPr>
            <w:r>
              <w:rPr>
                <w:rFonts w:ascii="Garamond" w:cs="Garamond" w:eastAsia="Garamond" w:hAnsi="Garamond"/>
                <w:i/>
                <w:iCs/>
                <w:color w:val="555555"/>
                <w:sz w:val="16"/>
                <w:szCs w:val="16"/>
              </w:rPr>
              <w:t xml:space="preserve">Composed 8th-10th centuries CE from older oral material</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Voyage of Mael Dúin (Lebor na hUidre); Voyage of Bran (Yellow Book of Lecan); Voyage of Ui Corra.</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Mael Duin 33-island encyclopedia of thresholds with specific named lessons; Bran's silver-branch summons and Otherworld voyage. Cargo back is the substrate's navigation-and-crossing atlas.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documentary + manuscript tradition</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2.8  What Phase Two establishes — the four transaction-types</w:t>
      </w:r>
    </w:p>
    <w:p>
      <w:pPr>
        <w:spacing w:after="120" w:before="100" w:line="320"/>
        <w:jc w:val="both"/>
      </w:pPr>
      <w:r>
        <w:rPr>
          <w:rFonts w:ascii="Garamond" w:cs="Garamond" w:eastAsia="Garamond" w:hAnsi="Garamond"/>
          <w:b w:val="false"/>
          <w:bCs w:val="false"/>
          <w:i w:val="false"/>
          <w:iCs w:val="false"/>
          <w:color w:val="1A1A1A"/>
          <w:sz w:val="22"/>
          <w:szCs w:val="22"/>
        </w:rPr>
        <w:t xml:space="preserve">Across all seven streams the same four transaction-types appear. Type one is ritual tribute for calendar maintenance — Hyperborean offerings to Delos, Egyptian Duat passage, Hopi Wuwuchim, Vedic tirtha-yatra. Type two is survey-and-return for knowledge harvest — Hui Te Rangiora, Brendan, Mael Duin, Pytheas of Massalia. Type three is deposit-and-proof for physical exchange — Brendan's fruit and precious stones, Hyperborean offerings buried at Delos, Vedic relic water, Hopi prayer-feathers. Type four is teaching-transmission for priest-class formation — Abaris travelling south teaching healing arts, Bran's Otherworld woman with the silver branch, Hopi kachina teachers, Egyptian funerary priests transmitting the Book of Amduat to each new pharaoh.</w:t>
      </w:r>
    </w:p>
    <w:p>
      <w:pPr>
        <w:spacing w:after="120" w:before="100" w:line="320"/>
        <w:jc w:val="both"/>
      </w:pPr>
      <w:r>
        <w:rPr>
          <w:rFonts w:ascii="Garamond" w:cs="Garamond" w:eastAsia="Garamond" w:hAnsi="Garamond"/>
          <w:b w:val="false"/>
          <w:bCs w:val="false"/>
          <w:i w:val="false"/>
          <w:iCs w:val="false"/>
          <w:color w:val="1F2937"/>
          <w:sz w:val="22"/>
          <w:szCs w:val="22"/>
        </w:rPr>
        <w:t xml:space="preserve">Read together, the four transaction-types answer the question of what the travelers were actually doing at the threshold. Not primarily worship of gods. The threshold-figures in the original-source language are mostly named mortal kindreds or long-lived guardian-classes, not deities. Primarily ritual maintenance plus knowledge transfer plus two-way physical exchange plus priest-class formation. The threshold is the working node where the home culture's calendar binds, the offerings flow, the knowledge transfers, the deposits accumulate, and the priests are formed.</w:t>
      </w:r>
    </w:p>
    <w:p>
      <w:pPr>
        <w:pStyle w:val="Heading1"/>
        <w:pageBreakBefore/>
        <w:spacing w:after="220" w:before="480"/>
      </w:pPr>
      <w:r>
        <w:rPr>
          <w:rFonts w:ascii="Garamond" w:cs="Garamond" w:eastAsia="Garamond" w:hAnsi="Garamond"/>
          <w:b/>
          <w:bCs/>
          <w:color w:val="0F172A"/>
          <w:sz w:val="36"/>
          <w:szCs w:val="36"/>
        </w:rPr>
        <w:t xml:space="preserve">Phase Three — Integration</w:t>
      </w:r>
    </w:p>
    <w:p>
      <w:pPr>
        <w:pStyle w:val="Heading2"/>
        <w:spacing w:after="160" w:before="320"/>
      </w:pPr>
      <w:r>
        <w:rPr>
          <w:rFonts w:ascii="Garamond" w:cs="Garamond" w:eastAsia="Garamond" w:hAnsi="Garamond"/>
          <w:b/>
          <w:bCs/>
          <w:color w:val="8B6F2A"/>
          <w:sz w:val="28"/>
          <w:szCs w:val="28"/>
        </w:rPr>
        <w:t xml:space="preserve">home cultures absorb the substrate cargo as one unified package and reorganise around it</w:t>
      </w:r>
    </w:p>
    <w:p>
      <w:pPr>
        <w:spacing w:after="120" w:before="100" w:line="320"/>
        <w:jc w:val="both"/>
      </w:pPr>
      <w:r>
        <w:rPr>
          <w:rFonts w:ascii="Garamond" w:cs="Garamond" w:eastAsia="Garamond" w:hAnsi="Garamond"/>
          <w:b w:val="false"/>
          <w:bCs w:val="false"/>
          <w:i w:val="false"/>
          <w:iCs w:val="false"/>
          <w:color w:val="1A1A1A"/>
          <w:sz w:val="22"/>
          <w:szCs w:val="22"/>
        </w:rPr>
        <w:t xml:space="preserve">Phase Three is what happens when the cargo arrives. In every documented case the receiving home culture initially absorbs the substrate package as a single integrated system: calendar mathematics plus cosmology plus healing techniques plus agricultural ritual plus priesthood-organisation plus ethical teaching plus navigational-astronomical framework, all held together as one body of knowledge under one carrier-class. This is the moment of maximum coherence in the home culture's relationship to the substrate. It typically lasts for several centuries before the fragmentation of Phase Four begins.</w:t>
      </w:r>
    </w:p>
    <w:p>
      <w:pPr>
        <w:pStyle w:val="Heading3"/>
        <w:spacing w:after="120" w:before="220"/>
      </w:pPr>
      <w:r>
        <w:rPr>
          <w:rFonts w:ascii="Garamond" w:cs="Garamond" w:eastAsia="Garamond" w:hAnsi="Garamond"/>
          <w:b/>
          <w:bCs/>
          <w:i/>
          <w:iCs/>
          <w:color w:val="0F172A"/>
          <w:sz w:val="24"/>
          <w:szCs w:val="24"/>
        </w:rPr>
        <w:t xml:space="preserve">3.1  Pythagoreanism in southern Italy, ~530-450 BCE</w:t>
      </w:r>
    </w:p>
    <w:p>
      <w:pPr>
        <w:spacing w:after="120" w:before="100" w:line="320"/>
        <w:jc w:val="both"/>
      </w:pPr>
      <w:r>
        <w:rPr>
          <w:rFonts w:ascii="Garamond" w:cs="Garamond" w:eastAsia="Garamond" w:hAnsi="Garamond"/>
          <w:b w:val="false"/>
          <w:bCs w:val="false"/>
          <w:i w:val="false"/>
          <w:iCs w:val="false"/>
          <w:color w:val="1A1A1A"/>
          <w:sz w:val="22"/>
          <w:szCs w:val="22"/>
        </w:rPr>
        <w:t xml:space="preserve">Pythagoras founded his school at Croton in southern Italy around 530 BCE after travelling extensively in the eastern Mediterranean and reportedly meeting Abaris the Hyperborean. Iamblichus's De Vita Pythagorica records the meeting in detail. The Pythagorean school at Croton was simultaneously a mathematical academy, a music-theory institute, an ethical training programme, a political organisation, an astronomical observatory, a doctrine of reincarnation, and a medical-healing tradition. Members took oaths, lived communally, shared property, and followed dietary restrictions. The school admitted both men and women. The integrated package operated for approximately eighty years before the political crisis.</w:t>
      </w:r>
    </w:p>
    <w:p>
      <w:pPr>
        <w:spacing w:after="120" w:before="100" w:line="320"/>
        <w:jc w:val="both"/>
      </w:pPr>
      <w:r>
        <w:rPr>
          <w:rFonts w:ascii="Garamond" w:cs="Garamond" w:eastAsia="Garamond" w:hAnsi="Garamond"/>
          <w:b w:val="false"/>
          <w:bCs w:val="false"/>
          <w:i w:val="false"/>
          <w:iCs w:val="false"/>
          <w:color w:val="1A1A1A"/>
          <w:sz w:val="22"/>
          <w:szCs w:val="22"/>
        </w:rPr>
        <w:t xml:space="preserve">During this period Pythagorean political influence extended across the Greek cities of southern Italy — Croton, Sybaris, Metapontum, Tarentum, Locri. Pythagorean magistrates governed multiple cities. The mathematical doctrines of harmonic ratios, the tetractys, the spherical earth, and the harmony of the spheres were developed alongside the ethical teachings of self-restraint, vegetarianism, and metempsychosis. The substrate's integration was preserved in a single carrier institution.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A.16-PYTH-INT</w:t>
            </w:r>
          </w:p>
          <w:p>
            <w:pPr>
              <w:spacing w:after="40" w:before="60"/>
              <w:jc w:val="center"/>
            </w:pPr>
            <w:r>
              <w:rPr>
                <w:rFonts w:ascii="Garamond" w:cs="Garamond" w:eastAsia="Garamond" w:hAnsi="Garamond"/>
                <w:i/>
                <w:iCs/>
                <w:color w:val="555555"/>
                <w:sz w:val="16"/>
                <w:szCs w:val="16"/>
              </w:rPr>
              <w:t xml:space="preserve">~530-450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De Vita Pythagorica; Porphyry, Vita Pythagorae; Diogenes Laertius VIII.</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Pythagorean school at Croton operates substrate cargo as integrated package — mathematics + music + ethics + politics + astronomy + reincarnation doctrine + healing — under single institutional authority.</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 compiling earlier</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3.2  Egyptian funerary religion in the Old and Middle Kingdoms</w:t>
      </w:r>
    </w:p>
    <w:p>
      <w:pPr>
        <w:spacing w:after="120" w:before="100" w:line="320"/>
        <w:jc w:val="both"/>
      </w:pPr>
      <w:r>
        <w:rPr>
          <w:rFonts w:ascii="Garamond" w:cs="Garamond" w:eastAsia="Garamond" w:hAnsi="Garamond"/>
          <w:b w:val="false"/>
          <w:bCs w:val="false"/>
          <w:i w:val="false"/>
          <w:iCs w:val="false"/>
          <w:color w:val="1A1A1A"/>
          <w:sz w:val="22"/>
          <w:szCs w:val="22"/>
        </w:rPr>
        <w:t xml:space="preserve">In Egypt the substrate's calendar-and-vault function was integrated into the Pharaonic state religion from the Third Dynasty onward, approximately 2670 BCE. The Pyramid Texts inscribed in the burial chambers of Unas and his successors (Fifth and Sixth Dynasties, c. 2350-2150 BCE) document the integrated state of the substrate cargo at this period. The Pyramid Texts are simultaneously a calendar (the twelve hours of the night), a cosmology (the Duat as the hidden chamber where the sun travels), an agricultural-ritual framework (the Sothic cycle binding heliacal Sirius to Nile flood), a political legitimation (the Pharaoh as the soul who completes the night journey), an ethical teaching (the negative confession before the forty-two judges), and a craft tradition (mummification, tomb construction, hieroglyphic writing, temple alignment).</w:t>
      </w:r>
    </w:p>
    <w:p>
      <w:pPr>
        <w:spacing w:after="120" w:before="100" w:line="320"/>
        <w:jc w:val="both"/>
      </w:pPr>
      <w:r>
        <w:rPr>
          <w:rFonts w:ascii="Garamond" w:cs="Garamond" w:eastAsia="Garamond" w:hAnsi="Garamond"/>
          <w:b w:val="false"/>
          <w:bCs w:val="false"/>
          <w:i w:val="false"/>
          <w:iCs w:val="false"/>
          <w:color w:val="1A1A1A"/>
          <w:sz w:val="22"/>
          <w:szCs w:val="22"/>
        </w:rPr>
        <w:t xml:space="preserve">The integration held for approximately fifteen hundred years. Through the Old Kingdom, the First Intermediate Period, the Middle Kingdom, the Second Intermediate Period, and into the New Kingdom the Egyptian priesthood maintained the integrated package, with successive textual elaborations adding to rather than fragmenting the original whole. The Coffin Texts and the Book of Amduat extended the Pyramid Texts. The temples of Karnak, Dendera, and Philae extended the calendrical alignments. The Sothic cycle was tracked across the entire span.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A.16-EGYPT-INT</w:t>
            </w:r>
          </w:p>
          <w:p>
            <w:pPr>
              <w:spacing w:after="40" w:before="60"/>
              <w:jc w:val="center"/>
            </w:pPr>
            <w:r>
              <w:rPr>
                <w:rFonts w:ascii="Garamond" w:cs="Garamond" w:eastAsia="Garamond" w:hAnsi="Garamond"/>
                <w:i/>
                <w:iCs/>
                <w:color w:val="555555"/>
                <w:sz w:val="16"/>
                <w:szCs w:val="16"/>
              </w:rPr>
              <w:t xml:space="preserve">~2670 BCE - Late Period</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Pyramid Texts (Fifth-Sixth Dynasties, c. 2350-2150 BCE); Coffin Texts; Book of Amduat.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Egyptian funerary religion integrates substrate cargo as unified package under Pharaonic priesthood for ~1500 years. Pyramid Texts simultaneously document calendar, cosmology, ritual framework, political legitimation, ethics, and craft.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artifacts</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3.3  Vedic Brahmanism, ~1500-500 BCE</w:t>
      </w:r>
    </w:p>
    <w:p>
      <w:pPr>
        <w:spacing w:after="120" w:before="100" w:line="320"/>
        <w:jc w:val="both"/>
      </w:pPr>
      <w:r>
        <w:rPr>
          <w:rFonts w:ascii="Garamond" w:cs="Garamond" w:eastAsia="Garamond" w:hAnsi="Garamond"/>
          <w:b w:val="false"/>
          <w:bCs w:val="false"/>
          <w:i w:val="false"/>
          <w:iCs w:val="false"/>
          <w:color w:val="1A1A1A"/>
          <w:sz w:val="22"/>
          <w:szCs w:val="22"/>
        </w:rPr>
        <w:t xml:space="preserve">In the Indus-Saraswati basin and later across the broader Indian subcontinent, the Vedic-Brahmanical tradition integrated the substrate's tirtha-yatra cargo into a unified system covering ritual calendar, cosmology, healing (Ayurveda developing within the Atharva Veda tradition), priesthood organisation (the Brahmin varna), agricultural ritual, ethical teaching (dharma), navigational-astronomical framework (the Jyotisha Vedanga), and political legitimation (the rajasuya consecration). The four Vedas — Rig, Sama, Yajur, Atharva — together encoded the integrated package. The integration held through the composition of the Brahmanas, the Aranyakas, and the Upanishads.</w:t>
      </w:r>
    </w:p>
    <w:p>
      <w:pPr>
        <w:spacing w:after="120" w:before="100" w:line="320"/>
        <w:jc w:val="both"/>
      </w:pPr>
      <w:r>
        <w:rPr>
          <w:rFonts w:ascii="Garamond" w:cs="Garamond" w:eastAsia="Garamond" w:hAnsi="Garamond"/>
          <w:b w:val="false"/>
          <w:bCs w:val="false"/>
          <w:i w:val="false"/>
          <w:iCs w:val="false"/>
          <w:color w:val="1A1A1A"/>
          <w:sz w:val="22"/>
          <w:szCs w:val="22"/>
        </w:rPr>
        <w:t xml:space="preserve">Mount Meru as the cosmic axis-pillar with its fourteen vertical worlds, four continents at the cardinal points, encircling oceans, and named guardians (Indra and the devas at the summit, the eight Dig gajas at the directional points, the Four Maharajas at the base) provides the spatial framework. The Sothic-equivalent cycle in Vedic astronomy is the Yuga system, with the Mahayuga of 4,320,000 years bracketing the agricultural and political calendars within a much longer cosmic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A.16-VEDIC-INT</w:t>
            </w:r>
          </w:p>
          <w:p>
            <w:pPr>
              <w:spacing w:after="40" w:before="60"/>
              <w:jc w:val="center"/>
            </w:pPr>
            <w:r>
              <w:rPr>
                <w:rFonts w:ascii="Garamond" w:cs="Garamond" w:eastAsia="Garamond" w:hAnsi="Garamond"/>
                <w:i/>
                <w:iCs/>
                <w:color w:val="555555"/>
                <w:sz w:val="16"/>
                <w:szCs w:val="16"/>
              </w:rPr>
              <w:t xml:space="preserve">~1500 BCE - 500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Rig Veda; Yajur Veda; Atharva Veda; Brahmanas; Aranyakas; Upanishads.</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Vedic Brahmanism integrates substrate cargo as unified package across ritual, cosmology, healing, priesthood, agriculture, ethics, astronomy, and political legitimation. Held under Brahmin varna for ~1000 years.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religious source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3.4  The Atlantic Iron Age druid school, ~500 BCE - 100 CE</w:t>
      </w:r>
    </w:p>
    <w:p>
      <w:pPr>
        <w:spacing w:after="120" w:before="100" w:line="320"/>
        <w:jc w:val="both"/>
      </w:pPr>
      <w:r>
        <w:rPr>
          <w:rFonts w:ascii="Garamond" w:cs="Garamond" w:eastAsia="Garamond" w:hAnsi="Garamond"/>
          <w:b w:val="false"/>
          <w:bCs w:val="false"/>
          <w:i w:val="false"/>
          <w:iCs w:val="false"/>
          <w:color w:val="1A1A1A"/>
          <w:sz w:val="22"/>
          <w:szCs w:val="22"/>
        </w:rPr>
        <w:t xml:space="preserve">In Gaul, Britain, and Ireland the substrate's late-Iron-Age phase was the druid school described directly by Caesar in De Bello Gallico VI.14 — a formal twenty-year training programme conducted orally in remote groves, teaching astronomy, geographic distribution of the globe, natural philosophy, and matters of religion. The integrated package was preserved across cultural transitions from the megalithic period through the Bronze Age into the Iron Age. The Coligny calendar, manufactured in the late second century CE and deliberately broken and buried around 200 CE, is the surviving physical artifact: a Gaulish lunisolar five-year cycle of 62 months with intercalary months, Metonic-derived, implementing the same mathematical framework Hecataeus described for the Hyperborean Apollo cult.</w:t>
      </w:r>
    </w:p>
    <w:p>
      <w:pPr>
        <w:spacing w:after="200" w:before="200" w:line="320"/>
        <w:ind w:left="720" w:right="720"/>
        <w:jc w:val="both"/>
      </w:pPr>
      <w:r>
        <w:rPr>
          <w:rFonts w:ascii="Garamond" w:cs="Garamond" w:eastAsia="Garamond" w:hAnsi="Garamond"/>
          <w:i/>
          <w:iCs/>
          <w:color w:val="333333"/>
          <w:sz w:val="22"/>
          <w:szCs w:val="22"/>
        </w:rPr>
        <w:t xml:space="preserve">"They hold various lectures and discussions on astronomy, on the extent and geographical distribution of the globe, on the different branches of natural philosophy, and on many problems connected with religion."</w:t>
      </w:r>
      <w:r>
        <w:rPr>
          <w:rFonts w:ascii="Garamond" w:cs="Garamond" w:eastAsia="Garamond" w:hAnsi="Garamond"/>
          <w:color w:val="666666"/>
          <w:sz w:val="19"/>
          <w:szCs w:val="19"/>
        </w:rPr>
        <w:t xml:space="preserve">  — Caesar, De Bello Gallico VI.14 (54 BCE)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w:t>
            </w:r>
          </w:p>
          <w:p>
            <w:pPr>
              <w:spacing w:after="40" w:before="60"/>
              <w:jc w:val="center"/>
            </w:pPr>
            <w:r>
              <w:rPr>
                <w:rFonts w:ascii="Garamond" w:cs="Garamond" w:eastAsia="Garamond" w:hAnsi="Garamond"/>
                <w:i/>
                <w:iCs/>
                <w:color w:val="555555"/>
                <w:sz w:val="16"/>
                <w:szCs w:val="16"/>
              </w:rPr>
              <w:t xml:space="preserve">54 BCE - 200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Caesar, De Bello Gallico VI.14, VI.18; Pliny, Naturalis Historia XVI; Coligny Calendar artifact.</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Druid school operates substrate cargo as integrated package — twenty-year oral training in astronomy, geography, natural philosophy, and religion. Coligny calendar is surviving physical artifact of the lunisolar Metonic framework.</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E — primary ancient source + physical artifact</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3.5  Insular Celtic Christianity, ~432-664 CE</w:t>
      </w:r>
    </w:p>
    <w:p>
      <w:pPr>
        <w:spacing w:after="120" w:before="100" w:line="320"/>
        <w:jc w:val="both"/>
      </w:pPr>
      <w:r>
        <w:rPr>
          <w:rFonts w:ascii="Garamond" w:cs="Garamond" w:eastAsia="Garamond" w:hAnsi="Garamond"/>
          <w:b w:val="false"/>
          <w:bCs w:val="false"/>
          <w:i w:val="false"/>
          <w:iCs w:val="false"/>
          <w:color w:val="1A1A1A"/>
          <w:sz w:val="22"/>
          <w:szCs w:val="22"/>
        </w:rPr>
        <w:t xml:space="preserve">After the Roman absorption of Britain and the Christianisation of Ireland from Patrick's mission in 432 CE, the substrate's Atlantic carrier-class transitions into the Insular monastic network. Iona is founded by Columba in 563 CE as the ecclesiastical centre of the Gaelic-speaking western seaboard. The monastic scribes who learned Latin and began to commit the oral substrate tradition to manuscript were themselves drawn from the substrate's carrier kindreds. Adomnán of Iona, who wrote the Vita Columbae around 700 CE, was a member of the Cenél Conaill kindred and abbot of Iona.</w:t>
      </w:r>
    </w:p>
    <w:p>
      <w:pPr>
        <w:spacing w:after="120" w:before="100" w:line="320"/>
        <w:jc w:val="both"/>
      </w:pPr>
      <w:r>
        <w:rPr>
          <w:rFonts w:ascii="Garamond" w:cs="Garamond" w:eastAsia="Garamond" w:hAnsi="Garamond"/>
          <w:b w:val="false"/>
          <w:bCs w:val="false"/>
          <w:i w:val="false"/>
          <w:iCs w:val="false"/>
          <w:color w:val="1A1A1A"/>
          <w:sz w:val="22"/>
          <w:szCs w:val="22"/>
        </w:rPr>
        <w:t xml:space="preserve">The Insular Christian integration held the substrate cargo as one package for approximately two and a half centuries. The Easter computation, the eight-fold festival cycle (now Christian liturgical), the maritime mission tradition that produced the Brendan voyage and the Iona-Lindisfarne-Faroes-Iceland network of papar settlements, the ascetic-scholarly synthesis that produced the Book of Kells and the Book of Durrow, the legal tradition (the Senchus Mór and the Brehon laws), and the bardic-political tradition that legitimated the Gaelic kindred-cenél structure of Dalriada — all operated as one integrated cultural system under the Insular Christian carrier-class.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A.20</w:t>
            </w:r>
          </w:p>
          <w:p>
            <w:pPr>
              <w:spacing w:after="40" w:before="60"/>
              <w:jc w:val="center"/>
            </w:pPr>
            <w:r>
              <w:rPr>
                <w:rFonts w:ascii="Garamond" w:cs="Garamond" w:eastAsia="Garamond" w:hAnsi="Garamond"/>
                <w:i/>
                <w:iCs/>
                <w:color w:val="555555"/>
                <w:sz w:val="16"/>
                <w:szCs w:val="16"/>
              </w:rPr>
              <w:t xml:space="preserve">432 - 664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Adomnán, Vita Columbae c.700 CE; Bannerman 1974 Studies in History of Dalriada; Senchus fer nAlban.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Insular Celtic Christianity operates substrate cargo as integrated package — Easter computation + eight-fold festival cycle + maritime mission + ascetic scholarship + Brehon law + bardic-political legitimation — under Iona-centred carrier-class for ~250 years.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documentary + chronicle</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3.6  The Hopi Way, continuous to present</w:t>
      </w:r>
    </w:p>
    <w:p>
      <w:pPr>
        <w:spacing w:after="120" w:before="100" w:line="320"/>
        <w:jc w:val="both"/>
      </w:pPr>
      <w:r>
        <w:rPr>
          <w:rFonts w:ascii="Garamond" w:cs="Garamond" w:eastAsia="Garamond" w:hAnsi="Garamond"/>
          <w:b w:val="false"/>
          <w:bCs w:val="false"/>
          <w:i w:val="false"/>
          <w:iCs w:val="false"/>
          <w:color w:val="1A1A1A"/>
          <w:sz w:val="22"/>
          <w:szCs w:val="22"/>
        </w:rPr>
        <w:t xml:space="preserve">The Hopi Pueblo of the American Southwest preserve their substrate integration in continuous oral and ceremonial form to the present day, more than four hundred years after first European contact. The Hopi Way (Hopivotskwani) is a complete spiritual-ethical-agricultural-political-cosmological system, with each kiva ceremony re-enacting the Emergence, the Wuwuchim ritual every November maintaining the Four-World cycle, the kachina teachings transmitting the agricultural and ethical framework, and the clan-organisation structure carrying the political authority. The Hopi maintained continuity through the Pueblo Revolt of 1680 against the Spanish missions, through the American territorial annexation, and through the modern reservation period.</w:t>
      </w:r>
    </w:p>
    <w:p>
      <w:pPr>
        <w:spacing w:after="120" w:before="100" w:line="320"/>
        <w:jc w:val="both"/>
      </w:pPr>
      <w:r>
        <w:rPr>
          <w:rFonts w:ascii="Garamond" w:cs="Garamond" w:eastAsia="Garamond" w:hAnsi="Garamond"/>
          <w:b w:val="false"/>
          <w:bCs w:val="false"/>
          <w:i w:val="false"/>
          <w:iCs w:val="false"/>
          <w:color w:val="1F2937"/>
          <w:sz w:val="22"/>
          <w:szCs w:val="22"/>
        </w:rPr>
        <w:t xml:space="preserve">The Hopi case is the clearest surviving example of an integrated substrate carrier-class still operating as one package. The other streams have all experienced the fragmentation events of Phase Four. The Hopi Way is the comparator that shows what integration looked like before fragmentation, and what the other streams have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A.16-HOPI-INT</w:t>
            </w:r>
          </w:p>
          <w:p>
            <w:pPr>
              <w:spacing w:after="40" w:before="60"/>
              <w:jc w:val="center"/>
            </w:pPr>
            <w:r>
              <w:rPr>
                <w:rFonts w:ascii="Garamond" w:cs="Garamond" w:eastAsia="Garamond" w:hAnsi="Garamond"/>
                <w:i/>
                <w:iCs/>
                <w:color w:val="555555"/>
                <w:sz w:val="16"/>
                <w:szCs w:val="16"/>
              </w:rPr>
              <w:t xml:space="preserve">Pre-contact origin; continuous to present</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Voth 1905; Lockett 1933; Courlander 1971; Waters 1963; Hopi Cultural Preservation Office.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Hopi Way operates substrate cargo as continuously integrated package to the present day. Maintained through Pueblo Revolt 1680, American annexation, modern reservation period. Comparator showing what integration looked like before fragmentation.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indigenous + ethnographic</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3.7  What Phase Three establishes</w:t>
      </w:r>
    </w:p>
    <w:p>
      <w:pPr>
        <w:spacing w:after="120" w:before="100" w:line="320"/>
        <w:jc w:val="both"/>
      </w:pPr>
      <w:r>
        <w:rPr>
          <w:rFonts w:ascii="Garamond" w:cs="Garamond" w:eastAsia="Garamond" w:hAnsi="Garamond"/>
          <w:b w:val="false"/>
          <w:bCs w:val="false"/>
          <w:i w:val="false"/>
          <w:iCs w:val="false"/>
          <w:color w:val="1F2937"/>
          <w:sz w:val="22"/>
          <w:szCs w:val="22"/>
        </w:rPr>
        <w:t xml:space="preserve">In every documented case the home culture initially absorbs the substrate cargo as a single integrated package. The integration typically lasts several centuries — Pythagorean Croton for approximately eighty years, Egyptian funerary religion for fifteen hundred years, Vedic Brahmanism for a thousand years, druidic Iron-Age Atlantic for at least five hundred years, Insular Celtic Christianity for two and a half centuries, the Hopi Way for at least eight hundred years and counting. During the integration period the home culture's calendar, agriculture, priesthood, political legitimation, ethics, and craft all operate under one carrier-class holding the substrate package as a unified body of knowledge.</w:t>
      </w:r>
    </w:p>
    <w:p>
      <w:pPr>
        <w:spacing w:after="120" w:before="100" w:line="320"/>
        <w:jc w:val="both"/>
      </w:pPr>
      <w:r>
        <w:rPr>
          <w:rFonts w:ascii="Garamond" w:cs="Garamond" w:eastAsia="Garamond" w:hAnsi="Garamond"/>
          <w:b w:val="false"/>
          <w:bCs w:val="false"/>
          <w:i w:val="false"/>
          <w:iCs w:val="false"/>
          <w:color w:val="1F2937"/>
          <w:sz w:val="22"/>
          <w:szCs w:val="22"/>
        </w:rPr>
        <w:t xml:space="preserve">This is the period in which the home culture is most coherent and most able to draw on the substrate's integrated authority. It is also the period that ends in Phase Four, when religious or imperial factions break the integration into specialised fragments under separate authorities.</w:t>
      </w:r>
    </w:p>
    <w:p>
      <w:pPr>
        <w:pStyle w:val="Heading1"/>
        <w:pageBreakBefore/>
        <w:spacing w:after="220" w:before="480"/>
      </w:pPr>
      <w:r>
        <w:rPr>
          <w:rFonts w:ascii="Garamond" w:cs="Garamond" w:eastAsia="Garamond" w:hAnsi="Garamond"/>
          <w:b/>
          <w:bCs/>
          <w:color w:val="0F172A"/>
          <w:sz w:val="36"/>
          <w:szCs w:val="36"/>
        </w:rPr>
        <w:t xml:space="preserve">Phase Four — Fragmentation</w:t>
      </w:r>
    </w:p>
    <w:p>
      <w:pPr>
        <w:pStyle w:val="Heading2"/>
        <w:spacing w:after="160" w:before="320"/>
      </w:pPr>
      <w:r>
        <w:rPr>
          <w:rFonts w:ascii="Garamond" w:cs="Garamond" w:eastAsia="Garamond" w:hAnsi="Garamond"/>
          <w:b/>
          <w:bCs/>
          <w:color w:val="8B6F2A"/>
          <w:sz w:val="28"/>
          <w:szCs w:val="28"/>
        </w:rPr>
        <w:t xml:space="preserve">religious and imperial factions break the integrated substrate package into specialised fragments under separate authorities</w:t>
      </w:r>
    </w:p>
    <w:p>
      <w:pPr>
        <w:spacing w:after="120" w:before="100" w:line="320"/>
        <w:jc w:val="both"/>
      </w:pPr>
      <w:r>
        <w:rPr>
          <w:rFonts w:ascii="Garamond" w:cs="Garamond" w:eastAsia="Garamond" w:hAnsi="Garamond"/>
          <w:b w:val="false"/>
          <w:bCs w:val="false"/>
          <w:i w:val="false"/>
          <w:iCs w:val="false"/>
          <w:color w:val="1A1A1A"/>
          <w:sz w:val="22"/>
          <w:szCs w:val="22"/>
        </w:rPr>
        <w:t xml:space="preserve">Phase Four is the part of the substrate's arc that explains why we are reading it through fragments today. The reason is not that the substrate was always fragmented. It is that the substrate was originally one integrated operating-system carried back to home cultures as a single package, and religious or imperial factions in each home culture systematically broke the integration to consolidate sectarian authority over the fragments. Each fragmentation event is documented. Each event has its primary-source record. Each event removes one carrier-class and distributes the substrate cargo across multiple specialised institutional homes that no longer recognise their common origin.</w:t>
      </w:r>
    </w:p>
    <w:p>
      <w:pPr>
        <w:spacing w:after="120" w:before="100" w:line="320"/>
        <w:jc w:val="both"/>
      </w:pPr>
      <w:r>
        <w:rPr>
          <w:rFonts w:ascii="Garamond" w:cs="Garamond" w:eastAsia="Garamond" w:hAnsi="Garamond"/>
          <w:b w:val="false"/>
          <w:bCs w:val="false"/>
          <w:i w:val="false"/>
          <w:iCs w:val="false"/>
          <w:color w:val="1A1A1A"/>
          <w:sz w:val="22"/>
          <w:szCs w:val="22"/>
        </w:rPr>
        <w:t xml:space="preserve">The pattern is consistent across the streams. The successor system identifies the integrated package. It captures the package by absorbing the carriers into its own institutions. It transforms the package by fragmenting it into specialised disciplines under separate authorities. It rewrites the package by claiming each fragment as its own original creation and erasing the integration. The fragments survive. The integration is what is methylated.</w:t>
      </w:r>
    </w:p>
    <w:p>
      <w:pPr>
        <w:pStyle w:val="Heading3"/>
        <w:spacing w:after="120" w:before="220"/>
      </w:pPr>
      <w:r>
        <w:rPr>
          <w:rFonts w:ascii="Garamond" w:cs="Garamond" w:eastAsia="Garamond" w:hAnsi="Garamond"/>
          <w:b/>
          <w:bCs/>
          <w:i/>
          <w:iCs/>
          <w:color w:val="0F172A"/>
          <w:sz w:val="24"/>
          <w:szCs w:val="24"/>
        </w:rPr>
        <w:t xml:space="preserve">4.1  Croton, ~510-450 BCE — the Pythagorean fragmentation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first major documented fragmentation event in the Mediterranean stream is the destruction of the Pythagorean school at Croton. The political crisis began around 510 BCE when Cylon of Croton, a wealthy citizen who had been refused membership in the Pythagorean order, organised a faction against the Pythagoreans. The hostility intensified during the political turmoil following Croton's victory over Sybaris in 510 BCE. According to Iamblichus and Polybius, the Pythagorean meeting-house at Croton was burned with the leadership inside. Most members were killed. Pythagoras himself reportedly fled to Metapontum, where he died. Subsequent waves of anti-Pythagorean violence in the early-mid fifth century BCE destroyed the Pythagorean political organisation across southern Italy.</w:t>
      </w:r>
    </w:p>
    <w:p>
      <w:pPr>
        <w:spacing w:after="200" w:before="200" w:line="320"/>
        <w:ind w:left="720" w:right="720"/>
        <w:jc w:val="both"/>
      </w:pPr>
      <w:r>
        <w:rPr>
          <w:rFonts w:ascii="Garamond" w:cs="Garamond" w:eastAsia="Garamond" w:hAnsi="Garamond"/>
          <w:i/>
          <w:iCs/>
          <w:color w:val="333333"/>
          <w:sz w:val="22"/>
          <w:szCs w:val="22"/>
        </w:rPr>
        <w:t xml:space="preserve">"The Pythagoreans were assembled in the house of Milo, deliberating on political matters. The faction-leaders set fire to the house. All who were inside perished, except for two who escaped through the flames."</w:t>
      </w:r>
      <w:r>
        <w:rPr>
          <w:rFonts w:ascii="Garamond" w:cs="Garamond" w:eastAsia="Garamond" w:hAnsi="Garamond"/>
          <w:color w:val="666666"/>
          <w:sz w:val="19"/>
          <w:szCs w:val="19"/>
        </w:rPr>
        <w:t xml:space="preserve">  — Iamblichus, De Vita Pythagorica 35.249-251 (compiling earlier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A.16-CROTON</w:t>
            </w:r>
          </w:p>
          <w:p>
            <w:pPr>
              <w:spacing w:after="40" w:before="60"/>
              <w:jc w:val="center"/>
            </w:pPr>
            <w:r>
              <w:rPr>
                <w:rFonts w:ascii="Garamond" w:cs="Garamond" w:eastAsia="Garamond" w:hAnsi="Garamond"/>
                <w:i/>
                <w:iCs/>
                <w:color w:val="555555"/>
                <w:sz w:val="16"/>
                <w:szCs w:val="16"/>
              </w:rPr>
              <w:t xml:space="preserve">~510-450 BCE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Iamblichus, De Vita Pythagorica 35; Polybius, Histories 2.39; Aristoxenus fr.18.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Pythagorean school at Croton destroyed by faction-violence. Surviving Pythagoreans scatter. Mathematical content goes to Plato and the Academy; musical content to music theory; reincarnation doctrine to Orphic mysteries; ethical content to Stoicism; astronomical content to Aristotle. Integration broken into specialised disciplines under separate institutional authorities.</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 compiling earlier</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fragmentation pattern is documented in detail. The mathematical content was preserved by Plato and the Academy, becoming the foundation of Greek geometry and number theory. The musical content was absorbed into the music-theory tradition that runs through Aristoxenus, Ptolemy's Harmonics, and into the medieval quadrivium. The reincarnation doctrine and the soul-purification teachings went to the Orphic mystery cults. The ethical content was absorbed into Stoicism and Neoplatonism. The astronomical content went to Eudoxus and Aristotle's school. The medical-healing content went to the early Hippocratic tradition. The political-organisational content disappeared entirely. The original integrated package was broken into seven specialised disciplines under seven different institutional authorities, each suspicious of the others, each claiming originality, each unaware that the others held parts of the same originally-integrated body of knowledge.</w:t>
      </w:r>
    </w:p>
    <w:p>
      <w:pPr>
        <w:pStyle w:val="Heading3"/>
        <w:spacing w:after="120" w:before="220"/>
      </w:pPr>
      <w:r>
        <w:rPr>
          <w:rFonts w:ascii="Garamond" w:cs="Garamond" w:eastAsia="Garamond" w:hAnsi="Garamond"/>
          <w:b/>
          <w:bCs/>
          <w:i/>
          <w:iCs/>
          <w:color w:val="0F172A"/>
          <w:sz w:val="24"/>
          <w:szCs w:val="24"/>
        </w:rPr>
        <w:t xml:space="preserve">4.2  Mona, 61 CE — the Roman destruction of the druid school</w:t>
      </w:r>
    </w:p>
    <w:p>
      <w:pPr>
        <w:spacing w:after="120" w:before="100" w:line="320"/>
        <w:jc w:val="both"/>
      </w:pPr>
      <w:r>
        <w:rPr>
          <w:rFonts w:ascii="Garamond" w:cs="Garamond" w:eastAsia="Garamond" w:hAnsi="Garamond"/>
          <w:b w:val="false"/>
          <w:bCs w:val="false"/>
          <w:i w:val="false"/>
          <w:iCs w:val="false"/>
          <w:color w:val="1A1A1A"/>
          <w:sz w:val="22"/>
          <w:szCs w:val="22"/>
        </w:rPr>
        <w:t xml:space="preserve">In the Atlantic stream the major imperial fragmentation event is the Roman suppression of druidism, beginning with Augustus's rescript banning druidic practice for Roman citizens, continuing through Tiberius's Senate decree against druids, and culminating in Claudius's complete abolition of druidism in Gaul in 54 CE. The destruction of the druid centre at Mona — modern Anglesey — by Suetonius Paulinus in 61 CE is the climactic event. Tacitus preserves the eyewitness account in Annales XIV.30.</w:t>
      </w:r>
    </w:p>
    <w:p>
      <w:pPr>
        <w:spacing w:after="200" w:before="200" w:line="320"/>
        <w:ind w:left="720" w:right="720"/>
        <w:jc w:val="both"/>
      </w:pPr>
      <w:r>
        <w:rPr>
          <w:rFonts w:ascii="Garamond" w:cs="Garamond" w:eastAsia="Garamond" w:hAnsi="Garamond"/>
          <w:i/>
          <w:iCs/>
          <w:color w:val="333333"/>
          <w:sz w:val="22"/>
          <w:szCs w:val="22"/>
        </w:rPr>
        <w:t xml:space="preserve">"On the shore stood the army of the enemy, a dense bristling line of weapons, while between the ranks ran women like the Furies, in mourning robes, with dishevelled hair, brandishing torches. Around were the druids, lifting their hands to heaven and pouring forth dreadful imprecations. Suetonius Paulinus' soldiers, urged on by their general's exhortations and by their own mutual encouragements not to quail before a band of frenzied women, bore down the standards, and slaughtered all who opposed them. The groves devoted to their barbarous rites were cut down."</w:t>
      </w:r>
      <w:r>
        <w:rPr>
          <w:rFonts w:ascii="Garamond" w:cs="Garamond" w:eastAsia="Garamond" w:hAnsi="Garamond"/>
          <w:color w:val="666666"/>
          <w:sz w:val="19"/>
          <w:szCs w:val="19"/>
        </w:rPr>
        <w:t xml:space="preserve">  — Tacitus, Annales XIV.30 (event 61 CE; written ~115 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A.17</w:t>
            </w:r>
          </w:p>
          <w:p>
            <w:pPr>
              <w:spacing w:after="40" w:before="60"/>
              <w:jc w:val="center"/>
            </w:pPr>
            <w:r>
              <w:rPr>
                <w:rFonts w:ascii="Garamond" w:cs="Garamond" w:eastAsia="Garamond" w:hAnsi="Garamond"/>
                <w:i/>
                <w:iCs/>
                <w:color w:val="555555"/>
                <w:sz w:val="16"/>
                <w:szCs w:val="16"/>
              </w:rPr>
              <w:t xml:space="preserve">Event: 40-100 CE; written 100-130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Tacitus, Annales XIV.30; Suetonius, Claudius 25; Pliny, Naturalis Historia XXX.13.</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Roman imperial policy systematically suppresses druidism: Augustus's rescript banning druidic practice for Romans; Tiberius's Senate decree; Claudius's complete abolition 54 CE; Suetonius Paulinus destroys druid centre at Mona 61 CE; sacred groves cut down. Druid integrated package fragmented across Roman calendar reform, philosophical schools, Greek medicine, and Roman magistracy. Coligny calendar deliberately broken and buried ~200 CE.</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The druid integrated package — astronomy, geography, natural philosophy, healing, calendar, ethics, political legitimation — is broken across the Roman absorption. The astronomical content is absorbed into Roman calendar reform (Julius Caesar's calendar of 45 BCE, then Augustus's adjustments). The ethical content goes to the philosophical schools operating under Roman patronage. The healing content is reframed as Greek medicine and absorbed into the Galenic tradition. The political-legitimation content is replaced by Roman magistrate hierarchies. The deliberate burial of the Coligny calendar around 200 CE is physical evidence of the substrate carriers' response — the integrated package deposited into durable medium for future recovery when open practice was no longer viable.</w:t>
      </w:r>
    </w:p>
    <w:p>
      <w:pPr>
        <w:pStyle w:val="Heading3"/>
        <w:spacing w:after="120" w:before="220"/>
      </w:pPr>
      <w:r>
        <w:rPr>
          <w:rFonts w:ascii="Garamond" w:cs="Garamond" w:eastAsia="Garamond" w:hAnsi="Garamond"/>
          <w:b/>
          <w:bCs/>
          <w:i/>
          <w:iCs/>
          <w:color w:val="0F172A"/>
          <w:sz w:val="24"/>
          <w:szCs w:val="24"/>
        </w:rPr>
        <w:t xml:space="preserve">4.3  Alexandria, 48 BCE - 391 CE — the serial destruction of the integrated library</w:t>
      </w:r>
    </w:p>
    <w:p>
      <w:pPr>
        <w:spacing w:after="120" w:before="100" w:line="320"/>
        <w:jc w:val="both"/>
      </w:pPr>
      <w:r>
        <w:rPr>
          <w:rFonts w:ascii="Garamond" w:cs="Garamond" w:eastAsia="Garamond" w:hAnsi="Garamond"/>
          <w:b w:val="false"/>
          <w:bCs w:val="false"/>
          <w:i w:val="false"/>
          <w:iCs w:val="false"/>
          <w:color w:val="1A1A1A"/>
          <w:sz w:val="22"/>
          <w:szCs w:val="22"/>
        </w:rPr>
        <w:t xml:space="preserve">The Library of Alexandria was the Hellenistic period's attempt to re-integrate the substrate cargo across multiple traditions. Founded under Ptolemy I in the third century BCE, it accumulated copies of Greek, Egyptian, Babylonian, Persian, Indian, and Hebrew texts. The Hyperborean-Pythagorean-Egyptian-Vedic integrated cargo, broken in its original carrier institutions, was being re-collected at Alexandria. The serial destructions across four and a half centuries fragmented this re-integration.</w:t>
      </w:r>
    </w:p>
    <w:p>
      <w:pPr>
        <w:spacing w:after="120" w:before="100" w:line="320"/>
        <w:jc w:val="both"/>
      </w:pPr>
      <w:r>
        <w:rPr>
          <w:rFonts w:ascii="Garamond" w:cs="Garamond" w:eastAsia="Garamond" w:hAnsi="Garamond"/>
          <w:b w:val="false"/>
          <w:bCs w:val="false"/>
          <w:i w:val="false"/>
          <w:iCs w:val="false"/>
          <w:color w:val="1A1A1A"/>
          <w:sz w:val="22"/>
          <w:szCs w:val="22"/>
        </w:rPr>
        <w:t xml:space="preserve">The first major loss was the burning of part of the library during Caesar's siege of Alexandria in 48 BCE. The second was the conflict over the Mouseion during Aurelian's recapture of Alexandria from Zenobia in 273 CE. The third was the destruction of the Serapeum, which housed a major branch of the library, by Theodosius's Christian decree in 391 CE under the Patriarch Theophilus. The final dissolution came under the Patriarch Cyril of Alexandria around 415 CE — the murder of the philosopher Hypatia by a Christian mob is the marker of the end of the Alexandrian intellectual tradition.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A.16-ALEX</w:t>
            </w:r>
          </w:p>
          <w:p>
            <w:pPr>
              <w:spacing w:after="40" w:before="60"/>
              <w:jc w:val="center"/>
            </w:pPr>
            <w:r>
              <w:rPr>
                <w:rFonts w:ascii="Garamond" w:cs="Garamond" w:eastAsia="Garamond" w:hAnsi="Garamond"/>
                <w:i/>
                <w:iCs/>
                <w:color w:val="555555"/>
                <w:sz w:val="16"/>
                <w:szCs w:val="16"/>
              </w:rPr>
              <w:t xml:space="preserve">48 BCE - 415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Plutarch, Caesar 49; Ammianus Marcellinus 22.16; Eunapius, Lives of the Sophists; Socrates Scholasticus, HE 7.13-15.</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Serial destructions of Library of Alexandria across four and a half centuries methylate Hellenistic re-integration of substrate cargo. Final dissolution under Theophilus 391 CE (Serapeum) and Cyril ~415 CE (death of Hypatia). What survives is what was copied to other collections — predominantly the parts the Christian church preserved.</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ancient sources</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What survives of the Hellenistic synthesis is what was copied to other collections before the destructions, predominantly the parts the Christian church preserved. The parts the church rejected — Hermetic philosophy, Egyptian ritual texts, Babylonian astronomy beyond what was needed for the Easter computation, Indian mathematics beyond what was needed for commerce — were lost. The substrate's Hellenistic re-integration is methylated by the loss of the original collected sources.</w:t>
      </w:r>
    </w:p>
    <w:p>
      <w:pPr>
        <w:pStyle w:val="Heading3"/>
        <w:spacing w:after="120" w:before="220"/>
      </w:pPr>
      <w:r>
        <w:rPr>
          <w:rFonts w:ascii="Garamond" w:cs="Garamond" w:eastAsia="Garamond" w:hAnsi="Garamond"/>
          <w:b/>
          <w:bCs/>
          <w:i/>
          <w:iCs/>
          <w:color w:val="0F172A"/>
          <w:sz w:val="24"/>
          <w:szCs w:val="24"/>
        </w:rPr>
        <w:t xml:space="preserve">4.4  Whitby, 664 CE — the Synod that fragmented Insular Celtic Christianity</w:t>
      </w:r>
    </w:p>
    <w:p>
      <w:pPr>
        <w:spacing w:after="120" w:before="100" w:line="320"/>
        <w:jc w:val="both"/>
      </w:pPr>
      <w:r>
        <w:rPr>
          <w:rFonts w:ascii="Garamond" w:cs="Garamond" w:eastAsia="Garamond" w:hAnsi="Garamond"/>
          <w:b w:val="false"/>
          <w:bCs w:val="false"/>
          <w:i w:val="false"/>
          <w:iCs w:val="false"/>
          <w:color w:val="1A1A1A"/>
          <w:sz w:val="22"/>
          <w:szCs w:val="22"/>
        </w:rPr>
        <w:t xml:space="preserve">In 664 CE King Oswiu of Northumbria convened a synod at Whitby Abbey to resolve the conflict between the Insular Celtic Church (which calculated Easter on the older system inherited from the Atlantic substrate carrier-class) and the Roman Church (which had adopted the Alexandrian computus). The Roman position prevailed. The Insular church accepted the Roman Easter computation. Bishop Colmán of Lindisfarne, refusing to accept the Roman ruling, withdrew with his Insular monks back to Iona and then to Inishbofin off the west coast of Ireland. The Insular Christian carrier-class is fragmented at this moment.</w:t>
      </w:r>
    </w:p>
    <w:p>
      <w:pPr>
        <w:spacing w:after="120" w:before="100" w:line="320"/>
        <w:jc w:val="both"/>
      </w:pPr>
      <w:r>
        <w:rPr>
          <w:rFonts w:ascii="Garamond" w:cs="Garamond" w:eastAsia="Garamond" w:hAnsi="Garamond"/>
          <w:b w:val="false"/>
          <w:bCs w:val="false"/>
          <w:i w:val="false"/>
          <w:iCs w:val="false"/>
          <w:color w:val="1A1A1A"/>
          <w:sz w:val="22"/>
          <w:szCs w:val="22"/>
        </w:rPr>
        <w:t xml:space="preserve">Bede, writing the Historia Ecclesiastica seventy years later in 731 CE, preserves the synod's deliberations. The presenting issue was the Easter computation. The underlying issue was the Insular church's preservation of an older calendrical-liturgical-political integration that the Roman church needed to subordinate. Whitby was the moment the Insular substrate carrier-class lost ecclesiastical autonomy. The Council of Cealchythe in 816 CE further subordinated the Insular tradition by prohibiting Irish-trained clergy from ministering in English dioceses.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A.16-WHITBY</w:t>
            </w:r>
          </w:p>
          <w:p>
            <w:pPr>
              <w:spacing w:after="40" w:before="60"/>
              <w:jc w:val="center"/>
            </w:pPr>
            <w:r>
              <w:rPr>
                <w:rFonts w:ascii="Garamond" w:cs="Garamond" w:eastAsia="Garamond" w:hAnsi="Garamond"/>
                <w:i/>
                <w:iCs/>
                <w:color w:val="555555"/>
                <w:sz w:val="16"/>
                <w:szCs w:val="16"/>
              </w:rPr>
              <w:t xml:space="preserve">664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Bede, Historia Ecclesiastica III.25 (731 CE); Stephen of Ripon, Vita Wilfridi.</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Synod of Whitby imposes Roman Easter computation on Insular Celtic church. Bishop Colmán withdraws to Iona and Inishbofin. Insular substrate carrier-class loses ecclesiastical autonomy. Calendar fragmented from substrate's older lunisolar framework into Roman Alexandrian computus. Council of Cealchythe 816 CE further subordinates Insular tradition.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primary documentary</w:t>
            </w:r>
          </w:p>
        </w:tc>
      </w:tr>
    </w:tbl>
    <w:p>
      <w:pPr>
        <w:spacing w:after="200"/>
      </w:pPr>
      <w:r>
        <w:t xml:space="preserve"/>
      </w:r>
    </w:p>
    <w:p>
      <w:pPr>
        <w:spacing w:after="120" w:before="100" w:line="320"/>
        <w:jc w:val="both"/>
      </w:pPr>
      <w:r>
        <w:rPr>
          <w:rFonts w:ascii="Garamond" w:cs="Garamond" w:eastAsia="Garamond" w:hAnsi="Garamond"/>
          <w:b w:val="false"/>
          <w:bCs w:val="false"/>
          <w:i w:val="false"/>
          <w:iCs w:val="false"/>
          <w:color w:val="1A1A1A"/>
          <w:sz w:val="22"/>
          <w:szCs w:val="22"/>
        </w:rPr>
        <w:t xml:space="preserve">After Whitby the substrate's surviving Insular cargo continues in fragmented form. The bardic-political tradition continues for several more centuries supporting the Gaelic kindred-cenél structure. The maritime-mission tradition continues through the Iceland papar settlement (until displaced by the Norse around 870 CE). The legal tradition continues through the Brehon laws (until suppressed under English administration after 1366). The ascetic-scholarly tradition continues through the great Insular manuscripts (Book of Kells, Book of Durrow, Book of Armagh) but increasingly under Roman ecclesiastical authority. The integrated package is being broken into separately-managed sub-traditions.</w:t>
      </w:r>
    </w:p>
    <w:p>
      <w:pPr>
        <w:pStyle w:val="Heading3"/>
        <w:spacing w:after="120" w:before="220"/>
      </w:pPr>
      <w:r>
        <w:rPr>
          <w:rFonts w:ascii="Garamond" w:cs="Garamond" w:eastAsia="Garamond" w:hAnsi="Garamond"/>
          <w:b/>
          <w:bCs/>
          <w:i/>
          <w:iCs/>
          <w:color w:val="0F172A"/>
          <w:sz w:val="24"/>
          <w:szCs w:val="24"/>
        </w:rPr>
        <w:t xml:space="preserve">4.5  The Statutes of Iona, 1609 — the breaking of the Gall-Gaedhil</w:t>
      </w:r>
    </w:p>
    <w:p>
      <w:pPr>
        <w:spacing w:after="120" w:before="100" w:line="320"/>
        <w:jc w:val="both"/>
      </w:pPr>
      <w:r>
        <w:rPr>
          <w:rFonts w:ascii="Garamond" w:cs="Garamond" w:eastAsia="Garamond" w:hAnsi="Garamond"/>
          <w:b w:val="false"/>
          <w:bCs w:val="false"/>
          <w:i w:val="false"/>
          <w:iCs w:val="false"/>
          <w:color w:val="1A1A1A"/>
          <w:sz w:val="22"/>
          <w:szCs w:val="22"/>
        </w:rPr>
        <w:t xml:space="preserve">In August 1609 King James VI's Bishop of the Isles, Andrew Knox, summoned the principal Hebridean chieftains to Iona and required them to subscribe to a series of articles. The Statutes of Iona prohibited Gaelic-language bardic practice, required the chieftains to send their heirs to Lowland schools to be educated in English and Protestantism, prohibited the carrying of firearms, required submission to the Privy Council, restricted feasting and entertainment of dependants, and limited the chieftains' household-troop sizes. The Statutes specifically targeted the substrate's late-medieval carrier-class — the Norse-Gaelic Gall-Gaedhil kindred form that had operated continuously since at least Somerled's emergence in 1153.</w:t>
      </w:r>
    </w:p>
    <w:p>
      <w:pPr>
        <w:spacing w:after="120" w:before="100" w:line="320"/>
        <w:jc w:val="both"/>
      </w:pPr>
      <w:r>
        <w:rPr>
          <w:rFonts w:ascii="Garamond" w:cs="Garamond" w:eastAsia="Garamond" w:hAnsi="Garamond"/>
          <w:b w:val="false"/>
          <w:bCs w:val="false"/>
          <w:i w:val="false"/>
          <w:iCs w:val="false"/>
          <w:color w:val="1A1A1A"/>
          <w:sz w:val="22"/>
          <w:szCs w:val="22"/>
        </w:rPr>
        <w:t xml:space="preserve">The bardic prohibition is the diagnostic clause. The bardic order had been the Insular substrate's institutional carrier of historical, genealogical, calendrical, and political knowledge for over a thousand years. The bards held the integrated body of substrate knowledge that the Gaelic kindred political system depended on. By prohibiting bardic practice and requiring the chieftains' heirs to be educated outside the kindred system, the Crown systematically fragmented the substrate carrier-class. The Highland Clearances of 1750-1860 completed the territorial dispossession.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A.16-IONA</w:t>
            </w:r>
          </w:p>
          <w:p>
            <w:pPr>
              <w:spacing w:after="40" w:before="60"/>
              <w:jc w:val="center"/>
            </w:pPr>
            <w:r>
              <w:rPr>
                <w:rFonts w:ascii="Garamond" w:cs="Garamond" w:eastAsia="Garamond" w:hAnsi="Garamond"/>
                <w:i/>
                <w:iCs/>
                <w:color w:val="555555"/>
                <w:sz w:val="16"/>
                <w:szCs w:val="16"/>
              </w:rPr>
              <w:t xml:space="preserve">9 August 1609</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Statutes of Iona 1609 in Register of the Privy Council of Scotland; Donaldson 1965; Goodare 1998.</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King James VI imposes Statutes of Iona breaking the Gall-Gaedhil substrate carrier-class. Bardic practice prohibited, chieftains' heirs required English-Protestant education, kindred political authority subordinated to Privy Council. The substrate's late-medieval Insular integrated form is fragmented. Highland Clearances 1750-1860 complete territorial dispossession.</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D — primary documentary</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4.6  The Spanish missions, 1540 onward — fragmenting the Pueblo substrate</w:t>
      </w:r>
    </w:p>
    <w:p>
      <w:pPr>
        <w:spacing w:after="120" w:before="100" w:line="320"/>
        <w:jc w:val="both"/>
      </w:pPr>
      <w:r>
        <w:rPr>
          <w:rFonts w:ascii="Garamond" w:cs="Garamond" w:eastAsia="Garamond" w:hAnsi="Garamond"/>
          <w:b w:val="false"/>
          <w:bCs w:val="false"/>
          <w:i w:val="false"/>
          <w:iCs w:val="false"/>
          <w:color w:val="1A1A1A"/>
          <w:sz w:val="22"/>
          <w:szCs w:val="22"/>
        </w:rPr>
        <w:t xml:space="preserve">Spanish colonial policy in northern New Spain (modern New Mexico and Arizona) from approximately 1540 onward systematically targeted the Pueblo substrate carrier-class. Coronado's expedition reached the Pueblo region in 1540. Franciscan missions began establishing in 1598 under Oñate. Mission policy required the destruction of kachina masks, the prohibition of ceremonial dance, the closure of kivas, and the imposition of Christian religious instruction. The Pueblo integrated package — calendar, agriculture, kachina teaching, kiva ceremony, clan organisation — was being systematically broken.</w:t>
      </w:r>
    </w:p>
    <w:p>
      <w:pPr>
        <w:spacing w:after="120" w:before="100" w:line="320"/>
        <w:jc w:val="both"/>
      </w:pPr>
      <w:r>
        <w:rPr>
          <w:rFonts w:ascii="Garamond" w:cs="Garamond" w:eastAsia="Garamond" w:hAnsi="Garamond"/>
          <w:b w:val="false"/>
          <w:bCs w:val="false"/>
          <w:i w:val="false"/>
          <w:iCs w:val="false"/>
          <w:color w:val="1A1A1A"/>
          <w:sz w:val="22"/>
          <w:szCs w:val="22"/>
        </w:rPr>
        <w:t xml:space="preserve">The Pueblo Revolt of 1680, led by Popé of San Juan Pueblo, expelled the Spanish for twelve years and is the major documented act of substrate carrier-class self-defence in the colonial period. Spanish reconquest under De Vargas in 1692 reimposed mission authority but the post-1692 settlement was less destructive than the pre-1680 regime. The Hopi specifically remained outside the resumed Spanish mission system, withdrawing to the mesa-top villages and preserving their integrated package continuously through to the American annexation period and beyond. The Hopi case represents the substrate's successful resistance to Phase Four fragmentation; the broader Pueblo case represents the more typical fragmentation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A.16-PUEBLO</w:t>
            </w:r>
          </w:p>
          <w:p>
            <w:pPr>
              <w:spacing w:after="40" w:before="60"/>
              <w:jc w:val="center"/>
            </w:pPr>
            <w:r>
              <w:rPr>
                <w:rFonts w:ascii="Garamond" w:cs="Garamond" w:eastAsia="Garamond" w:hAnsi="Garamond"/>
                <w:i/>
                <w:iCs/>
                <w:color w:val="555555"/>
                <w:sz w:val="16"/>
                <w:szCs w:val="16"/>
              </w:rPr>
              <w:t xml:space="preserve">1540-1700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Hackett 1937; Knaut 1995; Sando 1992 Pueblo Nations; Hopi-Tewa oral tradition.</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Spanish colonial mission policy systematically targets Pueblo substrate carrier-class: kachina masks destroyed, kivas closed, ceremonial dance prohibited, Christian instruction imposed. Pueblo Revolt 1680 expels Spanish for 12 years. Reconquest 1692 reimposes mission authority but Hopi remain outside system on mesa-tops, preserving integrated package continuously to present.</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C + Tier D — primary documentary + indigenous oral</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4.7  British colonial India, 1757-1947 — restructuring the Vedic substrate</w:t>
      </w:r>
    </w:p>
    <w:p>
      <w:pPr>
        <w:spacing w:after="120" w:before="100" w:line="320"/>
        <w:jc w:val="both"/>
      </w:pPr>
      <w:r>
        <w:rPr>
          <w:rFonts w:ascii="Garamond" w:cs="Garamond" w:eastAsia="Garamond" w:hAnsi="Garamond"/>
          <w:b w:val="false"/>
          <w:bCs w:val="false"/>
          <w:i w:val="false"/>
          <w:iCs w:val="false"/>
          <w:color w:val="1A1A1A"/>
          <w:sz w:val="22"/>
          <w:szCs w:val="22"/>
        </w:rPr>
        <w:t xml:space="preserve">British East India Company administration after the Battle of Plassey in 1757, and Crown rule after 1858, restructured the Vedic substrate's institutional carriers. The pilgrimage routes were reframed first as superstition under early colonial administration, then as cultural heritage under late colonial and independent-India administration. The temple-economy was disestablished. The Brahmin priestly class lost political authority and economic patronage. The integrated Vedic-Puranic-tantric tradition was fragmented into a museum-managed Hinduism, an academic Indology, an esoteric Theosophical export-form, and a modern political Hindutva that selectively reclaims fragments. The original integration that operated under the Brahmin varna for over a thousand years is no longer institutionally available as one body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A.16-INDIA</w:t>
            </w:r>
          </w:p>
          <w:p>
            <w:pPr>
              <w:spacing w:after="40" w:before="60"/>
              <w:jc w:val="center"/>
            </w:pPr>
            <w:r>
              <w:rPr>
                <w:rFonts w:ascii="Garamond" w:cs="Garamond" w:eastAsia="Garamond" w:hAnsi="Garamond"/>
                <w:i/>
                <w:iCs/>
                <w:color w:val="555555"/>
                <w:sz w:val="16"/>
                <w:szCs w:val="16"/>
              </w:rPr>
              <w:t xml:space="preserve">1757-1947 CE</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Cohn 1996; Dirks 2001; Pinch 2006; Frykenberg 1989.</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British colonial administration restructures Vedic substrate's institutional carriers. Temple-economy disestablished, Brahmin priestly class loses political authority, integrated Vedic-Puranic-tantric tradition fragmented into museum Hinduism, academic Indology, Theosophical esoteric, and modern political Hindutva.</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B — peer-reviewed historical scholarship</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4.8  What Phase Four establishes</w:t>
      </w:r>
    </w:p>
    <w:p>
      <w:pPr>
        <w:spacing w:after="120" w:before="100" w:line="320"/>
        <w:jc w:val="both"/>
      </w:pPr>
      <w:r>
        <w:rPr>
          <w:rFonts w:ascii="Garamond" w:cs="Garamond" w:eastAsia="Garamond" w:hAnsi="Garamond"/>
          <w:b w:val="false"/>
          <w:bCs w:val="false"/>
          <w:i w:val="false"/>
          <w:iCs w:val="false"/>
          <w:color w:val="1F2937"/>
          <w:sz w:val="22"/>
          <w:szCs w:val="22"/>
        </w:rPr>
        <w:t xml:space="preserve">In every documented case the home culture's integrated substrate package is broken by a religious or imperial faction within several centuries of the integration period. The mechanism is consistent: the successor system identifies the integrated package, captures the carrier-class by absorbing them into its own institutions, transforms the package by fragmenting it into specialised disciplines under separate authorities, and rewrites the package by claiming each fragment as its own original creation and erasing the integration. The fragments survive. The integration is methylated.</w:t>
      </w:r>
    </w:p>
    <w:p>
      <w:pPr>
        <w:spacing w:after="120" w:before="100" w:line="320"/>
        <w:jc w:val="both"/>
      </w:pPr>
      <w:r>
        <w:rPr>
          <w:rFonts w:ascii="Garamond" w:cs="Garamond" w:eastAsia="Garamond" w:hAnsi="Garamond"/>
          <w:b w:val="false"/>
          <w:bCs w:val="false"/>
          <w:i w:val="false"/>
          <w:iCs w:val="false"/>
          <w:color w:val="1F2937"/>
          <w:sz w:val="22"/>
          <w:szCs w:val="22"/>
        </w:rPr>
        <w:t xml:space="preserve">The fragmentation events are not isolated. They are the same operation performed across multiple home cultures by structurally similar religious and imperial factions over more than two and a half thousand years. Croton 510 BCE, Mona 61 CE, Alexandria 391 CE, Whitby 664 CE, Statutes of Iona 1609, Spanish missions 1540 onward, British India 1757 onward — these are seven instances of the same underlying mechanism. Each instance produces a culture in which the substrate's integrated knowledge survives as fragments under separate institutional authorities, with the integration invisible to the inheriting scholarship.</w:t>
      </w:r>
    </w:p>
    <w:p>
      <w:pPr>
        <w:pStyle w:val="Heading1"/>
        <w:pageBreakBefore/>
        <w:spacing w:after="220" w:before="480"/>
      </w:pPr>
      <w:r>
        <w:rPr>
          <w:rFonts w:ascii="Garamond" w:cs="Garamond" w:eastAsia="Garamond" w:hAnsi="Garamond"/>
          <w:b/>
          <w:bCs/>
          <w:color w:val="0F172A"/>
          <w:sz w:val="36"/>
          <w:szCs w:val="36"/>
        </w:rPr>
        <w:t xml:space="preserve">Phase Five — Dispersion</w:t>
      </w:r>
    </w:p>
    <w:p>
      <w:pPr>
        <w:pStyle w:val="Heading2"/>
        <w:spacing w:after="160" w:before="320"/>
      </w:pPr>
      <w:r>
        <w:rPr>
          <w:rFonts w:ascii="Garamond" w:cs="Garamond" w:eastAsia="Garamond" w:hAnsi="Garamond"/>
          <w:b/>
          <w:bCs/>
          <w:color w:val="8B6F2A"/>
          <w:sz w:val="28"/>
          <w:szCs w:val="28"/>
        </w:rPr>
        <w:t xml:space="preserve">the fragments become invisible to one another and the substrate is described by historians as several unrelated phenomena</w:t>
      </w:r>
    </w:p>
    <w:p>
      <w:pPr>
        <w:spacing w:after="120" w:before="100" w:line="320"/>
        <w:jc w:val="both"/>
      </w:pPr>
      <w:r>
        <w:rPr>
          <w:rFonts w:ascii="Garamond" w:cs="Garamond" w:eastAsia="Garamond" w:hAnsi="Garamond"/>
          <w:b w:val="false"/>
          <w:bCs w:val="false"/>
          <w:i w:val="false"/>
          <w:iCs w:val="false"/>
          <w:color w:val="1A1A1A"/>
          <w:sz w:val="22"/>
          <w:szCs w:val="22"/>
        </w:rPr>
        <w:t xml:space="preserve">Phase Five is the period in which the substrate's fragments operate within their separate institutional homes without recognition of common origin. This is the period the orthodox historiography of the past two centuries has operated within. Mathematics is in mathematics departments. Music theory is in music departments. Astronomy is in astronomy departments. Religious history is in religious-studies departments. Folklore is in folklore departments. Ancient DNA is in genetics departments. None of these institutional homes regularly communicate with the others, and none routinely tests claims of common origin across their boundaries.</w:t>
      </w:r>
    </w:p>
    <w:p>
      <w:pPr>
        <w:spacing w:after="120" w:before="100" w:line="320"/>
        <w:jc w:val="both"/>
      </w:pPr>
      <w:r>
        <w:rPr>
          <w:rFonts w:ascii="Garamond" w:cs="Garamond" w:eastAsia="Garamond" w:hAnsi="Garamond"/>
          <w:b w:val="false"/>
          <w:bCs w:val="false"/>
          <w:i w:val="false"/>
          <w:iCs w:val="false"/>
          <w:color w:val="1A1A1A"/>
          <w:sz w:val="22"/>
          <w:szCs w:val="22"/>
        </w:rPr>
        <w:t xml:space="preserve">The dispersion is not a conspiracy. It is the natural outcome of Phase Four's fragmentation, propagated forward through the academic disciplinary structures that the modern university system inherited from the medieval church-school tradition. The disciplinary boundaries reflect the institutional separations that the fragmenting factions established. To read the substrate as a single phenomenon requires deliberately crossing these boundaries — which is what this document attempts.</w:t>
      </w:r>
    </w:p>
    <w:p>
      <w:pPr>
        <w:pStyle w:val="Heading3"/>
        <w:spacing w:after="120" w:before="220"/>
      </w:pPr>
      <w:r>
        <w:rPr>
          <w:rFonts w:ascii="Garamond" w:cs="Garamond" w:eastAsia="Garamond" w:hAnsi="Garamond"/>
          <w:b/>
          <w:bCs/>
          <w:i/>
          <w:iCs/>
          <w:color w:val="0F172A"/>
          <w:sz w:val="24"/>
          <w:szCs w:val="24"/>
        </w:rPr>
        <w:t xml:space="preserve">5.1  How the fragments appear in modern scholarship</w:t>
      </w:r>
    </w:p>
    <w:p>
      <w:pPr>
        <w:spacing w:after="120" w:before="100" w:line="320"/>
        <w:jc w:val="both"/>
      </w:pPr>
      <w:r>
        <w:rPr>
          <w:rFonts w:ascii="Garamond" w:cs="Garamond" w:eastAsia="Garamond" w:hAnsi="Garamond"/>
          <w:b w:val="false"/>
          <w:bCs w:val="false"/>
          <w:i w:val="false"/>
          <w:iCs w:val="false"/>
          <w:color w:val="1A1A1A"/>
          <w:sz w:val="22"/>
          <w:szCs w:val="22"/>
        </w:rPr>
        <w:t xml:space="preserve">The Pythagorean fragments are distributed across several modern disciplines. Pythagorean mathematics is in modern mathematics — the Pythagorean theorem, the irrationality of the square root of two, the theory of harmonic ratios. Pythagorean music theory is in modern music theory and acoustics. Pythagorean ethics is in classical philosophy departments under the heading of pre-Socratic moral philosophy. Pythagorean astronomy is in the history of astronomy under the heading of pre-Aristotelian cosmology. Pythagorean reincarnation doctrine is in the comparative-religion department under the heading of Greek mystery cults. Pythagorean medicine is in the history of medicine. Pythagorean political organisation is in classical political theory. Each department holds its Pythagorean fragment as a curiosity within its own institutional history.</w:t>
      </w:r>
    </w:p>
    <w:p>
      <w:pPr>
        <w:spacing w:after="120" w:before="100" w:line="320"/>
        <w:jc w:val="both"/>
      </w:pPr>
      <w:r>
        <w:rPr>
          <w:rFonts w:ascii="Garamond" w:cs="Garamond" w:eastAsia="Garamond" w:hAnsi="Garamond"/>
          <w:b w:val="false"/>
          <w:bCs w:val="false"/>
          <w:i w:val="false"/>
          <w:iCs w:val="false"/>
          <w:color w:val="1F2937"/>
          <w:sz w:val="22"/>
          <w:szCs w:val="22"/>
        </w:rPr>
        <w:t xml:space="preserve">The Atlantic substrate fragments are similarly distributed. The megalithic architecture is in archaeology. The genetic continuity is in ancient-DNA studies. The druidic testimony is in classical history. The Coligny calendar is in Celtic studies. The Brendan voyage is in medieval Irish literature. The Norse-Gaelic Lordship of the Isles is in Scottish history. The Maeshowe runic inscriptions are in Norse studies. The Brehon laws are in legal history. The bardic tradition is in Gaelic literature. Each fragment is well-studied within its own department. The integration across all of them is not standardly presented in any single institutional setting.</w:t>
      </w:r>
    </w:p>
    <w:p>
      <w:pPr>
        <w:pStyle w:val="Heading3"/>
        <w:spacing w:after="120" w:before="220"/>
      </w:pPr>
      <w:r>
        <w:rPr>
          <w:rFonts w:ascii="Garamond" w:cs="Garamond" w:eastAsia="Garamond" w:hAnsi="Garamond"/>
          <w:b/>
          <w:bCs/>
          <w:i/>
          <w:iCs/>
          <w:color w:val="0F172A"/>
          <w:sz w:val="24"/>
          <w:szCs w:val="24"/>
        </w:rPr>
        <w:t xml:space="preserve">5.2  The dispersion period in summary</w:t>
      </w:r>
    </w:p>
    <w:p>
      <w:pPr>
        <w:spacing w:after="120" w:before="100" w:line="320"/>
        <w:jc w:val="both"/>
      </w:pPr>
      <w:r>
        <w:rPr>
          <w:rFonts w:ascii="Garamond" w:cs="Garamond" w:eastAsia="Garamond" w:hAnsi="Garamond"/>
          <w:b w:val="false"/>
          <w:bCs w:val="false"/>
          <w:i w:val="false"/>
          <w:iCs w:val="false"/>
          <w:color w:val="1F2937"/>
          <w:sz w:val="22"/>
          <w:szCs w:val="22"/>
        </w:rPr>
        <w:t xml:space="preserve">Phase Five has been operating across the substrate's various streams for between fifteen hundred and two and a half thousand years. The Pythagorean fragmentation and dispersion has been operating since approximately 450 BCE — about 2,475 years. The Egyptian fragmentation and dispersion has been operating since the Christian dissolution of the Egyptian priesthood around 391 CE — about 1,635 years. The Atlantic-Insular fragmentation and dispersion has been operating since the Statutes of Iona in 1609 — about 415 years. The Vedic fragmentation and dispersion has been operating since 1757 — about 269 years. In each case the fragments survive in good institutional condition. The integration is what is missing.</w:t>
      </w:r>
    </w:p>
    <w:p>
      <w:pPr>
        <w:pStyle w:val="Heading1"/>
        <w:pageBreakBefore/>
        <w:spacing w:after="220" w:before="480"/>
      </w:pPr>
      <w:r>
        <w:rPr>
          <w:rFonts w:ascii="Garamond" w:cs="Garamond" w:eastAsia="Garamond" w:hAnsi="Garamond"/>
          <w:b/>
          <w:bCs/>
          <w:color w:val="0F172A"/>
          <w:sz w:val="36"/>
          <w:szCs w:val="36"/>
        </w:rPr>
        <w:t xml:space="preserve">Phase Six — Recovery</w:t>
      </w:r>
    </w:p>
    <w:p>
      <w:pPr>
        <w:pStyle w:val="Heading2"/>
        <w:spacing w:after="160" w:before="320"/>
      </w:pPr>
      <w:r>
        <w:rPr>
          <w:rFonts w:ascii="Garamond" w:cs="Garamond" w:eastAsia="Garamond" w:hAnsi="Garamond"/>
          <w:b/>
          <w:bCs/>
          <w:color w:val="8B6F2A"/>
          <w:sz w:val="28"/>
          <w:szCs w:val="28"/>
        </w:rPr>
        <w:t xml:space="preserve">modern scholarship begins to read the fragments together; the integration becomes visible again</w:t>
      </w:r>
    </w:p>
    <w:p>
      <w:pPr>
        <w:spacing w:after="120" w:before="100" w:line="320"/>
        <w:jc w:val="both"/>
      </w:pPr>
      <w:r>
        <w:rPr>
          <w:rFonts w:ascii="Garamond" w:cs="Garamond" w:eastAsia="Garamond" w:hAnsi="Garamond"/>
          <w:b w:val="false"/>
          <w:bCs w:val="false"/>
          <w:i w:val="false"/>
          <w:iCs w:val="false"/>
          <w:color w:val="1A1A1A"/>
          <w:sz w:val="22"/>
          <w:szCs w:val="22"/>
        </w:rPr>
        <w:t xml:space="preserve">Phase Six is the period in which the substrate's integration begins to be recovered through cross-disciplinary work, ancient-DNA evidence that closes inferential gaps left by the textual record, and cross-cultural pattern-matching across the testament-streams. This is the phase in which this work operates. The recovery is not yet complete. The integration is being progressively re-constructed. Each new piece of evidence — each new aDNA study, each newly-translated medieval manuscript, each newly-documented archaeoastronomical alignment — adds to the recovered picture. The substrate is becoming visible again.</w:t>
      </w:r>
    </w:p>
    <w:p>
      <w:pPr>
        <w:pStyle w:val="Heading3"/>
        <w:spacing w:after="120" w:before="220"/>
      </w:pPr>
      <w:r>
        <w:rPr>
          <w:rFonts w:ascii="Garamond" w:cs="Garamond" w:eastAsia="Garamond" w:hAnsi="Garamond"/>
          <w:b/>
          <w:bCs/>
          <w:i/>
          <w:iCs/>
          <w:color w:val="0F172A"/>
          <w:sz w:val="24"/>
          <w:szCs w:val="24"/>
        </w:rPr>
        <w:t xml:space="preserve">6.1  The ancient-DNA revolution, 2015 onward</w:t>
      </w:r>
    </w:p>
    <w:p>
      <w:pPr>
        <w:spacing w:after="120" w:before="100" w:line="320"/>
        <w:jc w:val="both"/>
      </w:pPr>
      <w:r>
        <w:rPr>
          <w:rFonts w:ascii="Garamond" w:cs="Garamond" w:eastAsia="Garamond" w:hAnsi="Garamond"/>
          <w:b w:val="false"/>
          <w:bCs w:val="false"/>
          <w:i w:val="false"/>
          <w:iCs w:val="false"/>
          <w:color w:val="1A1A1A"/>
          <w:sz w:val="22"/>
          <w:szCs w:val="22"/>
        </w:rPr>
        <w:t xml:space="preserve">The single most important development in the substrate's recovery is the ancient-DNA revolution. Until approximately 2015 the substrate's biological continuity was inferential — based on shared cultural patterns and architectural similarities. Since 2015 the technology of ancient-DNA sequencing has made it possible to read kinship and population structure directly from Neolithic and Bronze Age remains. Five peer-reviewed studies covering approximately 1,200 ancient genomes now establish the substrate's biological reality directly.</w:t>
      </w:r>
    </w:p>
    <w:p>
      <w:pPr>
        <w:spacing w:after="120" w:before="100" w:line="320"/>
        <w:jc w:val="both"/>
      </w:pPr>
      <w:r>
        <w:rPr>
          <w:rFonts w:ascii="Garamond" w:cs="Garamond" w:eastAsia="Garamond" w:hAnsi="Garamond"/>
          <w:b w:val="false"/>
          <w:bCs w:val="false"/>
          <w:i w:val="false"/>
          <w:iCs w:val="false"/>
          <w:color w:val="1A1A1A"/>
          <w:sz w:val="22"/>
          <w:szCs w:val="22"/>
        </w:rPr>
        <w:t xml:space="preserve">Olalde 2019 in Science documents the Iberian Bell Beaker watershed. Sánchez-Quinto 2019 in PNAS documents the Atlantic façade kindred-society structure. Cassidy 2016 in PNAS documents the insular Atlantic genome at the Neolithic-Bronze-Age transition. Cassidy 2020 in Nature documents the Newgrange dynastic elite with identified relatives across Ireland. Margaryan 2020 in Nature documents the Norse end of the route with the Gall-Gaedhil fusion. The five anchors together close the inferential gap that previous scholarship had to treat as inference. The substrate's biological reality is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8A45A" w:sz="6"/>
              <w:left w:val="single" w:color="C8A45A" w:sz="6"/>
              <w:bottom w:val="single" w:color="C8A45A" w:sz="6"/>
              <w:right w:val="single" w:color="C8A45A" w:sz="6"/>
            </w:tcBorders>
            <w:shd w:fill="F4EFE3" w:color="auto" w:val="clear"/>
            <w:tcMar>
              <w:top w:type="dxa" w:w="80"/>
              <w:left w:type="dxa" w:w="120"/>
              <w:bottom w:type="dxa" w:w="80"/>
              <w:right w:type="dxa" w:w="120"/>
            </w:tcMar>
          </w:tcPr>
          <w:p>
            <w:pPr>
              <w:spacing w:after="0" w:before="40"/>
              <w:jc w:val="center"/>
            </w:pPr>
            <w:r>
              <w:rPr>
                <w:rFonts w:ascii="Garamond" w:cs="Garamond" w:eastAsia="Garamond" w:hAnsi="Garamond"/>
                <w:b/>
                <w:bCs/>
                <w:color w:val="8B6F2A"/>
                <w:sz w:val="16"/>
                <w:szCs w:val="16"/>
              </w:rPr>
              <w:t xml:space="preserve">LEDGER</w:t>
            </w:r>
          </w:p>
          <w:p>
            <w:pPr>
              <w:spacing w:before="0"/>
              <w:jc w:val="center"/>
            </w:pPr>
            <w:r>
              <w:rPr>
                <w:rFonts w:ascii="Garamond" w:cs="Garamond" w:eastAsia="Garamond" w:hAnsi="Garamond"/>
                <w:b/>
                <w:bCs/>
                <w:color w:val="0F172A"/>
                <w:sz w:val="26"/>
                <w:szCs w:val="26"/>
              </w:rPr>
              <w:t xml:space="preserve">A.36-DNA</w:t>
            </w:r>
          </w:p>
          <w:p>
            <w:pPr>
              <w:spacing w:after="40" w:before="60"/>
              <w:jc w:val="center"/>
            </w:pPr>
            <w:r>
              <w:rPr>
                <w:rFonts w:ascii="Garamond" w:cs="Garamond" w:eastAsia="Garamond" w:hAnsi="Garamond"/>
                <w:i/>
                <w:iCs/>
                <w:color w:val="555555"/>
                <w:sz w:val="16"/>
                <w:szCs w:val="16"/>
              </w:rPr>
              <w:t xml:space="preserve">2015-2020 publications</w:t>
            </w:r>
          </w:p>
        </w:tc>
        <w:tc>
          <w:tcPr>
            <w:tcW w:type="dxa" w:w="8260"/>
            <w:tcBorders>
              <w:top w:val="single" w:color="C8A45A" w:sz="6"/>
              <w:left w:val="single" w:color="C8A45A" w:sz="6"/>
              <w:bottom w:val="single" w:color="C8A45A" w:sz="6"/>
              <w:right w:val="single" w:color="C8A45A" w:sz="6"/>
            </w:tcBorders>
            <w:shd w:fill="FAF5E8" w:color="auto" w:val="clear"/>
            <w:tcMar>
              <w:top w:type="dxa" w:w="80"/>
              <w:left w:type="dxa" w:w="120"/>
              <w:bottom w:type="dxa" w:w="80"/>
              <w:right w:type="dxa" w:w="120"/>
            </w:tcMar>
          </w:tcPr>
          <w:p>
            <w:pPr>
              <w:spacing w:after="60"/>
            </w:pPr>
            <w:r>
              <w:rPr>
                <w:rFonts w:ascii="Garamond" w:cs="Garamond" w:eastAsia="Garamond" w:hAnsi="Garamond"/>
                <w:b/>
                <w:bCs/>
                <w:color w:val="0F172A"/>
                <w:sz w:val="19"/>
                <w:szCs w:val="19"/>
              </w:rPr>
              <w:t xml:space="preserve">Source — </w:t>
            </w:r>
            <w:r>
              <w:rPr>
                <w:rFonts w:ascii="Garamond" w:cs="Garamond" w:eastAsia="Garamond" w:hAnsi="Garamond"/>
                <w:color w:val="1A1A1A"/>
                <w:sz w:val="19"/>
                <w:szCs w:val="19"/>
              </w:rPr>
              <w:t xml:space="preserve">Olalde 2019 Science; Sánchez-Quinto 2019 PNAS; Cassidy 2016 PNAS; Cassidy 2020 Nature; Margaryan 2020 Nature.</w:t>
            </w:r>
          </w:p>
          <w:p>
            <w:pPr>
              <w:spacing w:after="60"/>
            </w:pPr>
            <w:r>
              <w:rPr>
                <w:rFonts w:ascii="Garamond" w:cs="Garamond" w:eastAsia="Garamond" w:hAnsi="Garamond"/>
                <w:b/>
                <w:bCs/>
                <w:color w:val="0F172A"/>
                <w:sz w:val="19"/>
                <w:szCs w:val="19"/>
              </w:rPr>
              <w:t xml:space="preserve">What it tells us — </w:t>
            </w:r>
            <w:r>
              <w:rPr>
                <w:rFonts w:ascii="Garamond" w:cs="Garamond" w:eastAsia="Garamond" w:hAnsi="Garamond"/>
                <w:i/>
                <w:iCs/>
                <w:color w:val="1A1A1A"/>
                <w:sz w:val="19"/>
                <w:szCs w:val="19"/>
              </w:rPr>
              <w:t xml:space="preserve">Ancient-DNA revolution closes inferential gap on substrate's biological continuity. ~1,200 ancient genomes document Iberian root, Atlantic façade kindred, insular establishment, Newgrange dynastic elite, and Norse-Gael fusion as a single continuous network.</w:t>
            </w:r>
          </w:p>
          <w:p>
            <w:r>
              <w:rPr>
                <w:rFonts w:ascii="Garamond" w:cs="Garamond" w:eastAsia="Garamond" w:hAnsi="Garamond"/>
                <w:b/>
                <w:bCs/>
                <w:color w:val="0F172A"/>
                <w:sz w:val="16"/>
                <w:szCs w:val="16"/>
              </w:rPr>
              <w:t xml:space="preserve">Validation tier: </w:t>
            </w:r>
            <w:r>
              <w:rPr>
                <w:rFonts w:ascii="Garamond" w:cs="Garamond" w:eastAsia="Garamond" w:hAnsi="Garamond"/>
                <w:i/>
                <w:iCs/>
                <w:color w:val="555555"/>
                <w:sz w:val="16"/>
                <w:szCs w:val="16"/>
              </w:rPr>
              <w:t xml:space="preserve">Tier A — peer-reviewed multi-method</w:t>
            </w:r>
          </w:p>
        </w:tc>
      </w:tr>
    </w:tbl>
    <w:p>
      <w:pPr>
        <w:spacing w:after="200"/>
      </w:pPr>
      <w:r>
        <w:t xml:space="preserve"/>
      </w:r>
    </w:p>
    <w:p>
      <w:pPr>
        <w:pStyle w:val="Heading3"/>
        <w:spacing w:after="120" w:before="220"/>
      </w:pPr>
      <w:r>
        <w:rPr>
          <w:rFonts w:ascii="Garamond" w:cs="Garamond" w:eastAsia="Garamond" w:hAnsi="Garamond"/>
          <w:b/>
          <w:bCs/>
          <w:i/>
          <w:iCs/>
          <w:color w:val="0F172A"/>
          <w:sz w:val="24"/>
          <w:szCs w:val="24"/>
        </w:rPr>
        <w:t xml:space="preserve">6.2  Cross-cultural pattern-matching across testament-streams</w:t>
      </w:r>
    </w:p>
    <w:p>
      <w:pPr>
        <w:spacing w:after="120" w:before="100" w:line="320"/>
        <w:jc w:val="both"/>
      </w:pPr>
      <w:r>
        <w:rPr>
          <w:rFonts w:ascii="Garamond" w:cs="Garamond" w:eastAsia="Garamond" w:hAnsi="Garamond"/>
          <w:b w:val="false"/>
          <w:bCs w:val="false"/>
          <w:i w:val="false"/>
          <w:iCs w:val="false"/>
          <w:color w:val="1F2937"/>
          <w:sz w:val="22"/>
          <w:szCs w:val="22"/>
        </w:rPr>
        <w:t xml:space="preserve">The second major development in the substrate's recovery is the cross-cultural pattern-matching that becomes visible when the testament-streams are read together rather than within their separate disciplinary homes. Seven independent testament-streams from cultures with no plausible pre-modern transmission contact converge on the same five-key framework: spherical or circular axial temple, lunisolar Metonic calendar, sacred female guardian-weaver, healer-priest with rod-or-arrow authority-marker, and four-worlds-or-four-elements cycle. The convergence cannot be produced by single-tradition speculation. The streams differ in language, geography, climate, technology, and political organisation. What they share is the substrate's operating-system, encoded in different languages by traditions that all received the cargo independently.</w:t>
      </w:r>
    </w:p>
    <w:p>
      <w:pPr>
        <w:pStyle w:val="Heading3"/>
        <w:spacing w:after="120" w:before="220"/>
      </w:pPr>
      <w:r>
        <w:rPr>
          <w:rFonts w:ascii="Garamond" w:cs="Garamond" w:eastAsia="Garamond" w:hAnsi="Garamond"/>
          <w:b/>
          <w:bCs/>
          <w:i/>
          <w:iCs/>
          <w:color w:val="0F172A"/>
          <w:sz w:val="24"/>
          <w:szCs w:val="24"/>
        </w:rPr>
        <w:t xml:space="preserve">6.3  The four transaction-types pattern</w:t>
      </w:r>
    </w:p>
    <w:p>
      <w:pPr>
        <w:spacing w:after="120" w:before="100" w:line="320"/>
        <w:jc w:val="both"/>
      </w:pPr>
      <w:r>
        <w:rPr>
          <w:rFonts w:ascii="Garamond" w:cs="Garamond" w:eastAsia="Garamond" w:hAnsi="Garamond"/>
          <w:b w:val="false"/>
          <w:bCs w:val="false"/>
          <w:i w:val="false"/>
          <w:iCs w:val="false"/>
          <w:color w:val="1A1A1A"/>
          <w:sz w:val="22"/>
          <w:szCs w:val="22"/>
        </w:rPr>
        <w:t xml:space="preserve">The third major development is the recognition that all seven testament-streams encode the same five-stage transaction structure (why go, cargo out, arrival, cargo back, meaning) and the same four transaction-types (ritual tribute for calendar maintenance, survey-and-return for knowledge harvest, deposit-and-proof for physical exchange, teaching-transmission for priest-class formation). These pattern across streams as the substrate's documented operational mechanisms. The fables are not folktales. They are travel-reports preserved as memorable narrative, encoding the operational details of the threshold's actual use.</w:t>
      </w:r>
    </w:p>
    <w:p>
      <w:pPr>
        <w:pStyle w:val="Heading3"/>
        <w:spacing w:after="120" w:before="220"/>
      </w:pPr>
      <w:r>
        <w:rPr>
          <w:rFonts w:ascii="Garamond" w:cs="Garamond" w:eastAsia="Garamond" w:hAnsi="Garamond"/>
          <w:b/>
          <w:bCs/>
          <w:i/>
          <w:iCs/>
          <w:color w:val="0F172A"/>
          <w:sz w:val="24"/>
          <w:szCs w:val="24"/>
        </w:rPr>
        <w:t xml:space="preserve">6.4  The four-step methylation framework</w:t>
      </w:r>
    </w:p>
    <w:p>
      <w:pPr>
        <w:spacing w:after="120" w:before="100" w:line="320"/>
        <w:jc w:val="both"/>
      </w:pPr>
      <w:r>
        <w:rPr>
          <w:rFonts w:ascii="Garamond" w:cs="Garamond" w:eastAsia="Garamond" w:hAnsi="Garamond"/>
          <w:b w:val="false"/>
          <w:bCs w:val="false"/>
          <w:i w:val="false"/>
          <w:iCs w:val="false"/>
          <w:color w:val="1A1A1A"/>
          <w:sz w:val="22"/>
          <w:szCs w:val="22"/>
        </w:rPr>
        <w:t xml:space="preserve">The fourth major development is the explicit naming of the four-step methylation pattern: identify, capture, transform, rewrite. This pattern emerges from comparing the documented fragmentation events across streams. The successor system identifies the integrated package, captures the carrier-class by absorbing them, transforms the package by fragmenting it into specialised disciplines, and rewrites the package by claiming each fragment as its own original creation. The methylation metaphor preserves the key insight: the substrate's information survives the methylation, and modern recovery work lets us read back through the layers.</w:t>
      </w:r>
    </w:p>
    <w:p>
      <w:pPr>
        <w:pStyle w:val="Heading3"/>
        <w:spacing w:after="120" w:before="220"/>
      </w:pPr>
      <w:r>
        <w:rPr>
          <w:rFonts w:ascii="Garamond" w:cs="Garamond" w:eastAsia="Garamond" w:hAnsi="Garamond"/>
          <w:b/>
          <w:bCs/>
          <w:i/>
          <w:iCs/>
          <w:color w:val="0F172A"/>
          <w:sz w:val="24"/>
          <w:szCs w:val="24"/>
        </w:rPr>
        <w:t xml:space="preserve">6.5  This work as a Phase Six contribution</w:t>
      </w:r>
    </w:p>
    <w:p>
      <w:pPr>
        <w:spacing w:after="120" w:before="100" w:line="320"/>
        <w:jc w:val="both"/>
      </w:pPr>
      <w:r>
        <w:rPr>
          <w:rFonts w:ascii="Garamond" w:cs="Garamond" w:eastAsia="Garamond" w:hAnsi="Garamond"/>
          <w:b w:val="false"/>
          <w:bCs w:val="false"/>
          <w:i w:val="false"/>
          <w:iCs w:val="false"/>
          <w:color w:val="1F2937"/>
          <w:sz w:val="22"/>
          <w:szCs w:val="22"/>
        </w:rPr>
        <w:t xml:space="preserve">This document and the corpus it sits within — the formal substrate paper, the validation metrics ledger, the storyboards, the DNA kindred-flow map, the testaments-of-the-threshold pattern-match, the fables-and-transactions analysis, and this full-story walk-through — are intended as a Phase Six contribution. The work is built on open-source data, peer-reviewed publications, and primary-source ancient and medieval testimony. The integration is the contribution. The component evidence is established. What this work does is assemble the existing evidence into a single integrated reading rather than treating each phase as a separate problem.</w:t>
      </w:r>
    </w:p>
    <w:p>
      <w:pPr>
        <w:spacing w:after="120" w:before="100" w:line="320"/>
        <w:jc w:val="both"/>
      </w:pPr>
      <w:r>
        <w:rPr>
          <w:rFonts w:ascii="Garamond" w:cs="Garamond" w:eastAsia="Garamond" w:hAnsi="Garamond"/>
          <w:b w:val="false"/>
          <w:bCs w:val="false"/>
          <w:i w:val="false"/>
          <w:iCs w:val="false"/>
          <w:color w:val="1F2937"/>
          <w:sz w:val="22"/>
          <w:szCs w:val="22"/>
        </w:rPr>
        <w:t xml:space="preserve">Where the evidence is strong it is presented as strong. Where the evidence is suggestive but not yet decisive it is presented as suggestive. Where statistical tests have failed — three test designs on the strong-form phi-encoding claim have produced null results — the failures are reported alongside the survivals. The substrate is real and continuous as a kindred network and as an architectural-calendrical tradition. The strong-form geometric-encoding claim has not yet survived testing. Both statements are part of the same honest reading.</w:t>
      </w:r>
    </w:p>
    <w:p>
      <w:pPr>
        <w:pStyle w:val="Heading3"/>
        <w:spacing w:after="120" w:before="220"/>
      </w:pPr>
      <w:r>
        <w:rPr>
          <w:rFonts w:ascii="Garamond" w:cs="Garamond" w:eastAsia="Garamond" w:hAnsi="Garamond"/>
          <w:b/>
          <w:bCs/>
          <w:i/>
          <w:iCs/>
          <w:color w:val="0F172A"/>
          <w:sz w:val="24"/>
          <w:szCs w:val="24"/>
        </w:rPr>
        <w:t xml:space="preserve">6.6  What comes next</w:t>
      </w:r>
    </w:p>
    <w:p>
      <w:pPr>
        <w:spacing w:after="120" w:before="100" w:line="320"/>
        <w:jc w:val="both"/>
      </w:pPr>
      <w:r>
        <w:rPr>
          <w:rFonts w:ascii="Garamond" w:cs="Garamond" w:eastAsia="Garamond" w:hAnsi="Garamond"/>
          <w:b w:val="false"/>
          <w:bCs w:val="false"/>
          <w:i w:val="false"/>
          <w:iCs w:val="false"/>
          <w:color w:val="1A1A1A"/>
          <w:sz w:val="22"/>
          <w:szCs w:val="22"/>
        </w:rPr>
        <w:t xml:space="preserve">The corpus has identified several future work streams that would extend the Phase Six recovery. Direct genetic continuity tests from Newgrange-era passage-tomb burials to medieval Argyll-Hebridean clan-founder remains. The I2d-Y3709 distribution analysis in modern Argyll-clan descendants (MacDougall, MacDonald, Campbell) using surname-cluster Y-haplotype databases. RTI data acquisition for Maeshowe inscription Nr.15 from the Archaeology Data Service York. Transcript-readings of the Children of Lir, the Voyage of Mael Dúin, the Lebor Gabála Érenn, and the Norse Vinland sagas using the Brendan-transcript method. Cross-latitude calendar-sky correspondence tests at Newgrange, Almendres, Carnac, and Maeshowe. Antarctic geophysical cross-reference of the candidate site at -86.07°S, 112.29°E against BEDMAP3, ADMAP-2.0, and the Aitken 2014 Wilkes Land subglacial fault-system documentation.</w:t>
      </w:r>
    </w:p>
    <w:p>
      <w:pPr>
        <w:spacing w:after="120" w:before="100" w:line="320"/>
        <w:jc w:val="both"/>
      </w:pPr>
      <w:r>
        <w:rPr>
          <w:rFonts w:ascii="Garamond" w:cs="Garamond" w:eastAsia="Garamond" w:hAnsi="Garamond"/>
          <w:b w:val="false"/>
          <w:bCs w:val="false"/>
          <w:i w:val="false"/>
          <w:iCs w:val="false"/>
          <w:color w:val="1F2937"/>
          <w:sz w:val="22"/>
          <w:szCs w:val="22"/>
        </w:rPr>
        <w:t xml:space="preserve">Each future work stream extends the integrated picture in a specific testable direction. None depends on any single claim being right. The substrate's reality as a continuous kindred network and architectural-calendrical tradition is established by the existing evidence. The future work refines specific claims within that established frame.</w:t>
      </w:r>
    </w:p>
    <w:p>
      <w:pPr>
        <w:pStyle w:val="Heading1"/>
        <w:pageBreakBefore/>
        <w:spacing w:after="220" w:before="480"/>
      </w:pPr>
      <w:r>
        <w:rPr>
          <w:rFonts w:ascii="Garamond" w:cs="Garamond" w:eastAsia="Garamond" w:hAnsi="Garamond"/>
          <w:b/>
          <w:bCs/>
          <w:color w:val="0F172A"/>
          <w:sz w:val="36"/>
          <w:szCs w:val="36"/>
        </w:rPr>
        <w:t xml:space="preserve">Epilogue: the full story summarised</w:t>
      </w:r>
    </w:p>
    <w:p>
      <w:pPr>
        <w:spacing w:after="120" w:before="100" w:line="320"/>
        <w:jc w:val="both"/>
      </w:pPr>
      <w:r>
        <w:rPr>
          <w:rFonts w:ascii="Garamond" w:cs="Garamond" w:eastAsia="Garamond" w:hAnsi="Garamond"/>
          <w:b w:val="false"/>
          <w:bCs w:val="false"/>
          <w:i w:val="false"/>
          <w:iCs w:val="false"/>
          <w:color w:val="1A1A1A"/>
          <w:sz w:val="22"/>
          <w:szCs w:val="22"/>
        </w:rPr>
        <w:t xml:space="preserve">The Atlantic substrate operated as an integrated kindred-organised maritime network from approximately 5500 BCE in the Iberian Mesolithic through the late fifteenth century CE in the Hebridean corridor. Its biological continuity is documented in five peer-reviewed ancient-DNA studies covering approximately 1,200 ancient genomes. Its architectural continuity is documented in the spine of dated alignments from Almendres at 5500 BCE through Carnac at 4500 BCE, Newgrange at 3200 BCE, Maeshowe at 2800 BCE, and Stonehenge at 2500 BCE. Its calendrical continuity is documented in the Coligny calendar artifact, the Brendan transcript timing, and the lunisolar Metonic mathematics that runs across all phases. Its political continuity is documented in the kindred-cenél structure of Dalriada inheriting the Atlantic Neolithic kindred form into the medieval period and persisting through Somerled's emergence in 1153 CE to the Lordship of the Isles in 1493 CE.</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operating-system is independently encoded in seven major testament-streams from cultures with no plausible pre-modern transmission contact. The Pythagorean-Hellenic, Roman-geographic, Polynesian, Atlantic-Irish immrama, Egyptian, Vedic-Buddhist, and Hopi-Pueblo traditions all preserve the same five-key framework. The convergence is the evidence of a shared underlying operating-system.</w:t>
      </w:r>
    </w:p>
    <w:p>
      <w:pPr>
        <w:spacing w:after="120" w:before="100" w:line="320"/>
        <w:jc w:val="both"/>
      </w:pPr>
      <w:r>
        <w:rPr>
          <w:rFonts w:ascii="Garamond" w:cs="Garamond" w:eastAsia="Garamond" w:hAnsi="Garamond"/>
          <w:b w:val="false"/>
          <w:bCs w:val="false"/>
          <w:i w:val="false"/>
          <w:iCs w:val="false"/>
          <w:color w:val="1A1A1A"/>
          <w:sz w:val="22"/>
          <w:szCs w:val="22"/>
        </w:rPr>
        <w:t xml:space="preserve">The substrate's transmission to home cultures, integration as unified packages, fragmentation by religious and imperial factions, dispersion across specialised institutional homes, and progressive recovery through modern cross-disciplinary work form a six-phase arc that explains both why the substrate is real and why it has been hard to see. The fragments are still extant. The integration is what we are now reconstructing.</w:t>
      </w:r>
    </w:p>
    <w:p>
      <w:pPr>
        <w:spacing w:after="120" w:before="100" w:line="320"/>
        <w:jc w:val="both"/>
      </w:pPr>
      <w:r>
        <w:rPr>
          <w:rFonts w:ascii="Garamond" w:cs="Garamond" w:eastAsia="Garamond" w:hAnsi="Garamond"/>
          <w:b w:val="false"/>
          <w:bCs w:val="false"/>
          <w:i w:val="false"/>
          <w:iCs w:val="false"/>
          <w:color w:val="1F2937"/>
          <w:sz w:val="22"/>
          <w:szCs w:val="22"/>
        </w:rPr>
        <w:t xml:space="preserve">The work is offered as evidence-board for the substrate's reality, with every claim anchored to its primary source via the accompanying Validation Metrics Ledger v1, with statistical tests reported honestly including the failures, and with future work streams identified to extend the recovery in specific testable directions.</w:t>
      </w:r>
    </w:p>
    <w:p>
      <w:pPr>
        <w:pBdr>
          <w:bottom w:val="single" w:color="C8A45A" w:sz="6" w:space="1"/>
        </w:pBdr>
        <w:spacing w:after="160" w:before="100"/>
      </w:pPr>
      <w:r>
        <w:t xml:space="preserve"/>
      </w:r>
    </w:p>
    <w:p>
      <w:pPr>
        <w:spacing w:after="120" w:before="100" w:line="320"/>
        <w:jc w:val="both"/>
      </w:pPr>
      <w:r>
        <w:rPr>
          <w:rFonts w:ascii="Garamond" w:cs="Garamond" w:eastAsia="Garamond" w:hAnsi="Garamond"/>
          <w:b w:val="false"/>
          <w:bCs w:val="false"/>
          <w:i w:val="false"/>
          <w:iCs w:val="false"/>
          <w:color w:val="1A1A1A"/>
          <w:sz w:val="19"/>
          <w:szCs w:val="19"/>
        </w:rPr>
        <w:t xml:space="preserve">This walk-through stands within a corpus of related documents. The_Atlantic_Substrate_v1.docx is the formal working paper. Validation_Metrics_Ledger_v1.docx is the audit trail. From_A_to_B_v1.docx is the reader walk-through. The storyboards (atlantic_substrate_storyboard_v3.png, dna_kindred_flow_map.png, brendan_storyboard.png, druid_storyboard.png, testaments_threshold.png, fables_transactions.png) provide the visual evidence-board layer. Together they form the integrated submission package for ResearchGate and Academia.edu publication.</w:t>
      </w:r>
    </w:p>
    <w:p>
      <w:pPr>
        <w:pBdr>
          <w:bottom w:val="single" w:color="C8A45A" w:sz="6" w:space="1"/>
        </w:pBdr>
        <w:spacing w:after="160" w:before="100"/>
      </w:pPr>
      <w:r>
        <w:t xml:space="preserve"/>
      </w:r>
    </w:p>
    <w:p>
      <w:pPr>
        <w:spacing w:after="120" w:before="100" w:line="320"/>
        <w:jc w:val="both"/>
      </w:pPr>
      <w:r>
        <w:rPr>
          <w:rFonts w:ascii="Garamond" w:cs="Garamond" w:eastAsia="Garamond" w:hAnsi="Garamond"/>
          <w:b w:val="false"/>
          <w:bCs w:val="false"/>
          <w:i/>
          <w:iCs/>
          <w:color w:val="777777"/>
          <w:sz w:val="16"/>
          <w:szCs w:val="16"/>
        </w:rPr>
        <w:t xml:space="preserve">© 2026 Gary Anthony Leckey. Aureon Institute / R&amp;A Consulting and Brokerage Services Ltd. Belfast, Northern Ireland. Full-story edition v1.0. All cited data is open-source and peer-reviewed where applicable.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9"/>
        <w:szCs w:val="19"/>
      </w:rPr>
      <w:t xml:space="preserve">page </w:t>
    </w:r>
    <w:r>
      <w:rPr>
        <w:rFonts w:ascii="Garamond" w:cs="Garamond" w:eastAsia="Garamond" w:hAnsi="Garamond"/>
        <w:color w:val="888888"/>
        <w:sz w:val="19"/>
        <w:szCs w:val="19"/>
      </w:rPr>
      <w:fldChar w:fldCharType="begin"/>
      <w:instrText xml:space="preserve">PAGE</w:instrText>
      <w:fldChar w:fldCharType="separate"/>
      <w:fldChar w:fldCharType="end"/>
    </w:r>
    <w:r>
      <w:rPr>
        <w:rFonts w:ascii="Garamond" w:cs="Garamond" w:eastAsia="Garamond" w:hAnsi="Garamond"/>
        <w:color w:val="888888"/>
        <w:sz w:val="19"/>
        <w:szCs w:val="19"/>
      </w:rPr>
      <w:t xml:space="preserve"> of </w:t>
    </w:r>
    <w:r>
      <w:rPr>
        <w:rFonts w:ascii="Garamond" w:cs="Garamond" w:eastAsia="Garamond" w:hAnsi="Garamond"/>
        <w:color w:val="888888"/>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9"/>
        <w:szCs w:val="19"/>
      </w:rPr>
      <w:t xml:space="preserve">The Atlantic Substrate — The Full Story  ·  G.A. Leckey  ·  Aureon Institute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0F172A"/>
      <w:sz w:val="36"/>
      <w:szCs w:val="36"/>
    </w:rPr>
  </w:style>
  <w:style w:type="paragraph" w:styleId="Heading2">
    <w:name w:val="Heading 2"/>
    <w:basedOn w:val="Normal"/>
    <w:next w:val="Normal"/>
    <w:qFormat/>
    <w:pPr>
      <w:spacing w:after="160" w:before="320"/>
      <w:outlineLvl w:val="1"/>
    </w:pPr>
    <w:rPr>
      <w:rFonts w:ascii="Garamond" w:cs="Garamond" w:eastAsia="Garamond" w:hAnsi="Garamond"/>
      <w:b/>
      <w:bCs/>
      <w:color w:val="8B6F2A"/>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i/>
      <w:i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Atlantic Substrate — The Full Story</dc:title>
  <dc:creator>Gary Anthony Leckey, Aureon Institute</dc:creator>
  <dc:description>Full-story edition v1.0</dc:description>
  <cp:lastModifiedBy>Un-named</cp:lastModifiedBy>
  <cp:revision>1</cp:revision>
  <dcterms:created xsi:type="dcterms:W3CDTF">2026-05-02T08:53:57.157Z</dcterms:created>
  <dcterms:modified xsi:type="dcterms:W3CDTF">2026-05-02T08:53:57.158Z</dcterms:modified>
</cp:coreProperties>
</file>

<file path=docProps/custom.xml><?xml version="1.0" encoding="utf-8"?>
<Properties xmlns="http://schemas.openxmlformats.org/officeDocument/2006/custom-properties" xmlns:vt="http://schemas.openxmlformats.org/officeDocument/2006/docPropsVTypes"/>
</file>