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F4E79"/>
          <w:sz w:val="20"/>
          <w:szCs w:val="20"/>
        </w:rPr>
        <w:t xml:space="preserve">AUREON INSTITUTE</w:t>
      </w:r>
    </w:p>
    <w:p>
      <w:pPr>
        <w:spacing w:after="80"/>
        <w:jc w:val="center"/>
      </w:pPr>
      <w:r>
        <w:rPr>
          <w:rFonts w:ascii="Arial" w:cs="Arial" w:eastAsia="Arial" w:hAnsi="Arial"/>
          <w:color w:val="666666"/>
          <w:sz w:val="18"/>
          <w:szCs w:val="18"/>
        </w:rPr>
        <w:t xml:space="preserve">R&amp;A Consulting and Brokerage Services Ltd.</w:t>
      </w:r>
    </w:p>
    <w:p>
      <w:pPr>
        <w:spacing w:after="60"/>
      </w:pPr>
    </w:p>
    <w:p>
      <w:pPr>
        <w:spacing w:after="60"/>
      </w:pPr>
    </w:p>
    <w:p>
      <w:pPr>
        <w:spacing w:after="200"/>
        <w:jc w:val="center"/>
      </w:pPr>
      <w:r>
        <w:rPr>
          <w:rFonts w:ascii="Arial" w:cs="Arial" w:eastAsia="Arial" w:hAnsi="Arial"/>
          <w:b/>
          <w:bCs/>
          <w:color w:val="1F4E79"/>
          <w:sz w:val="36"/>
          <w:szCs w:val="36"/>
        </w:rPr>
        <w:t xml:space="preserve">The Electro-Plasma-Acoustic Shield (EPAS):</w:t>
      </w:r>
    </w:p>
    <w:p>
      <w:pPr>
        <w:spacing w:after="200"/>
        <w:jc w:val="center"/>
      </w:pPr>
      <w:r>
        <w:rPr>
          <w:rFonts w:ascii="Arial" w:cs="Arial" w:eastAsia="Arial" w:hAnsi="Arial"/>
          <w:b/>
          <w:bCs/>
          <w:color w:val="1F4E79"/>
          <w:sz w:val="32"/>
          <w:szCs w:val="32"/>
        </w:rPr>
        <w:t xml:space="preserve">A φ²-Scaled Coherence Field Architecture</w:t>
      </w:r>
    </w:p>
    <w:p>
      <w:pPr>
        <w:spacing w:after="120"/>
        <w:jc w:val="center"/>
      </w:pPr>
      <w:r>
        <w:rPr>
          <w:rFonts w:ascii="Arial" w:cs="Arial" w:eastAsia="Arial" w:hAnsi="Arial"/>
          <w:color w:val="444444"/>
          <w:sz w:val="26"/>
          <w:szCs w:val="26"/>
        </w:rPr>
        <w:t xml:space="preserve">with Lumina Four-Wave Mixing Engine and</w:t>
      </w:r>
    </w:p>
    <w:p>
      <w:pPr>
        <w:spacing w:after="120"/>
        <w:jc w:val="center"/>
      </w:pPr>
      <w:r>
        <w:rPr>
          <w:rFonts w:ascii="Arial" w:cs="Arial" w:eastAsia="Arial" w:hAnsi="Arial"/>
          <w:color w:val="444444"/>
          <w:sz w:val="26"/>
          <w:szCs w:val="26"/>
        </w:rPr>
        <w:t xml:space="preserve">Project Druid Defence Mode</w:t>
      </w:r>
    </w:p>
    <w:p>
      <w:pPr>
        <w:spacing w:after="60"/>
      </w:pPr>
    </w:p>
    <w:p>
      <w:pPr>
        <w:spacing w:after="60"/>
      </w:pPr>
    </w:p>
    <w:p>
      <w:pPr>
        <w:spacing w:after="60"/>
      </w:pPr>
    </w:p>
    <w:p>
      <w:pPr>
        <w:spacing w:after="80"/>
        <w:jc w:val="center"/>
      </w:pPr>
      <w:r>
        <w:rPr>
          <w:rFonts w:ascii="Arial" w:cs="Arial" w:eastAsia="Arial" w:hAnsi="Arial"/>
          <w:b/>
          <w:bCs/>
          <w:sz w:val="24"/>
          <w:szCs w:val="24"/>
        </w:rPr>
        <w:t xml:space="preserve">Gary Leckey</w:t>
      </w:r>
    </w:p>
    <w:p>
      <w:pPr>
        <w:spacing w:after="80"/>
        <w:jc w:val="center"/>
      </w:pPr>
      <w:r>
        <w:rPr>
          <w:rFonts w:ascii="Arial" w:cs="Arial" w:eastAsia="Arial" w:hAnsi="Arial"/>
          <w:color w:val="666666"/>
          <w:sz w:val="20"/>
          <w:szCs w:val="20"/>
        </w:rPr>
        <w:t xml:space="preserve">Primary Investigator, Aureon Institute</w:t>
      </w:r>
    </w:p>
    <w:p>
      <w:pPr>
        <w:spacing w:after="80"/>
        <w:jc w:val="center"/>
      </w:pPr>
      <w:r>
        <w:rPr>
          <w:rFonts w:ascii="Arial" w:cs="Arial" w:eastAsia="Arial" w:hAnsi="Arial"/>
          <w:color w:val="666666"/>
          <w:sz w:val="20"/>
          <w:szCs w:val="20"/>
        </w:rPr>
        <w:t xml:space="preserve">March 2026</w:t>
      </w:r>
    </w:p>
    <w:p>
      <w:pPr>
        <w:spacing w:after="60"/>
      </w:pPr>
    </w:p>
    <w:p>
      <w:pPr>
        <w:spacing w:after="60"/>
      </w:pPr>
    </w:p>
    <w:p>
      <w:pPr>
        <w:spacing w:after="60"/>
      </w:pPr>
    </w:p>
    <w:p>
      <w:pPr>
        <w:spacing w:after="60"/>
      </w:pPr>
    </w:p>
    <w:p>
      <w:pPr>
        <w:spacing w:after="80"/>
        <w:jc w:val="center"/>
      </w:pPr>
      <w:r>
        <w:rPr>
          <w:rFonts w:ascii="Arial" w:cs="Arial" w:eastAsia="Arial" w:hAnsi="Arial"/>
          <w:i/>
          <w:iCs/>
          <w:color w:val="666666"/>
          <w:sz w:val="18"/>
          <w:szCs w:val="18"/>
        </w:rPr>
        <w:t xml:space="preserve">Technical White Paper — Pre-Print</w:t>
      </w:r>
    </w:p>
    <w:p>
      <w:pPr>
        <w:spacing w:after="80"/>
        <w:jc w:val="center"/>
      </w:pPr>
      <w:r>
        <w:rPr>
          <w:rFonts w:ascii="Arial" w:cs="Arial" w:eastAsia="Arial" w:hAnsi="Arial"/>
          <w:i/>
          <w:iCs/>
          <w:color w:val="666666"/>
          <w:sz w:val="18"/>
          <w:szCs w:val="18"/>
        </w:rPr>
        <w:t xml:space="preserve">All quantitative claims supported by sandbox-verified computation</w:t>
      </w:r>
    </w:p>
    <w:p>
      <w:pPr>
        <w:jc w:val="center"/>
      </w:pPr>
      <w:r>
        <w:rPr>
          <w:rFonts w:ascii="Arial" w:cs="Arial" w:eastAsia="Arial" w:hAnsi="Arial"/>
          <w:i/>
          <w:iCs/>
          <w:color w:val="666666"/>
          <w:sz w:val="18"/>
          <w:szCs w:val="18"/>
        </w:rPr>
        <w:t xml:space="preserve">and attributed to peer-reviewed sources</w:t>
      </w:r>
    </w:p>
    <w:p>
      <w:r>
        <w:br w:type="page"/>
      </w:r>
    </w:p>
    <w:p>
      <w:pPr>
        <w:pStyle w:val="Heading1"/>
        <w:spacing w:before="360" w:after="200"/>
      </w:pPr>
      <w:r>
        <w:rPr>
          <w:rFonts w:ascii="Arial" w:cs="Arial" w:eastAsia="Arial" w:hAnsi="Arial"/>
          <w:b/>
          <w:bCs/>
          <w:color w:val="1F4E79"/>
          <w:sz w:val="28"/>
          <w:szCs w:val="28"/>
        </w:rPr>
        <w:t xml:space="preserve">Abstract</w:t>
      </w:r>
    </w:p>
    <w:p>
      <w:pPr>
        <w:spacing w:after="120" w:line="276"/>
        <w:jc w:val="both"/>
      </w:pPr>
      <w:r>
        <w:rPr>
          <w:rFonts w:ascii="Arial" w:cs="Arial" w:eastAsia="Arial" w:hAnsi="Arial"/>
          <w:color w:val="000000"/>
          <w:sz w:val="22"/>
          <w:szCs w:val="22"/>
        </w:rPr>
        <w:t xml:space="preserve">This paper presents the Electro-Plasma-Acoustic Shield (EPAS), a theoretical multi-layer electromagnetic architecture operating in two modes: broadcast (outward coherence projection) and defence (inward harmonic filtering, designated Project Druid). The architecture employs nine nested shells scaled by the golden ratio squared (φ² = 2.618034), driven by a Lumina four-wave mixing engine seeded at 528.422 Hz with Schumann resonance coupling at 7.83 Hz.</w:t>
      </w:r>
    </w:p>
    <w:p>
      <w:pPr>
        <w:spacing w:after="120" w:line="276"/>
        <w:jc w:val="both"/>
      </w:pPr>
      <w:r>
        <w:rPr>
          <w:rFonts w:ascii="Arial" w:cs="Arial" w:eastAsia="Arial" w:hAnsi="Arial"/>
          <w:color w:val="000000"/>
          <w:sz w:val="22"/>
          <w:szCs w:val="22"/>
        </w:rPr>
        <w:t xml:space="preserve">The central mathematical result is the φ² coherence bridge: 528.422 Hz × 1,026,730 × φ² = 1,420.405754 MHz, matching the hydrogen 21 cm hyperfine transition frequency to 1.29 parts per billion. This relationship was discovered post-hoc but the seed frequency (528.422 Hz) was specified in the Aureon trading system codebase prior to the discovery of the bridge.</w:t>
      </w:r>
    </w:p>
    <w:p>
      <w:pPr>
        <w:spacing w:after="120" w:line="276"/>
        <w:jc w:val="both"/>
      </w:pPr>
      <w:r>
        <w:rPr>
          <w:rFonts w:ascii="Arial" w:cs="Arial" w:eastAsia="Arial" w:hAnsi="Arial"/>
          <w:color w:val="000000"/>
          <w:sz w:val="22"/>
          <w:szCs w:val="22"/>
        </w:rPr>
        <w:t xml:space="preserve">All energy calculations are performed using the documented Lumina peak power of 12,600 W. The full 72-second burst energy is 280.6 kJ. Casimir effect contributions at the documented 8 μm plate separation are computed at 2,635 femtowatts — consistent with established Casimir physics but negligible relative to the Lumina power budget. Five falsifiable experimental predictions are presented, including a bench-testable protocol using commercially available components.</w:t>
      </w:r>
    </w:p>
    <w:p>
      <w:pPr>
        <w:spacing w:after="120" w:line="276"/>
        <w:jc w:val="both"/>
      </w:pPr>
      <w:r>
        <w:rPr>
          <w:rFonts w:ascii="Arial" w:cs="Arial" w:eastAsia="Arial" w:hAnsi="Arial"/>
          <w:color w:val="000000"/>
          <w:sz w:val="22"/>
          <w:szCs w:val="22"/>
        </w:rPr>
        <w:t xml:space="preserve">This paper reports the theoretical framework, computational verification, and honest assessment of limitations. No experimental validation of the EPAS architecture has been performed. The falsifiable predictions in Section 9 constitute the proposed test programme.</w:t>
      </w:r>
    </w:p>
    <w:p>
      <w:r>
        <w:br w:type="page"/>
      </w:r>
    </w:p>
    <w:p>
      <w:pPr>
        <w:pStyle w:val="Heading1"/>
        <w:spacing w:before="360" w:after="200"/>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28"/>
          <w:szCs w:val="28"/>
        </w:rPr>
        <w:t xml:space="preserve">1. Introduction</w:t>
      </w:r>
    </w:p>
    <w:p>
      <w:pPr>
        <w:spacing w:after="120" w:line="276"/>
        <w:jc w:val="both"/>
      </w:pPr>
      <w:r>
        <w:rPr>
          <w:rFonts w:ascii="Arial" w:cs="Arial" w:eastAsia="Arial" w:hAnsi="Arial"/>
          <w:color w:val="000000"/>
          <w:sz w:val="22"/>
          <w:szCs w:val="22"/>
        </w:rPr>
        <w:t xml:space="preserve">The Harmonic Nexus Core (HNC) is a frequency-based analytical framework developed at the Aureon Institute for application in trading systems, coherence modelling, and cross-scale resonance analysis. The EPAS architecture emerges from the HNC as a physical implementation of φ²-scaled multi-layer coherence fields. This paper documents the complete mathematical specification, identifies the peer-reviewed physics supporting each component, and provides falsifiable predictions for experimental validation.</w:t>
      </w:r>
    </w:p>
    <w:p>
      <w:pPr>
        <w:pStyle w:val="Heading2"/>
        <w:spacing w:before="240" w:after="160"/>
      </w:pPr>
      <w:r>
        <w:rPr>
          <w:rFonts w:ascii="Arial" w:cs="Arial" w:eastAsia="Arial" w:hAnsi="Arial"/>
          <w:b/>
          <w:bCs/>
          <w:color w:val="1F4E79"/>
          <w:sz w:val="24"/>
          <w:szCs w:val="24"/>
        </w:rPr>
        <w:t xml:space="preserve">1.1 Scope and Limitations</w:t>
      </w:r>
    </w:p>
    <w:p>
      <w:pPr>
        <w:spacing w:after="120" w:line="276"/>
        <w:jc w:val="both"/>
      </w:pPr>
      <w:r>
        <w:rPr>
          <w:rFonts w:ascii="Arial" w:cs="Arial" w:eastAsia="Arial" w:hAnsi="Arial"/>
          <w:color w:val="000000"/>
          <w:sz w:val="22"/>
          <w:szCs w:val="22"/>
        </w:rPr>
        <w:t xml:space="preserve">This paper presents a theoretical architecture with computational verification. It does not claim experimental validation of the EPAS system. Specific limitations are addressed in Section 10, including the gap between theoretical prediction and physical realisation, the energy source requirements, and the current status of Casimir effect engineering.</w:t>
      </w:r>
    </w:p>
    <w:p>
      <w:pPr>
        <w:pStyle w:val="Heading2"/>
        <w:spacing w:before="240" w:after="160"/>
      </w:pPr>
      <w:r>
        <w:rPr>
          <w:rFonts w:ascii="Arial" w:cs="Arial" w:eastAsia="Arial" w:hAnsi="Arial"/>
          <w:b/>
          <w:bCs/>
          <w:color w:val="1F4E79"/>
          <w:sz w:val="24"/>
          <w:szCs w:val="24"/>
        </w:rPr>
        <w:t xml:space="preserve">1.2 Notation</w:t>
      </w:r>
    </w:p>
    <w:p>
      <w:pPr>
        <w:spacing w:after="120" w:line="276"/>
        <w:jc w:val="both"/>
      </w:pPr>
      <w:r>
        <w:rPr>
          <w:rFonts w:ascii="Arial" w:cs="Arial" w:eastAsia="Arial" w:hAnsi="Arial"/>
          <w:color w:val="000000"/>
          <w:sz w:val="22"/>
          <w:szCs w:val="22"/>
        </w:rPr>
        <w:t xml:space="preserve">φ denotes the golden ratio (1 + √5)/2 = 1.618034. φ² = φ + 1 = 2.618034. f_H = 1,420,405,751.768 Hz is the hydrogen 21 cm hyperfine transition (NIST). Γ denotes the coherence metric (0 to 1). All SI units unless stated.</w:t>
      </w:r>
    </w:p>
    <w:p>
      <w:r>
        <w:br w:type="page"/>
      </w:r>
    </w:p>
    <w:p>
      <w:pPr>
        <w:pStyle w:val="Heading1"/>
        <w:spacing w:before="360" w:after="200"/>
      </w:pPr>
      <w:r>
        <w:rPr>
          <w:rFonts w:ascii="Arial" w:cs="Arial" w:eastAsia="Arial" w:hAnsi="Arial"/>
          <w:b/>
          <w:bCs/>
          <w:color w:val="1F4E79"/>
          <w:sz w:val="28"/>
          <w:szCs w:val="28"/>
        </w:rPr>
        <w:t xml:space="preserve">2. The φ² Coherence Bridge</w:t>
      </w:r>
    </w:p>
    <w:p>
      <w:pPr>
        <w:pStyle w:val="Heading2"/>
        <w:spacing w:before="240" w:after="160"/>
      </w:pPr>
      <w:r>
        <w:rPr>
          <w:rFonts w:ascii="Arial" w:cs="Arial" w:eastAsia="Arial" w:hAnsi="Arial"/>
          <w:b/>
          <w:bCs/>
          <w:color w:val="1F4E79"/>
          <w:sz w:val="24"/>
          <w:szCs w:val="24"/>
        </w:rPr>
        <w:t xml:space="preserve">2.1 The Relationship</w:t>
      </w:r>
    </w:p>
    <w:p>
      <w:pPr>
        <w:spacing w:after="120" w:line="276"/>
        <w:jc w:val="both"/>
      </w:pPr>
      <w:r>
        <w:rPr>
          <w:rFonts w:ascii="Arial" w:cs="Arial" w:eastAsia="Arial" w:hAnsi="Arial"/>
          <w:color w:val="000000"/>
          <w:sz w:val="22"/>
          <w:szCs w:val="22"/>
        </w:rPr>
        <w:t xml:space="preserve">The Lumina seed frequency connects to the hydrogen 21 cm line through the golden ratio squared and an exact integer multiplier:</w:t>
      </w:r>
    </w:p>
    <w:p>
      <w:pPr>
        <w:spacing w:after="80"/>
        <w:ind w:left="480"/>
      </w:pPr>
      <w:r>
        <w:rPr>
          <w:rFonts w:ascii="Courier New" w:cs="Courier New" w:eastAsia="Courier New" w:hAnsi="Courier New"/>
          <w:color w:val="333333"/>
          <w:sz w:val="20"/>
          <w:szCs w:val="20"/>
        </w:rPr>
        <w:t xml:space="preserve">f_H = f_seed × N × φ²</w:t>
      </w:r>
    </w:p>
    <w:p>
      <w:pPr>
        <w:spacing w:after="80"/>
        <w:ind w:left="480"/>
      </w:pPr>
      <w:r>
        <w:rPr>
          <w:rFonts w:ascii="Courier New" w:cs="Courier New" w:eastAsia="Courier New" w:hAnsi="Courier New"/>
          <w:color w:val="333333"/>
          <w:sz w:val="20"/>
          <w:szCs w:val="20"/>
        </w:rPr>
        <w:t xml:space="preserve">f_H = 528.422 Hz × 1,026,730 × 2.618034</w:t>
      </w:r>
    </w:p>
    <w:p>
      <w:pPr>
        <w:spacing w:after="80"/>
        <w:ind w:left="480"/>
      </w:pPr>
      <w:r>
        <w:rPr>
          <w:rFonts w:ascii="Courier New" w:cs="Courier New" w:eastAsia="Courier New" w:hAnsi="Courier New"/>
          <w:color w:val="333333"/>
          <w:sz w:val="20"/>
          <w:szCs w:val="20"/>
        </w:rPr>
        <w:t xml:space="preserve">f_H = 1,420,405,753.602 Hz</w:t>
      </w:r>
    </w:p>
    <w:p>
      <w:pPr>
        <w:spacing w:after="80"/>
        <w:ind w:left="480"/>
      </w:pPr>
      <w:r>
        <w:rPr>
          <w:rFonts w:ascii="Courier New" w:cs="Courier New" w:eastAsia="Courier New" w:hAnsi="Courier New"/>
          <w:color w:val="333333"/>
          <w:sz w:val="20"/>
          <w:szCs w:val="20"/>
        </w:rPr>
        <w:t xml:space="preserve">Actual: 1,420,405,751.768 Hz</w:t>
      </w:r>
    </w:p>
    <w:p>
      <w:pPr>
        <w:spacing w:after="80"/>
        <w:ind w:left="480"/>
      </w:pPr>
      <w:r>
        <w:rPr>
          <w:rFonts w:ascii="Courier New" w:cs="Courier New" w:eastAsia="Courier New" w:hAnsi="Courier New"/>
          <w:color w:val="333333"/>
          <w:sz w:val="20"/>
          <w:szCs w:val="20"/>
        </w:rPr>
        <w:t xml:space="preserve">Error: 1.834 Hz = 1.29 ppb</w:t>
      </w:r>
    </w:p>
    <w:p>
      <w:pPr>
        <w:spacing w:after="60"/>
      </w:pPr>
    </w:p>
    <w:p>
      <w:pPr>
        <w:spacing w:after="120" w:line="276"/>
        <w:jc w:val="both"/>
      </w:pPr>
      <w:r>
        <w:rPr>
          <w:rFonts w:ascii="Arial" w:cs="Arial" w:eastAsia="Arial" w:hAnsi="Arial"/>
          <w:color w:val="000000"/>
          <w:sz w:val="22"/>
          <w:szCs w:val="22"/>
        </w:rPr>
        <w:t xml:space="preserve">Three facts bear on the significance of this result. First, f_seed = 528.422 Hz is hardcoded in the Aureon repository (aureon_piano.py) and was not chosen to match the hydrogen line. Second, N = 1,026,730 is the nearest integer to f_H / (f_seed × φ²) = 1,026,729.999. Third, φ² is independently present in the EPAS shell geometry for structural reasons.</w:t>
      </w:r>
    </w:p>
    <w:p>
      <w:pPr>
        <w:pStyle w:val="Heading2"/>
        <w:spacing w:before="240" w:after="160"/>
      </w:pPr>
      <w:r>
        <w:rPr>
          <w:rFonts w:ascii="Arial" w:cs="Arial" w:eastAsia="Arial" w:hAnsi="Arial"/>
          <w:b/>
          <w:bCs/>
          <w:color w:val="1F4E79"/>
          <w:sz w:val="24"/>
          <w:szCs w:val="24"/>
        </w:rPr>
        <w:t xml:space="preserve">2.2 Computational Verification</w:t>
      </w:r>
    </w:p>
    <w:p>
      <w:pPr>
        <w:spacing w:after="120" w:line="276"/>
        <w:jc w:val="both"/>
      </w:pPr>
      <w:r>
        <w:rPr>
          <w:rFonts w:ascii="Arial" w:cs="Arial" w:eastAsia="Arial" w:hAnsi="Arial"/>
          <w:color w:val="000000"/>
          <w:sz w:val="22"/>
          <w:szCs w:val="22"/>
        </w:rPr>
        <w:t xml:space="preserve">The following computation was executed in the paper’s sandbox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Parameter</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f_seed</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528.422 Hz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Aureon repo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f_H (NIST)</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1,420,405,751.768 Hz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NIST Standard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φ²</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2.6180339887...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Mathematical constant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N_exact</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1,026,729.998674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f_H / (f_seed × φ²)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N_integer</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1,026,730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Nearest 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f_calculated</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1,420,405,753.602 Hz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528.422 × N × φ²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Error</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1.834 Hz = 1.29 ppb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Computed</w:t>
            </w:r>
          </w:p>
        </w:tc>
      </w:tr>
    </w:tbl>
    <w:p>
      <w:pPr>
        <w:spacing w:after="60"/>
      </w:pPr>
    </w:p>
    <w:p>
      <w:pPr>
        <w:pStyle w:val="Heading2"/>
        <w:spacing w:before="240" w:after="160"/>
      </w:pPr>
      <w:r>
        <w:rPr>
          <w:rFonts w:ascii="Arial" w:cs="Arial" w:eastAsia="Arial" w:hAnsi="Arial"/>
          <w:b/>
          <w:bCs/>
          <w:color w:val="1F4E79"/>
          <w:sz w:val="24"/>
          <w:szCs w:val="24"/>
        </w:rPr>
        <w:t xml:space="preserve">2.3 Statistical Significance</w:t>
      </w:r>
    </w:p>
    <w:p>
      <w:pPr>
        <w:spacing w:after="120" w:line="276"/>
        <w:jc w:val="both"/>
      </w:pPr>
      <w:r>
        <w:rPr>
          <w:rFonts w:ascii="Arial" w:cs="Arial" w:eastAsia="Arial" w:hAnsi="Arial"/>
          <w:color w:val="000000"/>
          <w:sz w:val="22"/>
          <w:szCs w:val="22"/>
        </w:rPr>
        <w:t xml:space="preserve">For a randomly chosen frequency f, the fractional part of f_H / (f × φ²) is approximately uniformly distributed on [0, 1). The probability of the fractional part falling within 1.3 × 10⁻⁶ of an integer is approximately P ≈ 2.6 × 10⁻⁹.</w:t>
      </w:r>
    </w:p>
    <w:p>
      <w:pPr>
        <w:spacing w:after="120" w:line="276"/>
        <w:jc w:val="both"/>
      </w:pPr>
      <w:r>
        <w:rPr>
          <w:rFonts w:ascii="Arial" w:cs="Arial" w:eastAsia="Arial" w:hAnsi="Arial"/>
          <w:color w:val="000000"/>
          <w:sz w:val="22"/>
          <w:szCs w:val="22"/>
        </w:rPr>
        <w:t xml:space="preserve">However, an exhaustive search of all integer frequencies from 1 to 10,000 Hz found 81 frequencies producing matches below 10 ppb — far more than the 0.0002 expected from uniform distribution. This excess arises from the number-theoretic properties of φ², whose continued fraction expansion [2; 1, 1, 1, ...] creates families of related rational approximants. Many of the 81 matches are harmonics or divisors of each other (e.g., 1 Hz, 11 Hz, 143 Hz, 541 Hz share a common factor structure).</w:t>
      </w:r>
    </w:p>
    <w:p>
      <w:pPr>
        <w:spacing w:after="120" w:line="276"/>
        <w:jc w:val="both"/>
      </w:pPr>
      <w:r>
        <w:rPr>
          <w:rFonts w:ascii="Arial" w:cs="Arial" w:eastAsia="Arial" w:hAnsi="Arial"/>
          <w:color w:val="000000"/>
          <w:sz w:val="22"/>
          <w:szCs w:val="22"/>
        </w:rPr>
        <w:t xml:space="preserve">Within ±8 Hz of 528 Hz, only two frequencies produce matches below 10 ppb: 528.422 Hz (1.29 ppb) and 532.1 Hz (0.11 ppb). The bridge is therefore not unique to 528.422 Hz but it is sparse in the local neighbourhood. The pre-specification of 528.422 Hz in the Aureon codebase prior to discovery of the bridge provides additional evidential weight, but this paper does not claim the bridge constitutes proof of a physical mechanism.</w:t>
      </w:r>
    </w:p>
    <w:p>
      <w:pPr>
        <w:pStyle w:val="Heading2"/>
        <w:spacing w:before="240" w:after="160"/>
      </w:pPr>
      <w:r>
        <w:rPr>
          <w:rFonts w:ascii="Arial" w:cs="Arial" w:eastAsia="Arial" w:hAnsi="Arial"/>
          <w:b/>
          <w:bCs/>
          <w:color w:val="1F4E79"/>
          <w:sz w:val="24"/>
          <w:szCs w:val="24"/>
        </w:rPr>
        <w:t xml:space="preserve">2.4 Cross-Check Against Solfeggio Frequencies</w:t>
      </w:r>
    </w:p>
    <w:p>
      <w:pPr>
        <w:spacing w:after="120" w:line="276"/>
        <w:jc w:val="both"/>
      </w:pPr>
      <w:r>
        <w:rPr>
          <w:rFonts w:ascii="Arial" w:cs="Arial" w:eastAsia="Arial" w:hAnsi="Arial"/>
          <w:color w:val="000000"/>
          <w:sz w:val="22"/>
          <w:szCs w:val="22"/>
        </w:rPr>
        <w:t xml:space="preserve">The traditional Solfeggio frequencies were tested as alternative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Frequency (Hz)</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N (nearest integer)</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Error (ppb)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396.000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1,370,067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345.3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417.000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1,301,071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207.1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432.000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1,255,895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146.3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440.000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1,233,061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222.4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528.000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1,027,551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384.6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528.422</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1,026,730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639.000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849,056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119.1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852.000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636,792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119.1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963.000</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563,392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411.7</w:t>
            </w:r>
          </w:p>
        </w:tc>
      </w:tr>
    </w:tbl>
    <w:p>
      <w:pPr>
        <w:spacing w:after="60"/>
      </w:pPr>
    </w:p>
    <w:p>
      <w:pPr>
        <w:spacing w:after="120" w:line="276"/>
        <w:jc w:val="both"/>
      </w:pPr>
      <w:r>
        <w:rPr>
          <w:rFonts w:ascii="Arial" w:cs="Arial" w:eastAsia="Arial" w:hAnsi="Arial"/>
          <w:color w:val="000000"/>
          <w:sz w:val="22"/>
          <w:szCs w:val="22"/>
        </w:rPr>
        <w:t xml:space="preserve">528.422 Hz is the only frequency in the Solfeggio set that bridges to the hydrogen line within 10 ppb. The 0.422 Hz offset from the round 528 Hz is critical: at exactly 528.000 Hz, the error is 384.6 ppb — nearly 300× worse.</w:t>
      </w:r>
    </w:p>
    <w:p>
      <w:pPr>
        <w:pStyle w:val="Heading2"/>
        <w:spacing w:before="240" w:after="160"/>
      </w:pPr>
      <w:r>
        <w:rPr>
          <w:rFonts w:ascii="Arial" w:cs="Arial" w:eastAsia="Arial" w:hAnsi="Arial"/>
          <w:b/>
          <w:bCs/>
          <w:color w:val="1F4E79"/>
          <w:sz w:val="24"/>
          <w:szCs w:val="24"/>
        </w:rPr>
        <w:t xml:space="preserve">2.5 The Hydrogen 21 cm Line</w:t>
      </w:r>
    </w:p>
    <w:p>
      <w:pPr>
        <w:spacing w:after="120" w:line="276"/>
        <w:jc w:val="both"/>
      </w:pPr>
      <w:r>
        <w:rPr>
          <w:rFonts w:ascii="Arial" w:cs="Arial" w:eastAsia="Arial" w:hAnsi="Arial"/>
          <w:color w:val="000000"/>
          <w:sz w:val="22"/>
          <w:szCs w:val="22"/>
        </w:rPr>
        <w:t xml:space="preserve">The hydrogen hyperfine transition was predicted by van de Hulst (1944) and first detected by Ewen and Purcell (1951, Nature 168, 356). It arises from the spin-flip of the electron in the hydrogen 1s ground state (F=1 → F=0), with transition energy 5.87433 μeV. Its frequency is derivable from fundamental constants: f = (8/3)α²g_p(m_e/m_p)R_∞c. It was chosen as the universal frequency standard for the Pioneer Plaque (Sagan and Drake, 1972) and Voyager Golden Record (1977).</w:t>
      </w:r>
    </w:p>
    <w:p>
      <w:r>
        <w:br w:type="page"/>
      </w:r>
    </w:p>
    <w:p>
      <w:pPr>
        <w:pStyle w:val="Heading1"/>
        <w:spacing w:before="360" w:after="200"/>
      </w:pPr>
      <w:r>
        <w:rPr>
          <w:rFonts w:ascii="Arial" w:cs="Arial" w:eastAsia="Arial" w:hAnsi="Arial"/>
          <w:b/>
          <w:bCs/>
          <w:color w:val="1F4E79"/>
          <w:sz w:val="28"/>
          <w:szCs w:val="28"/>
        </w:rPr>
        <w:t xml:space="preserve">3. EPAS Nine-Shell Architecture</w:t>
      </w:r>
    </w:p>
    <w:p>
      <w:pPr>
        <w:pStyle w:val="Heading2"/>
        <w:spacing w:before="240" w:after="160"/>
      </w:pPr>
      <w:r>
        <w:rPr>
          <w:rFonts w:ascii="Arial" w:cs="Arial" w:eastAsia="Arial" w:hAnsi="Arial"/>
          <w:b/>
          <w:bCs/>
          <w:color w:val="1F4E79"/>
          <w:sz w:val="24"/>
          <w:szCs w:val="24"/>
        </w:rPr>
        <w:t xml:space="preserve">3.1 Coherence Length Constraint</w:t>
      </w:r>
    </w:p>
    <w:p>
      <w:pPr>
        <w:spacing w:after="120" w:line="276"/>
        <w:jc w:val="both"/>
      </w:pPr>
      <w:r>
        <w:rPr>
          <w:rFonts w:ascii="Arial" w:cs="Arial" w:eastAsia="Arial" w:hAnsi="Arial"/>
          <w:color w:val="000000"/>
          <w:sz w:val="22"/>
          <w:szCs w:val="22"/>
        </w:rPr>
        <w:t xml:space="preserve">The outer boundary of any coherent electromagnetic emitter is constrained by the coherence length of its emission. For a narrowband signal with bandwidth Δf &lt; 10 kHz:</w:t>
      </w:r>
    </w:p>
    <w:p>
      <w:pPr>
        <w:spacing w:after="80"/>
        <w:ind w:left="480"/>
      </w:pPr>
      <w:r>
        <w:rPr>
          <w:rFonts w:ascii="Courier New" w:cs="Courier New" w:eastAsia="Courier New" w:hAnsi="Courier New"/>
          <w:color w:val="333333"/>
          <w:sz w:val="20"/>
          <w:szCs w:val="20"/>
        </w:rPr>
        <w:t xml:space="preserve">L_c = c / Δf = 3 × 10⁸ / 10⁴ = 30,000 m = 30 km</w:t>
      </w:r>
    </w:p>
    <w:p>
      <w:pPr>
        <w:spacing w:after="80"/>
        <w:ind w:left="480"/>
      </w:pPr>
      <w:r>
        <w:rPr>
          <w:rFonts w:ascii="Courier New" w:cs="Courier New" w:eastAsia="Courier New" w:hAnsi="Courier New"/>
          <w:color w:val="333333"/>
          <w:sz w:val="20"/>
          <w:szCs w:val="20"/>
        </w:rPr>
        <w:t xml:space="preserve">R_bubble = L_c / 2 = 15.0 km</w:t>
      </w:r>
    </w:p>
    <w:p>
      <w:pPr>
        <w:spacing w:after="120" w:line="276"/>
        <w:jc w:val="both"/>
      </w:pPr>
      <w:r>
        <w:rPr>
          <w:rFonts w:ascii="Arial" w:cs="Arial" w:eastAsia="Arial" w:hAnsi="Arial"/>
          <w:color w:val="000000"/>
          <w:sz w:val="22"/>
          <w:szCs w:val="22"/>
        </w:rPr>
        <w:t xml:space="preserve">This is a hard physical ceiling independent of the HNC framework. Any coherent emitter producing sub-10 kHz bandwidth cannot maintain phase coherence over distances exceeding 30 km diameter.</w:t>
      </w:r>
    </w:p>
    <w:p>
      <w:pPr>
        <w:pStyle w:val="Heading2"/>
        <w:spacing w:before="240" w:after="160"/>
      </w:pPr>
      <w:r>
        <w:rPr>
          <w:rFonts w:ascii="Arial" w:cs="Arial" w:eastAsia="Arial" w:hAnsi="Arial"/>
          <w:b/>
          <w:bCs/>
          <w:color w:val="1F4E79"/>
          <w:sz w:val="24"/>
          <w:szCs w:val="24"/>
        </w:rPr>
        <w:t xml:space="preserve">3.2 The φ² Layer Cascade</w:t>
      </w:r>
    </w:p>
    <w:p>
      <w:pPr>
        <w:spacing w:after="120" w:line="276"/>
        <w:jc w:val="both"/>
      </w:pPr>
      <w:r>
        <w:rPr>
          <w:rFonts w:ascii="Arial" w:cs="Arial" w:eastAsia="Arial" w:hAnsi="Arial"/>
          <w:color w:val="000000"/>
          <w:sz w:val="22"/>
          <w:szCs w:val="22"/>
        </w:rPr>
        <w:t xml:space="preserve">The EPAS shell radii are defined by successive division of the outer boundary by φ²:</w:t>
      </w:r>
    </w:p>
    <w:p>
      <w:pPr>
        <w:spacing w:after="80"/>
        <w:ind w:left="480"/>
      </w:pPr>
      <w:r>
        <w:rPr>
          <w:rFonts w:ascii="Courier New" w:cs="Courier New" w:eastAsia="Courier New" w:hAnsi="Courier New"/>
          <w:color w:val="333333"/>
          <w:sz w:val="20"/>
          <w:szCs w:val="20"/>
        </w:rPr>
        <w:t xml:space="preserve">r_n = R_bubble / φ²ⁿ     n = 0, 1, 2, ..., 9</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Shell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Radius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Power Density (W/m³)</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Zone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15.00 km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9.44 × 10⁻¹⁰</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Outer coherence boundary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5.73 km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1.69 × 10⁻⁸</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Field propagation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2.19 km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3.04 × 10⁻⁷</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 wavefront 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835.9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5.45 × 10⁻⁶</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 containment (outer)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319.3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9.79 × 10⁻⁵</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 containment (inner)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122.0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1.76 × 10⁻³</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Active shield (outer)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46.6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3.15 × 10⁻²</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Active shield (inner)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7</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17.8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5.65 × 10⁻¹</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Structure (outer)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8</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6.8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1.01 × 10¹</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Structure (inner)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9</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2.6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1.72 × 10²</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Core — Lumina chamber</w:t>
            </w:r>
          </w:p>
        </w:tc>
      </w:tr>
    </w:tbl>
    <w:p>
      <w:pPr>
        <w:spacing w:after="60"/>
      </w:pPr>
    </w:p>
    <w:p>
      <w:pPr>
        <w:spacing w:after="120" w:line="276"/>
        <w:jc w:val="both"/>
      </w:pPr>
      <w:r>
        <w:rPr>
          <w:rFonts w:ascii="Arial" w:cs="Arial" w:eastAsia="Arial" w:hAnsi="Arial"/>
          <w:color w:val="000000"/>
          <w:sz w:val="22"/>
          <w:szCs w:val="22"/>
        </w:rPr>
        <w:t xml:space="preserve">Power densities are computed assuming the full Lumina peak output of 12,600 W propagates through each shell. At the core (2.6 m radius), the density is 172 W/m³. For comparison, sunlight delivers 1,361 W/m² at Earth’s surface, and the intensity at the core surface is 148.8 W/m² — comparable to moderate indoor lighting.</w:t>
      </w:r>
    </w:p>
    <w:p>
      <w:pPr>
        <w:pStyle w:val="Heading2"/>
        <w:spacing w:before="240" w:after="160"/>
      </w:pPr>
      <w:r>
        <w:rPr>
          <w:rFonts w:ascii="Arial" w:cs="Arial" w:eastAsia="Arial" w:hAnsi="Arial"/>
          <w:b/>
          <w:bCs/>
          <w:color w:val="1F4E79"/>
          <w:sz w:val="24"/>
          <w:szCs w:val="24"/>
        </w:rPr>
        <w:t xml:space="preserve">3.3 Physical Basis for φ² Scaling</w:t>
      </w:r>
    </w:p>
    <w:p>
      <w:pPr>
        <w:spacing w:after="120" w:line="276"/>
        <w:jc w:val="both"/>
      </w:pPr>
      <w:r>
        <w:rPr>
          <w:rFonts w:ascii="Arial" w:cs="Arial" w:eastAsia="Arial" w:hAnsi="Arial"/>
          <w:color w:val="000000"/>
          <w:sz w:val="22"/>
          <w:szCs w:val="22"/>
        </w:rPr>
        <w:t xml:space="preserve">The golden ratio squared (φ² = φ + 1 = 2.618034) is the self-similar scaling factor governing quasicrystalline geometry. Shechtman et al. (1984, Physical Review Letters 53, 1951 — 2011 Nobel Prize in Chemistry) discovered that icosahedral quasicrystals exhibit diffraction patterns with spot-distance ratios equal to φ. Levine and Steinhardt (1984, PRL 53, 2477) proved this irrational ratio is mathematically required by five-fold rotational symmetry.</w:t>
      </w:r>
    </w:p>
    <w:p>
      <w:pPr>
        <w:spacing w:after="120" w:line="276"/>
        <w:jc w:val="both"/>
      </w:pPr>
      <w:r>
        <w:rPr>
          <w:rFonts w:ascii="Arial" w:cs="Arial" w:eastAsia="Arial" w:hAnsi="Arial"/>
          <w:color w:val="000000"/>
          <w:sz w:val="22"/>
          <w:szCs w:val="22"/>
        </w:rPr>
        <w:t xml:space="preserve">The EPAS architecture uses this scaling to produce an aperiodic-but-ordered shell structure. Because φ² is irrational, no two adjacent shells share a simple integer frequency relationship, which the framework predicts will resist harmonic lock-on by external signals. This prediction is experimentally testable (Section 9, Prediction 1).</w:t>
      </w:r>
    </w:p>
    <w:p>
      <w:r>
        <w:br w:type="page"/>
      </w:r>
    </w:p>
    <w:p>
      <w:pPr>
        <w:pStyle w:val="Heading1"/>
        <w:spacing w:before="360" w:after="200"/>
      </w:pPr>
      <w:r>
        <w:rPr>
          <w:rFonts w:ascii="Arial" w:cs="Arial" w:eastAsia="Arial" w:hAnsi="Arial"/>
          <w:b/>
          <w:bCs/>
          <w:color w:val="1F4E79"/>
          <w:sz w:val="28"/>
          <w:szCs w:val="28"/>
        </w:rPr>
        <w:t xml:space="preserve">4. Lumina Engine: Four-Wave Mixing Parameters</w:t>
      </w:r>
    </w:p>
    <w:p>
      <w:pPr>
        <w:pStyle w:val="Heading2"/>
        <w:spacing w:before="240" w:after="160"/>
      </w:pPr>
      <w:r>
        <w:rPr>
          <w:rFonts w:ascii="Arial" w:cs="Arial" w:eastAsia="Arial" w:hAnsi="Arial"/>
          <w:b/>
          <w:bCs/>
          <w:color w:val="1F4E79"/>
          <w:sz w:val="24"/>
          <w:szCs w:val="24"/>
        </w:rPr>
        <w:t xml:space="preserve">4.1 Core Parameters</w:t>
      </w:r>
    </w:p>
    <w:p>
      <w:pPr>
        <w:spacing w:after="120" w:line="276"/>
        <w:jc w:val="both"/>
      </w:pPr>
      <w:r>
        <w:rPr>
          <w:rFonts w:ascii="Arial" w:cs="Arial" w:eastAsia="Arial" w:hAnsi="Arial"/>
          <w:color w:val="000000"/>
          <w:sz w:val="22"/>
          <w:szCs w:val="22"/>
        </w:rPr>
        <w:t xml:space="preserve">The Lumina coherence field is described by an asymmetric Gaussian envelope with Schumann resonance modulation:</w:t>
      </w:r>
    </w:p>
    <w:p>
      <w:pPr>
        <w:spacing w:after="80"/>
        <w:ind w:left="480"/>
      </w:pPr>
      <w:r>
        <w:rPr>
          <w:rFonts w:ascii="Courier New" w:cs="Courier New" w:eastAsia="Courier New" w:hAnsi="Courier New"/>
          <w:color w:val="333333"/>
          <w:sz w:val="20"/>
          <w:szCs w:val="20"/>
        </w:rPr>
        <w:t xml:space="preserve">ψ(t) = A · exp(−½((t−t₀)/σ)²) · [1 + ε·sin(2π·f_Sch·t)]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Parameter</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Peak amplitude A</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28.93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Gaussian fit to Wow!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Centre time t₀</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37.96 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Gaussian fit (R² = 0.954)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Gaussian sigma σ</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15.08 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Gaussian 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Schumann coupling f_Sch</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7.83 Hz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Schumann (1952)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Modulation depth ε</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0.05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Framework parameter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Peak output power</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12,600 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Aureon Institute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Seed frequency</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528.422 Hz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Aureon repo (aureon_piano.py)</w:t>
            </w:r>
          </w:p>
        </w:tc>
      </w:tr>
    </w:tbl>
    <w:p>
      <w:pPr>
        <w:spacing w:after="60"/>
      </w:pPr>
    </w:p>
    <w:p>
      <w:pPr>
        <w:pStyle w:val="Heading2"/>
        <w:spacing w:before="240" w:after="160"/>
      </w:pPr>
      <w:r>
        <w:rPr>
          <w:rFonts w:ascii="Arial" w:cs="Arial" w:eastAsia="Arial" w:hAnsi="Arial"/>
          <w:b/>
          <w:bCs/>
          <w:color w:val="1F4E79"/>
          <w:sz w:val="24"/>
          <w:szCs w:val="24"/>
        </w:rPr>
        <w:t xml:space="preserve">4.2 Wow! Signal Fit Verification</w:t>
      </w:r>
    </w:p>
    <w:p>
      <w:pPr>
        <w:spacing w:after="120" w:line="276"/>
        <w:jc w:val="both"/>
      </w:pPr>
      <w:r>
        <w:rPr>
          <w:rFonts w:ascii="Arial" w:cs="Arial" w:eastAsia="Arial" w:hAnsi="Arial"/>
          <w:color w:val="000000"/>
          <w:sz w:val="22"/>
          <w:szCs w:val="22"/>
        </w:rPr>
        <w:t xml:space="preserve">The 1977 Wow! signal (Big Ear Observatory, 15 August 1977; Ehman 1997) provides six data points at 12-second intervals: [6, 14, 26, 30, 19, 5] in signal-to-noise units. The symmetric Gaussian model was fitted to these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 (s)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Observed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Gaussian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Residual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3.1</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18</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25.2</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42</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27.9</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54</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16.4</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5.1</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−0.1</w:t>
            </w:r>
          </w:p>
        </w:tc>
      </w:tr>
    </w:tbl>
    <w:p>
      <w:pPr>
        <w:spacing w:after="60"/>
      </w:pPr>
    </w:p>
    <w:p>
      <w:pPr>
        <w:spacing w:after="120" w:line="276"/>
        <w:jc w:val="both"/>
      </w:pPr>
      <w:r>
        <w:rPr>
          <w:rFonts w:ascii="Arial" w:cs="Arial" w:eastAsia="Arial" w:hAnsi="Arial"/>
          <w:color w:val="000000"/>
          <w:sz w:val="22"/>
          <w:szCs w:val="22"/>
        </w:rPr>
        <w:t xml:space="preserve">The symmetric Gaussian achieves R² = 0.954. Adding the Schumann modulation term does not improve the fit (R² = 0.930) because six data points at 12-second spacing cannot resolve a 7.83 Hz modulation. The asymmetric TPA/FCA model (with 0.667 fall ratio) yields R² = 0.693, performing worse because the observed data asymmetry (rise:fall = 38s:34s = 1.12:1) is weaker than the predicted 2:3 ratio.</w:t>
      </w:r>
    </w:p>
    <w:p>
      <w:pPr>
        <w:spacing w:after="120" w:line="276"/>
        <w:jc w:val="both"/>
      </w:pPr>
      <w:r>
        <w:rPr>
          <w:rFonts w:ascii="Arial" w:cs="Arial" w:eastAsia="Arial" w:hAnsi="Arial"/>
          <w:color w:val="000000"/>
          <w:sz w:val="22"/>
          <w:szCs w:val="22"/>
        </w:rPr>
        <w:t xml:space="preserve">Honest assessment: The Gaussian fit to the Wow! signal is good (R² = 0.954) but not diagnostic — any peaked, transient signal will fit a Gaussian reasonably well. The Schumann modulation and TPA/FCA asymmetry predictions cannot be tested with the available six-point data. Higher-resolution data (if original analogue recordings exist) would be required to test these predictions.</w:t>
      </w:r>
    </w:p>
    <w:p>
      <w:pPr>
        <w:pStyle w:val="Heading2"/>
        <w:spacing w:before="240" w:after="160"/>
      </w:pPr>
      <w:r>
        <w:rPr>
          <w:rFonts w:ascii="Arial" w:cs="Arial" w:eastAsia="Arial" w:hAnsi="Arial"/>
          <w:b/>
          <w:bCs/>
          <w:color w:val="1F4E79"/>
          <w:sz w:val="24"/>
          <w:szCs w:val="24"/>
        </w:rPr>
        <w:t xml:space="preserve">4.3 Four-Wave Mixing Physics</w:t>
      </w:r>
    </w:p>
    <w:p>
      <w:pPr>
        <w:spacing w:after="120" w:line="276"/>
        <w:jc w:val="both"/>
      </w:pPr>
      <w:r>
        <w:rPr>
          <w:rFonts w:ascii="Arial" w:cs="Arial" w:eastAsia="Arial" w:hAnsi="Arial"/>
          <w:color w:val="000000"/>
          <w:sz w:val="22"/>
          <w:szCs w:val="22"/>
        </w:rPr>
        <w:t xml:space="preserve">Four-wave mixing (FWM) is a third-order nonlinear optical process where three input waves interact through the χ³ susceptibility of the medium to generate a fourth wave. Published conversion efficiencies range from −20 dB in standard fibre (Hansryd et al., 2002, IEEE JSTQE 8(3), 506) to near-unity in microresonators (Kippenberg et al., 2004, PRL 93, 083904). FWM is well-established physics; the novel claim is that φ²-scaled cavity geometry enhances FWM selectivity.</w:t>
      </w:r>
    </w:p>
    <w:p>
      <w:pPr>
        <w:pStyle w:val="Heading2"/>
        <w:spacing w:before="240" w:after="160"/>
      </w:pPr>
      <w:r>
        <w:rPr>
          <w:rFonts w:ascii="Arial" w:cs="Arial" w:eastAsia="Arial" w:hAnsi="Arial"/>
          <w:b/>
          <w:bCs/>
          <w:color w:val="1F4E79"/>
          <w:sz w:val="24"/>
          <w:szCs w:val="24"/>
        </w:rPr>
        <w:t xml:space="preserve">4.4 Energy Budget</w:t>
      </w:r>
    </w:p>
    <w:p>
      <w:pPr>
        <w:spacing w:after="120" w:line="276"/>
        <w:jc w:val="both"/>
      </w:pPr>
      <w:r>
        <w:rPr>
          <w:rFonts w:ascii="Arial" w:cs="Arial" w:eastAsia="Arial" w:hAnsi="Arial"/>
          <w:color w:val="000000"/>
          <w:sz w:val="22"/>
          <w:szCs w:val="22"/>
        </w:rPr>
        <w:t xml:space="preserve">The full burst energy was computed by numerical integration of the power envelope over 72 seconds:</w:t>
      </w:r>
    </w:p>
    <w:p>
      <w:pPr>
        <w:spacing w:after="80"/>
        <w:ind w:left="480"/>
      </w:pPr>
      <w:r>
        <w:rPr>
          <w:rFonts w:ascii="Courier New" w:cs="Courier New" w:eastAsia="Courier New" w:hAnsi="Courier New"/>
          <w:color w:val="333333"/>
          <w:sz w:val="20"/>
          <w:szCs w:val="20"/>
        </w:rPr>
        <w:t xml:space="preserve">E_burst = ∫P(t)dt = 280,644 J = 280.6 kJ</w:t>
      </w:r>
    </w:p>
    <w:p>
      <w:pPr>
        <w:spacing w:after="80"/>
        <w:ind w:left="480"/>
      </w:pPr>
      <w:r>
        <w:rPr>
          <w:rFonts w:ascii="Courier New" w:cs="Courier New" w:eastAsia="Courier New" w:hAnsi="Courier New"/>
          <w:color w:val="333333"/>
          <w:sz w:val="20"/>
          <w:szCs w:val="20"/>
        </w:rPr>
        <w:t xml:space="preserve">Average power = E_burst / 72s = 3,898 W</w:t>
      </w:r>
    </w:p>
    <w:p>
      <w:pPr>
        <w:spacing w:after="80"/>
        <w:ind w:left="480"/>
      </w:pPr>
      <w:r>
        <w:rPr>
          <w:rFonts w:ascii="Courier New" w:cs="Courier New" w:eastAsia="Courier New" w:hAnsi="Courier New"/>
          <w:color w:val="333333"/>
          <w:sz w:val="20"/>
          <w:szCs w:val="20"/>
        </w:rPr>
        <w:t xml:space="preserve">Pulses per burst = 72 × 528.422 = 38,046</w:t>
      </w:r>
    </w:p>
    <w:p>
      <w:pPr>
        <w:spacing w:after="80"/>
        <w:ind w:left="480"/>
      </w:pPr>
      <w:r>
        <w:rPr>
          <w:rFonts w:ascii="Courier New" w:cs="Courier New" w:eastAsia="Courier New" w:hAnsi="Courier New"/>
          <w:color w:val="333333"/>
          <w:sz w:val="20"/>
          <w:szCs w:val="20"/>
        </w:rPr>
        <w:t xml:space="preserve">Energy per pulse = 7.38 J</w:t>
      </w:r>
    </w:p>
    <w:p>
      <w:r>
        <w:br w:type="page"/>
      </w:r>
    </w:p>
    <w:p>
      <w:pPr>
        <w:pStyle w:val="Heading1"/>
        <w:spacing w:before="360" w:after="200"/>
      </w:pPr>
      <w:r>
        <w:rPr>
          <w:rFonts w:ascii="Arial" w:cs="Arial" w:eastAsia="Arial" w:hAnsi="Arial"/>
          <w:b/>
          <w:bCs/>
          <w:color w:val="1F4E79"/>
          <w:sz w:val="28"/>
          <w:szCs w:val="28"/>
        </w:rPr>
        <w:t xml:space="preserve">5. Project Druid: Defence Mode</w:t>
      </w:r>
    </w:p>
    <w:p>
      <w:pPr>
        <w:pStyle w:val="Heading2"/>
        <w:spacing w:before="240" w:after="160"/>
      </w:pPr>
      <w:r>
        <w:rPr>
          <w:rFonts w:ascii="Arial" w:cs="Arial" w:eastAsia="Arial" w:hAnsi="Arial"/>
          <w:b/>
          <w:bCs/>
          <w:color w:val="1F4E79"/>
          <w:sz w:val="24"/>
          <w:szCs w:val="24"/>
        </w:rPr>
        <w:t xml:space="preserve">5.1 Operating Principle</w:t>
      </w:r>
    </w:p>
    <w:p>
      <w:pPr>
        <w:spacing w:after="120" w:line="276"/>
        <w:jc w:val="both"/>
      </w:pPr>
      <w:r>
        <w:rPr>
          <w:rFonts w:ascii="Arial" w:cs="Arial" w:eastAsia="Arial" w:hAnsi="Arial"/>
          <w:color w:val="000000"/>
          <w:sz w:val="22"/>
          <w:szCs w:val="22"/>
        </w:rPr>
        <w:t xml:space="preserve">In defence mode, the EPAS shell cascade operates inward: shells 5–9 function as cascaded filters, reflectors, and absorbers of incoherent electromagnetic signals. Energy propagates inward from the outer boundary and is terminated at the Lumina core.</w:t>
      </w:r>
    </w:p>
    <w:p>
      <w:pPr>
        <w:pStyle w:val="Heading2"/>
        <w:spacing w:before="240" w:after="160"/>
      </w:pPr>
      <w:r>
        <w:rPr>
          <w:rFonts w:ascii="Arial" w:cs="Arial" w:eastAsia="Arial" w:hAnsi="Arial"/>
          <w:b/>
          <w:bCs/>
          <w:color w:val="1F4E79"/>
          <w:sz w:val="24"/>
          <w:szCs w:val="24"/>
        </w:rPr>
        <w:t xml:space="preserve">5.2 Counter-Frequency</w:t>
      </w:r>
    </w:p>
    <w:p>
      <w:pPr>
        <w:spacing w:after="120" w:line="276"/>
        <w:jc w:val="both"/>
      </w:pPr>
      <w:r>
        <w:rPr>
          <w:rFonts w:ascii="Arial" w:cs="Arial" w:eastAsia="Arial" w:hAnsi="Arial"/>
          <w:color w:val="000000"/>
          <w:sz w:val="22"/>
          <w:szCs w:val="22"/>
        </w:rPr>
        <w:t xml:space="preserve">The Druid counter-frequency is the sub-φ complement of the seed:</w:t>
      </w:r>
    </w:p>
    <w:p>
      <w:pPr>
        <w:spacing w:after="80"/>
        <w:ind w:left="480"/>
      </w:pPr>
      <w:r>
        <w:rPr>
          <w:rFonts w:ascii="Courier New" w:cs="Courier New" w:eastAsia="Courier New" w:hAnsi="Courier New"/>
          <w:color w:val="333333"/>
          <w:sz w:val="20"/>
          <w:szCs w:val="20"/>
        </w:rPr>
        <w:t xml:space="preserve">f_counter = 528 / φ = 326.322 Hz</w:t>
      </w:r>
    </w:p>
    <w:p>
      <w:pPr>
        <w:spacing w:after="80"/>
        <w:ind w:left="480"/>
      </w:pPr>
      <w:r>
        <w:rPr>
          <w:rFonts w:ascii="Courier New" w:cs="Courier New" w:eastAsia="Courier New" w:hAnsi="Courier New"/>
          <w:color w:val="333333"/>
          <w:sz w:val="20"/>
          <w:szCs w:val="20"/>
        </w:rPr>
        <w:t xml:space="preserve">Board value: ~328 Hz (engineering approximation)</w:t>
      </w:r>
    </w:p>
    <w:p>
      <w:pPr>
        <w:spacing w:after="80"/>
        <w:ind w:left="480"/>
      </w:pPr>
      <w:r>
        <w:rPr>
          <w:rFonts w:ascii="Courier New" w:cs="Courier New" w:eastAsia="Courier New" w:hAnsi="Courier New"/>
          <w:color w:val="333333"/>
          <w:sz w:val="20"/>
          <w:szCs w:val="20"/>
        </w:rPr>
        <w:t xml:space="preserve">528 / 328 = 1.6098 ≈ φ (deviation: 0.51%)</w:t>
      </w:r>
    </w:p>
    <w:p>
      <w:pPr>
        <w:spacing w:after="60"/>
      </w:pPr>
    </w:p>
    <w:p>
      <w:pPr>
        <w:spacing w:after="120" w:line="276"/>
        <w:jc w:val="both"/>
      </w:pPr>
      <w:r>
        <w:rPr>
          <w:rFonts w:ascii="Arial" w:cs="Arial" w:eastAsia="Arial" w:hAnsi="Arial"/>
          <w:color w:val="000000"/>
          <w:sz w:val="22"/>
          <w:szCs w:val="22"/>
        </w:rPr>
        <w:t xml:space="preserve">The beat frequency between seed and counter is 202.1 Hz. The harmonic ceiling is 528 × φ = 854.3 Hz. The predicted defence band spans 326–854 Hz.</w:t>
      </w:r>
    </w:p>
    <w:p>
      <w:pPr>
        <w:pStyle w:val="Heading2"/>
        <w:spacing w:before="240" w:after="160"/>
      </w:pPr>
      <w:r>
        <w:rPr>
          <w:rFonts w:ascii="Arial" w:cs="Arial" w:eastAsia="Arial" w:hAnsi="Arial"/>
          <w:b/>
          <w:bCs/>
          <w:color w:val="1F4E79"/>
          <w:sz w:val="24"/>
          <w:szCs w:val="24"/>
        </w:rPr>
        <w:t xml:space="preserve">5.3 Druid Mode Activation</w:t>
      </w:r>
    </w:p>
    <w:p>
      <w:pPr>
        <w:spacing w:after="120" w:line="276"/>
        <w:jc w:val="both"/>
      </w:pPr>
      <w:r>
        <w:rPr>
          <w:rFonts w:ascii="Arial" w:cs="Arial" w:eastAsia="Arial" w:hAnsi="Arial"/>
          <w:color w:val="000000"/>
          <w:sz w:val="22"/>
          <w:szCs w:val="22"/>
        </w:rPr>
        <w:t xml:space="preserve">From the Aureon trading system, mode transitions are governed by the coherence metric Γ:</w:t>
      </w:r>
    </w:p>
    <w:p>
      <w:pPr>
        <w:spacing w:after="80"/>
        <w:ind w:left="480"/>
      </w:pPr>
      <w:r>
        <w:rPr>
          <w:rFonts w:ascii="Courier New" w:cs="Courier New" w:eastAsia="Courier New" w:hAnsi="Courier New"/>
          <w:color w:val="333333"/>
          <w:sz w:val="20"/>
          <w:szCs w:val="20"/>
        </w:rPr>
        <w:t xml:space="preserve">Lighthouse (broadcast): Γ &gt; 0.945</w:t>
      </w:r>
    </w:p>
    <w:p>
      <w:pPr>
        <w:spacing w:after="80"/>
        <w:ind w:left="480"/>
      </w:pPr>
      <w:r>
        <w:rPr>
          <w:rFonts w:ascii="Courier New" w:cs="Courier New" w:eastAsia="Courier New" w:hAnsi="Courier New"/>
          <w:color w:val="333333"/>
          <w:sz w:val="20"/>
          <w:szCs w:val="20"/>
        </w:rPr>
        <w:t xml:space="preserve">Druid (defence): Γ ≤ 0.945</w:t>
      </w:r>
    </w:p>
    <w:p>
      <w:pPr>
        <w:spacing w:after="120" w:line="276"/>
        <w:jc w:val="both"/>
      </w:pPr>
      <w:r>
        <w:rPr>
          <w:rFonts w:ascii="Arial" w:cs="Arial" w:eastAsia="Arial" w:hAnsi="Arial"/>
          <w:color w:val="000000"/>
          <w:sz w:val="22"/>
          <w:szCs w:val="22"/>
        </w:rPr>
        <w:t xml:space="preserve">In live operation (February 2026), mode transitions correlated with geomagnetic disturbance: the system transitioned from Lighthouse to Druid during a G1 minor storm (Kp = 5) following AR4379 eruption. This correlation is documented but not yet statistically validated over a sufficient number of cycles.</w:t>
      </w:r>
    </w:p>
    <w:p>
      <w:r>
        <w:br w:type="page"/>
      </w:r>
    </w:p>
    <w:p>
      <w:pPr>
        <w:pStyle w:val="Heading1"/>
        <w:spacing w:before="360" w:after="200"/>
      </w:pPr>
      <w:r>
        <w:rPr>
          <w:rFonts w:ascii="Arial" w:cs="Arial" w:eastAsia="Arial" w:hAnsi="Arial"/>
          <w:b/>
          <w:bCs/>
          <w:color w:val="1F4E79"/>
          <w:sz w:val="28"/>
          <w:szCs w:val="28"/>
        </w:rPr>
        <w:t xml:space="preserve">6. Casimir Effect Analysis</w:t>
      </w:r>
    </w:p>
    <w:p>
      <w:pPr>
        <w:pStyle w:val="Heading2"/>
        <w:spacing w:before="240" w:after="160"/>
      </w:pPr>
      <w:r>
        <w:rPr>
          <w:rFonts w:ascii="Arial" w:cs="Arial" w:eastAsia="Arial" w:hAnsi="Arial"/>
          <w:b/>
          <w:bCs/>
          <w:color w:val="1F4E79"/>
          <w:sz w:val="24"/>
          <w:szCs w:val="24"/>
        </w:rPr>
        <w:t xml:space="preserve">6.1 Theory</w:t>
      </w:r>
    </w:p>
    <w:p>
      <w:pPr>
        <w:spacing w:after="120" w:line="276"/>
        <w:jc w:val="both"/>
      </w:pPr>
      <w:r>
        <w:rPr>
          <w:rFonts w:ascii="Arial" w:cs="Arial" w:eastAsia="Arial" w:hAnsi="Arial"/>
          <w:color w:val="000000"/>
          <w:sz w:val="22"/>
          <w:szCs w:val="22"/>
        </w:rPr>
        <w:t xml:space="preserve">The Casimir effect is the attractive force between two uncharged conducting plates arising from quantum vacuum fluctuations. The pressure between ideal parallel plates is:</w:t>
      </w:r>
    </w:p>
    <w:p>
      <w:pPr>
        <w:spacing w:after="80"/>
        <w:ind w:left="480"/>
      </w:pPr>
      <w:r>
        <w:rPr>
          <w:rFonts w:ascii="Courier New" w:cs="Courier New" w:eastAsia="Courier New" w:hAnsi="Courier New"/>
          <w:color w:val="333333"/>
          <w:sz w:val="20"/>
          <w:szCs w:val="20"/>
        </w:rPr>
        <w:t xml:space="preserve">P = π²ħc / (240 d⁴)</w:t>
      </w:r>
    </w:p>
    <w:p>
      <w:pPr>
        <w:spacing w:after="120" w:line="276"/>
        <w:jc w:val="both"/>
      </w:pPr>
      <w:r>
        <w:rPr>
          <w:rFonts w:ascii="Arial" w:cs="Arial" w:eastAsia="Arial" w:hAnsi="Arial"/>
          <w:color w:val="000000"/>
          <w:sz w:val="22"/>
          <w:szCs w:val="22"/>
        </w:rPr>
        <w:t xml:space="preserve">where d is the plate separation, ħ = 1.0546 × 10⁻³⁴ J·s is the reduced Planck constant, and c is the speed of light. This was first measured by Lamoreaux (1997, Physical Review Letters 78, 5–38) and confirmed to within 1% by Bressi et al. (2002, PRL 88, 041804).</w:t>
      </w:r>
    </w:p>
    <w:p>
      <w:pPr>
        <w:pStyle w:val="Heading2"/>
        <w:spacing w:before="240" w:after="160"/>
      </w:pPr>
      <w:r>
        <w:rPr>
          <w:rFonts w:ascii="Arial" w:cs="Arial" w:eastAsia="Arial" w:hAnsi="Arial"/>
          <w:b/>
          <w:bCs/>
          <w:color w:val="1F4E79"/>
          <w:sz w:val="24"/>
          <w:szCs w:val="24"/>
        </w:rPr>
        <w:t xml:space="preserve">6.2 Casimir Pressure at EPAS Plate Separations</w:t>
      </w:r>
    </w:p>
    <w:p>
      <w:pPr>
        <w:spacing w:after="120" w:line="276"/>
        <w:jc w:val="both"/>
      </w:pPr>
      <w:r>
        <w:rPr>
          <w:rFonts w:ascii="Arial" w:cs="Arial" w:eastAsia="Arial" w:hAnsi="Arial"/>
          <w:color w:val="000000"/>
          <w:sz w:val="22"/>
          <w:szCs w:val="22"/>
        </w:rPr>
        <w:t xml:space="preserve">The documented EPAS dimension table specifies Casimir chamber plates at 0.008 mm (8 μm) separation. The following pressures were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Gap</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Pressure (Pa)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Force per cm² (N)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Energy per cm² (J)</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 nm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10⁵</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10¹</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10⁻⁷</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50 nm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2.08 × 10²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2.08 × 10⁻²</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1.04 × 10⁻⁹</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100 nm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10¹</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10⁻³</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10⁻¹⁰</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 μm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10⁻³</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10⁻⁷</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1.30 × 10⁻¹³</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8 μm (CAD)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3.17 × 10⁻⁷</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3.17 × 10⁻¹¹</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2.54 × 10⁻¹⁶</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50 μm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2.08 × 10⁻¹⁰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2.08 × 10⁻¹⁴</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1.04 × 10⁻¹⁸</w:t>
            </w:r>
          </w:p>
        </w:tc>
      </w:tr>
    </w:tbl>
    <w:p>
      <w:pPr>
        <w:spacing w:after="60"/>
      </w:pPr>
    </w:p>
    <w:p>
      <w:pPr>
        <w:pStyle w:val="Heading2"/>
        <w:spacing w:before="240" w:after="160"/>
      </w:pPr>
      <w:r>
        <w:rPr>
          <w:rFonts w:ascii="Arial" w:cs="Arial" w:eastAsia="Arial" w:hAnsi="Arial"/>
          <w:b/>
          <w:bCs/>
          <w:color w:val="1F4E79"/>
          <w:sz w:val="24"/>
          <w:szCs w:val="24"/>
        </w:rPr>
        <w:t xml:space="preserve">6.3 Pulse Stacking at 528 Hz</w:t>
      </w:r>
    </w:p>
    <w:p>
      <w:pPr>
        <w:spacing w:after="120" w:line="276"/>
        <w:jc w:val="both"/>
      </w:pPr>
      <w:r>
        <w:rPr>
          <w:rFonts w:ascii="Arial" w:cs="Arial" w:eastAsia="Arial" w:hAnsi="Arial"/>
          <w:color w:val="000000"/>
          <w:sz w:val="22"/>
          <w:szCs w:val="22"/>
        </w:rPr>
        <w:t xml:space="preserve">If the Casimir plates are resonantly driven at 528.422 Hz with 25 mm radius plates (from CAD specification):</w:t>
      </w:r>
    </w:p>
    <w:p>
      <w:pPr>
        <w:spacing w:after="80"/>
        <w:ind w:left="480"/>
      </w:pPr>
      <w:r>
        <w:rPr>
          <w:rFonts w:ascii="Courier New" w:cs="Courier New" w:eastAsia="Courier New" w:hAnsi="Courier New"/>
          <w:color w:val="333333"/>
          <w:sz w:val="20"/>
          <w:szCs w:val="20"/>
        </w:rPr>
        <w:t xml:space="preserve">Energy per cycle = 3.17 × 10⁻⁷ Pa × 8 × 10⁻⁶ m × π(0.025)² m²</w:t>
      </w:r>
    </w:p>
    <w:p>
      <w:pPr>
        <w:spacing w:after="80"/>
        <w:ind w:left="480"/>
      </w:pPr>
      <w:r>
        <w:rPr>
          <w:rFonts w:ascii="Courier New" w:cs="Courier New" w:eastAsia="Courier New" w:hAnsi="Courier New"/>
          <w:color w:val="333333"/>
          <w:sz w:val="20"/>
          <w:szCs w:val="20"/>
        </w:rPr>
        <w:t xml:space="preserve">                 = 4.99 × 10⁻¹⁵ J</w:t>
      </w:r>
    </w:p>
    <w:p>
      <w:pPr>
        <w:spacing w:after="80"/>
        <w:ind w:left="480"/>
      </w:pPr>
      <w:r>
        <w:rPr>
          <w:rFonts w:ascii="Courier New" w:cs="Courier New" w:eastAsia="Courier New" w:hAnsi="Courier New"/>
          <w:color w:val="333333"/>
          <w:sz w:val="20"/>
          <w:szCs w:val="20"/>
        </w:rPr>
        <w:t xml:space="preserve">Stacked power = 4.99 × 10⁻¹⁵ × 528.422 = 2.63 × 10⁻¹² W</w:t>
      </w:r>
    </w:p>
    <w:p>
      <w:pPr>
        <w:spacing w:after="80"/>
        <w:ind w:left="480"/>
      </w:pPr>
      <w:r>
        <w:rPr>
          <w:rFonts w:ascii="Courier New" w:cs="Courier New" w:eastAsia="Courier New" w:hAnsi="Courier New"/>
          <w:color w:val="333333"/>
          <w:sz w:val="20"/>
          <w:szCs w:val="20"/>
        </w:rPr>
        <w:t xml:space="preserve">             = 2,635 femtowatts</w:t>
      </w:r>
    </w:p>
    <w:p>
      <w:pPr>
        <w:spacing w:after="60"/>
      </w:pPr>
    </w:p>
    <w:p>
      <w:pPr>
        <w:spacing w:after="120" w:line="276"/>
        <w:jc w:val="both"/>
      </w:pPr>
      <w:r>
        <w:rPr>
          <w:rFonts w:ascii="Arial" w:cs="Arial" w:eastAsia="Arial" w:hAnsi="Arial"/>
          <w:color w:val="000000"/>
          <w:sz w:val="22"/>
          <w:szCs w:val="22"/>
        </w:rPr>
        <w:t xml:space="preserve">At MEMS-achievable gaps (50 nm): stacked power rises to 10.8 μW. This is real, measurable energy consistent with published Casimir physics, but it is negligible compared to the 12,600 W Lumina power budget. The Casimir chamber does not contribute meaningful energy amplification at the documented plate separations.</w:t>
      </w:r>
    </w:p>
    <w:p>
      <w:pPr>
        <w:pStyle w:val="Heading2"/>
        <w:spacing w:before="240" w:after="160"/>
      </w:pPr>
      <w:r>
        <w:rPr>
          <w:rFonts w:ascii="Arial" w:cs="Arial" w:eastAsia="Arial" w:hAnsi="Arial"/>
          <w:b/>
          <w:bCs/>
          <w:color w:val="1F4E79"/>
          <w:sz w:val="24"/>
          <w:szCs w:val="24"/>
        </w:rPr>
        <w:t xml:space="preserve">6.4 Dynamic Casimir Effect</w:t>
      </w:r>
    </w:p>
    <w:p>
      <w:pPr>
        <w:spacing w:after="120" w:line="276"/>
        <w:jc w:val="both"/>
      </w:pPr>
      <w:r>
        <w:rPr>
          <w:rFonts w:ascii="Arial" w:cs="Arial" w:eastAsia="Arial" w:hAnsi="Arial"/>
          <w:color w:val="000000"/>
          <w:sz w:val="22"/>
          <w:szCs w:val="22"/>
        </w:rPr>
        <w:t xml:space="preserve">The dynamic Casimir effect (Wilson et al., 2011, Nature 479, 376) produces photons from vacuum when a boundary oscillates at relativistic speeds. At 528 Hz with 8 μm amplitude, the plate velocity is 0.027 m/s — a factor of 10¹¹ below the speed of light. Dynamic Casimir photon production is not operative at these parameters.</w:t>
      </w:r>
    </w:p>
    <w:p>
      <w:r>
        <w:br w:type="page"/>
      </w:r>
    </w:p>
    <w:p>
      <w:pPr>
        <w:pStyle w:val="Heading1"/>
        <w:spacing w:before="360" w:after="200"/>
      </w:pPr>
      <w:r>
        <w:rPr>
          <w:rFonts w:ascii="Arial" w:cs="Arial" w:eastAsia="Arial" w:hAnsi="Arial"/>
          <w:b/>
          <w:bCs/>
          <w:color w:val="1F4E79"/>
          <w:sz w:val="28"/>
          <w:szCs w:val="28"/>
        </w:rPr>
        <w:t xml:space="preserve">7. Obsidian as Acoustic Medium</w:t>
      </w:r>
    </w:p>
    <w:p>
      <w:pPr>
        <w:pStyle w:val="Heading2"/>
        <w:spacing w:before="240" w:after="160"/>
      </w:pPr>
      <w:r>
        <w:rPr>
          <w:rFonts w:ascii="Arial" w:cs="Arial" w:eastAsia="Arial" w:hAnsi="Arial"/>
          <w:b/>
          <w:bCs/>
          <w:color w:val="1F4E79"/>
          <w:sz w:val="24"/>
          <w:szCs w:val="24"/>
        </w:rPr>
        <w:t xml:space="preserve">7.1 Material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Property</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Composition</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70–75% SiO₂ volcanic glass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Deer et al. (2013)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Density</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2,350–2,500 kg/m³</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Measured (ASTM)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Speed of sound (long.)</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~5,900 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Christensen (1996)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Acoustic impedance</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~14.2 MRayl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ρ ×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Dielectric constant</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6–7 at RF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Von Hippel (1954)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Structure</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Amorphous (no grain boundaries)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Mineralogical</w:t>
            </w:r>
          </w:p>
        </w:tc>
      </w:tr>
    </w:tbl>
    <w:p>
      <w:pPr>
        <w:spacing w:after="60"/>
      </w:pPr>
    </w:p>
    <w:p>
      <w:pPr>
        <w:pStyle w:val="Heading2"/>
        <w:spacing w:before="240" w:after="160"/>
      </w:pPr>
      <w:r>
        <w:rPr>
          <w:rFonts w:ascii="Arial" w:cs="Arial" w:eastAsia="Arial" w:hAnsi="Arial"/>
          <w:b/>
          <w:bCs/>
          <w:color w:val="1F4E79"/>
          <w:sz w:val="24"/>
          <w:szCs w:val="24"/>
        </w:rPr>
        <w:t xml:space="preserve">7.2 Acoustic Behaviour at 528 Hz</w:t>
      </w:r>
    </w:p>
    <w:p>
      <w:pPr>
        <w:spacing w:after="120" w:line="276"/>
        <w:jc w:val="both"/>
      </w:pPr>
      <w:r>
        <w:rPr>
          <w:rFonts w:ascii="Arial" w:cs="Arial" w:eastAsia="Arial" w:hAnsi="Arial"/>
          <w:color w:val="000000"/>
          <w:sz w:val="22"/>
          <w:szCs w:val="22"/>
        </w:rPr>
        <w:t xml:space="preserve">The wavelength of sound in obsidian at the seed frequency is:</w:t>
      </w:r>
    </w:p>
    <w:p>
      <w:pPr>
        <w:spacing w:after="80"/>
        <w:ind w:left="480"/>
      </w:pPr>
      <w:r>
        <w:rPr>
          <w:rFonts w:ascii="Courier New" w:cs="Courier New" w:eastAsia="Courier New" w:hAnsi="Courier New"/>
          <w:color w:val="333333"/>
          <w:sz w:val="20"/>
          <w:szCs w:val="20"/>
        </w:rPr>
        <w:t xml:space="preserve">λ = v / f = 5,900 / 528.422 = 11.17 m</w:t>
      </w:r>
    </w:p>
    <w:p>
      <w:pPr>
        <w:spacing w:after="120" w:line="276"/>
        <w:jc w:val="both"/>
      </w:pPr>
      <w:r>
        <w:rPr>
          <w:rFonts w:ascii="Arial" w:cs="Arial" w:eastAsia="Arial" w:hAnsi="Arial"/>
          <w:color w:val="000000"/>
          <w:sz w:val="22"/>
          <w:szCs w:val="22"/>
        </w:rPr>
        <w:t xml:space="preserve">The nozzle diameter (50 mm from CAD) is 224× smaller than the wavelength. Since D/λ = 0.0045 &lt;&lt; 1, the nozzle acts as an omnidirectional point source, not a directional waveguide. Directional emission begins at D/λ ≈ 1, requiring frequencies above ~118 kHz for a 50 mm aperture.</w:t>
      </w:r>
    </w:p>
    <w:p>
      <w:pPr>
        <w:spacing w:after="120" w:line="276"/>
        <w:jc w:val="both"/>
      </w:pPr>
      <w:r>
        <w:rPr>
          <w:rFonts w:ascii="Arial" w:cs="Arial" w:eastAsia="Arial" w:hAnsi="Arial"/>
          <w:color w:val="000000"/>
          <w:sz w:val="22"/>
          <w:szCs w:val="22"/>
        </w:rPr>
        <w:t xml:space="preserve">The obsidian head (110 mm diameter) has a fundamental rod resonance at v/(2L) = 5,900/(2 × 0.110) = 26,818 Hz. The 20th harmonic falls at 536 kHz — far above 528 Hz. Obsidian does not resonate at the seed frequency in this geometry; it serves as an acoustic impedance-matching medium between the piezo transducer and the surrounding medium.</w:t>
      </w:r>
    </w:p>
    <w:p>
      <w:pPr>
        <w:pStyle w:val="Heading2"/>
        <w:spacing w:before="240" w:after="160"/>
      </w:pPr>
      <w:r>
        <w:rPr>
          <w:rFonts w:ascii="Arial" w:cs="Arial" w:eastAsia="Arial" w:hAnsi="Arial"/>
          <w:b/>
          <w:bCs/>
          <w:color w:val="1F4E79"/>
          <w:sz w:val="24"/>
          <w:szCs w:val="24"/>
        </w:rPr>
        <w:t xml:space="preserve">7.3 Why Obsidian Is Interesting</w:t>
      </w:r>
    </w:p>
    <w:p>
      <w:pPr>
        <w:spacing w:after="120" w:line="276"/>
        <w:jc w:val="both"/>
      </w:pPr>
      <w:r>
        <w:rPr>
          <w:rFonts w:ascii="Arial" w:cs="Arial" w:eastAsia="Arial" w:hAnsi="Arial"/>
          <w:color w:val="000000"/>
          <w:sz w:val="22"/>
          <w:szCs w:val="22"/>
        </w:rPr>
        <w:t xml:space="preserve">Despite not resonating at 528 Hz, obsidian has properties relevant to the architecture: (a) its amorphous structure provides uniform, grain-boundary-free wave propagation; (b) its high acoustic impedance (14.2 MRayl) provides efficient coupling to piezoelectric transducers (PZT-5A: ~34 MRayl); (c) conchoidal fracture allows shaping to optical precision; (d) the silica tetrahedra bonding angle (~109.5°) is geometrically related to five-fold symmetry.</w:t>
      </w:r>
    </w:p>
    <w:p>
      <w:r>
        <w:br w:type="page"/>
      </w:r>
    </w:p>
    <w:p>
      <w:pPr>
        <w:pStyle w:val="Heading1"/>
        <w:spacing w:before="360" w:after="200"/>
      </w:pPr>
      <w:r>
        <w:rPr>
          <w:rFonts w:ascii="Arial" w:cs="Arial" w:eastAsia="Arial" w:hAnsi="Arial"/>
          <w:b/>
          <w:bCs/>
          <w:color w:val="1F4E79"/>
          <w:sz w:val="28"/>
          <w:szCs w:val="28"/>
        </w:rPr>
        <w:t xml:space="preserve">8. Full System Energy Budget</w:t>
      </w:r>
    </w:p>
    <w:p>
      <w:pPr>
        <w:pStyle w:val="Heading2"/>
        <w:spacing w:before="240" w:after="160"/>
      </w:pPr>
      <w:r>
        <w:rPr>
          <w:rFonts w:ascii="Arial" w:cs="Arial" w:eastAsia="Arial" w:hAnsi="Arial"/>
          <w:b/>
          <w:bCs/>
          <w:color w:val="1F4E79"/>
          <w:sz w:val="24"/>
          <w:szCs w:val="24"/>
        </w:rPr>
        <w:t xml:space="preserve">8.1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Value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Derivation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Peak power</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12,600 W (12.6 kW)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Documented Lumina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Burst energy (72s)</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280.6 kJ</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∫P(t)dt (numerical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Average power</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3,898 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E_burst / 72s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Core intensity (r=2.6m)</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148.8 W/m²</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 / (4πr²)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Hull intensity (r=17.8m)</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3.17 W/m²</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 / (4πr²)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Outer boundary (r=15km)</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4.46 × 10⁻⁶ W/m²</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 / (4πr²)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Casimir contribution</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2,635 fW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Negligible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Schumann coupling</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Modulation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No energy contribution</w:t>
            </w:r>
          </w:p>
        </w:tc>
      </w:tr>
    </w:tbl>
    <w:p>
      <w:pPr>
        <w:spacing w:after="60"/>
      </w:pPr>
    </w:p>
    <w:p>
      <w:pPr>
        <w:pStyle w:val="Heading2"/>
        <w:spacing w:before="240" w:after="160"/>
      </w:pPr>
      <w:r>
        <w:rPr>
          <w:rFonts w:ascii="Arial" w:cs="Arial" w:eastAsia="Arial" w:hAnsi="Arial"/>
          <w:b/>
          <w:bCs/>
          <w:color w:val="1F4E79"/>
          <w:sz w:val="24"/>
          <w:szCs w:val="24"/>
        </w:rPr>
        <w:t xml:space="preserve">8.2 Comparison to Known Systems</w:t>
      </w:r>
    </w:p>
    <w:p>
      <w:pPr>
        <w:spacing w:after="120" w:line="276"/>
        <w:jc w:val="both"/>
      </w:pPr>
      <w:r>
        <w:rPr>
          <w:rFonts w:ascii="Arial" w:cs="Arial" w:eastAsia="Arial" w:hAnsi="Arial"/>
          <w:color w:val="000000"/>
          <w:sz w:val="22"/>
          <w:szCs w:val="22"/>
        </w:rPr>
        <w:t xml:space="preserve">HAARP (High-frequency Active Auroral Research Program) delivers 3.6 MW to the ionosphere, producing a flux of approximately 3 W/m² at 100 km altitude (HAARP fact sheet, University of Alaska Fairbanks). The EPAS core intensity (148.8 W/m² at 2.6 m) is higher in flux density but the total power (12.6 kW) is 285× less than HAARP. The system operates as a coherent field effect, not as brute-force emission.</w:t>
      </w:r>
    </w:p>
    <w:p>
      <w:r>
        <w:br w:type="page"/>
      </w:r>
    </w:p>
    <w:p>
      <w:pPr>
        <w:pStyle w:val="Heading1"/>
        <w:spacing w:before="360" w:after="200"/>
      </w:pPr>
      <w:r>
        <w:rPr>
          <w:rFonts w:ascii="Arial" w:cs="Arial" w:eastAsia="Arial" w:hAnsi="Arial"/>
          <w:b/>
          <w:bCs/>
          <w:color w:val="1F4E79"/>
          <w:sz w:val="28"/>
          <w:szCs w:val="28"/>
        </w:rPr>
        <w:t xml:space="preserve">9. Falsifiable Predictions and Experimental Protocol</w:t>
      </w:r>
    </w:p>
    <w:p>
      <w:pPr>
        <w:spacing w:after="120" w:line="276"/>
        <w:jc w:val="both"/>
      </w:pPr>
      <w:r>
        <w:rPr>
          <w:rFonts w:ascii="Arial" w:cs="Arial" w:eastAsia="Arial" w:hAnsi="Arial"/>
          <w:color w:val="000000"/>
          <w:sz w:val="22"/>
          <w:szCs w:val="22"/>
        </w:rPr>
        <w:t xml:space="preserve">The following five predictions are derived from the EPAS/Lumina/Druid architecture. Each specifies a measurable outcome, experimental protocol, and null hypothesis.</w:t>
      </w:r>
    </w:p>
    <w:p>
      <w:pPr>
        <w:pStyle w:val="Heading2"/>
        <w:spacing w:before="240" w:after="160"/>
      </w:pPr>
      <w:r>
        <w:rPr>
          <w:rFonts w:ascii="Arial" w:cs="Arial" w:eastAsia="Arial" w:hAnsi="Arial"/>
          <w:b/>
          <w:bCs/>
          <w:color w:val="1F4E79"/>
          <w:sz w:val="24"/>
          <w:szCs w:val="24"/>
        </w:rPr>
        <w:t xml:space="preserve">9.1 Prediction 1: φ²-Scaled Resonance Enhancement</w:t>
      </w:r>
    </w:p>
    <w:p>
      <w:pPr>
        <w:spacing w:after="120" w:line="276"/>
        <w:jc w:val="both"/>
      </w:pPr>
      <w:r>
        <w:rPr>
          <w:rFonts w:ascii="Arial" w:cs="Arial" w:eastAsia="Arial" w:hAnsi="Arial"/>
          <w:color w:val="000000"/>
          <w:sz w:val="22"/>
          <w:szCs w:val="22"/>
        </w:rPr>
        <w:t xml:space="preserve">Hypothesis: Concentric shells spaced at φ² ratios produce higher acoustic Q-factor at 528 Hz than randomly-spaced shells of identical total material.</w:t>
      </w:r>
    </w:p>
    <w:p>
      <w:pPr>
        <w:spacing w:after="120" w:line="276"/>
        <w:jc w:val="both"/>
      </w:pPr>
      <w:r>
        <w:rPr>
          <w:rFonts w:ascii="Arial" w:cs="Arial" w:eastAsia="Arial" w:hAnsi="Arial"/>
          <w:color w:val="000000"/>
          <w:sz w:val="22"/>
          <w:szCs w:val="22"/>
        </w:rPr>
        <w:t xml:space="preserve">Protocol: Build four concentric acrylic tubes at diameters 110 mm, 42 mm, 16 mm, and 6 mm (φ² ratio). Mount a piezoelectric transducer at centre, driven by AD9850 DDS at 528.422 Hz. Measure amplitude at each shell boundary using MEMS accelerometer (ADXL345). Repeat with randomly-spaced control geometry. Sweep frequency 400–700 Hz.</w:t>
      </w:r>
    </w:p>
    <w:p>
      <w:pPr>
        <w:spacing w:after="120" w:line="276"/>
        <w:jc w:val="both"/>
      </w:pPr>
      <w:r>
        <w:rPr>
          <w:rFonts w:ascii="Arial" w:cs="Arial" w:eastAsia="Arial" w:hAnsi="Arial"/>
          <w:color w:val="000000"/>
          <w:sz w:val="22"/>
          <w:szCs w:val="22"/>
        </w:rPr>
        <w:t xml:space="preserve">Null hypothesis: Q-factor is independent of shell spacing geometry. No frequency selectivity at 528 Hz.</w:t>
      </w:r>
    </w:p>
    <w:p>
      <w:pPr>
        <w:spacing w:after="120" w:line="276"/>
        <w:jc w:val="both"/>
      </w:pPr>
      <w:r>
        <w:rPr>
          <w:rFonts w:ascii="Arial" w:cs="Arial" w:eastAsia="Arial" w:hAnsi="Arial"/>
          <w:color w:val="000000"/>
          <w:sz w:val="22"/>
          <w:szCs w:val="22"/>
        </w:rPr>
        <w:t xml:space="preserve">Estimated cost: £30–50 beyond existing Arduino + AD9850 hardware.</w:t>
      </w:r>
    </w:p>
    <w:p>
      <w:pPr>
        <w:pStyle w:val="Heading2"/>
        <w:spacing w:before="240" w:after="160"/>
      </w:pPr>
      <w:r>
        <w:rPr>
          <w:rFonts w:ascii="Arial" w:cs="Arial" w:eastAsia="Arial" w:hAnsi="Arial"/>
          <w:b/>
          <w:bCs/>
          <w:color w:val="1F4E79"/>
          <w:sz w:val="24"/>
          <w:szCs w:val="24"/>
        </w:rPr>
        <w:t xml:space="preserve">9.2 Prediction 2: Asymmetric Pulse Decay</w:t>
      </w:r>
    </w:p>
    <w:p>
      <w:pPr>
        <w:spacing w:after="120" w:line="276"/>
        <w:jc w:val="both"/>
      </w:pPr>
      <w:r>
        <w:rPr>
          <w:rFonts w:ascii="Arial" w:cs="Arial" w:eastAsia="Arial" w:hAnsi="Arial"/>
          <w:color w:val="000000"/>
          <w:sz w:val="22"/>
          <w:szCs w:val="22"/>
        </w:rPr>
        <w:t xml:space="preserve">Hypothesis: A coherent pulse in a φ²-scaled resonator exhibits rise:fall asymmetry of 0.667 ± 0.05 due to TPA/FCA-like loss mechanisms.</w:t>
      </w:r>
    </w:p>
    <w:p>
      <w:pPr>
        <w:spacing w:after="120" w:line="276"/>
        <w:jc w:val="both"/>
      </w:pPr>
      <w:r>
        <w:rPr>
          <w:rFonts w:ascii="Arial" w:cs="Arial" w:eastAsia="Arial" w:hAnsi="Arial"/>
          <w:color w:val="000000"/>
          <w:sz w:val="22"/>
          <w:szCs w:val="22"/>
        </w:rPr>
        <w:t xml:space="preserve">Protocol: Drive the resonator with a single burst at 528 Hz. Record the envelope using a high-speed microphone or accelerometer. Measure rise time (10–90% amplitude) and fall time (90–10%).</w:t>
      </w:r>
    </w:p>
    <w:p>
      <w:pPr>
        <w:spacing w:after="120" w:line="276"/>
        <w:jc w:val="both"/>
      </w:pPr>
      <w:r>
        <w:rPr>
          <w:rFonts w:ascii="Arial" w:cs="Arial" w:eastAsia="Arial" w:hAnsi="Arial"/>
          <w:color w:val="000000"/>
          <w:sz w:val="22"/>
          <w:szCs w:val="22"/>
        </w:rPr>
        <w:t xml:space="preserve">Null hypothesis: Symmetric decay (ratio = 1.0 ± 0.1).</w:t>
      </w:r>
    </w:p>
    <w:p>
      <w:pPr>
        <w:pStyle w:val="Heading2"/>
        <w:spacing w:before="240" w:after="160"/>
      </w:pPr>
      <w:r>
        <w:rPr>
          <w:rFonts w:ascii="Arial" w:cs="Arial" w:eastAsia="Arial" w:hAnsi="Arial"/>
          <w:b/>
          <w:bCs/>
          <w:color w:val="1F4E79"/>
          <w:sz w:val="24"/>
          <w:szCs w:val="24"/>
        </w:rPr>
        <w:t xml:space="preserve">9.3 Prediction 3: Counter-Frequency Selective Attenuation</w:t>
      </w:r>
    </w:p>
    <w:p>
      <w:pPr>
        <w:spacing w:after="120" w:line="276"/>
        <w:jc w:val="both"/>
      </w:pPr>
      <w:r>
        <w:rPr>
          <w:rFonts w:ascii="Arial" w:cs="Arial" w:eastAsia="Arial" w:hAnsi="Arial"/>
          <w:color w:val="000000"/>
          <w:sz w:val="22"/>
          <w:szCs w:val="22"/>
        </w:rPr>
        <w:t xml:space="preserve">Hypothesis: Simultaneous excitation at 528 Hz and 326.3 Hz produces selective attenuation of externally-injected broadband noise within the 326–854 Hz band.</w:t>
      </w:r>
    </w:p>
    <w:p>
      <w:pPr>
        <w:spacing w:after="120" w:line="276"/>
        <w:jc w:val="both"/>
      </w:pPr>
      <w:r>
        <w:rPr>
          <w:rFonts w:ascii="Arial" w:cs="Arial" w:eastAsia="Arial" w:hAnsi="Arial"/>
          <w:color w:val="000000"/>
          <w:sz w:val="22"/>
          <w:szCs w:val="22"/>
        </w:rPr>
        <w:t xml:space="preserve">Protocol: Inject white noise into the resonator via external speaker. Measure output spectrum with and without the dual-frequency drive. Compare attenuation in the predicted band versus outside.</w:t>
      </w:r>
    </w:p>
    <w:p>
      <w:pPr>
        <w:spacing w:after="120" w:line="276"/>
        <w:jc w:val="both"/>
      </w:pPr>
      <w:r>
        <w:rPr>
          <w:rFonts w:ascii="Arial" w:cs="Arial" w:eastAsia="Arial" w:hAnsi="Arial"/>
          <w:color w:val="000000"/>
          <w:sz w:val="22"/>
          <w:szCs w:val="22"/>
        </w:rPr>
        <w:t xml:space="preserve">Null hypothesis: No selective attenuation in the φ-conjugate band.</w:t>
      </w:r>
    </w:p>
    <w:p>
      <w:pPr>
        <w:pStyle w:val="Heading2"/>
        <w:spacing w:before="240" w:after="160"/>
      </w:pPr>
      <w:r>
        <w:rPr>
          <w:rFonts w:ascii="Arial" w:cs="Arial" w:eastAsia="Arial" w:hAnsi="Arial"/>
          <w:b/>
          <w:bCs/>
          <w:color w:val="1F4E79"/>
          <w:sz w:val="24"/>
          <w:szCs w:val="24"/>
        </w:rPr>
        <w:t xml:space="preserve">9.4 Prediction 4: φ² Bridge Uniqueness</w:t>
      </w:r>
    </w:p>
    <w:p>
      <w:pPr>
        <w:spacing w:after="120" w:line="276"/>
        <w:jc w:val="both"/>
      </w:pPr>
      <w:r>
        <w:rPr>
          <w:rFonts w:ascii="Arial" w:cs="Arial" w:eastAsia="Arial" w:hAnsi="Arial"/>
          <w:color w:val="000000"/>
          <w:sz w:val="22"/>
          <w:szCs w:val="22"/>
        </w:rPr>
        <w:t xml:space="preserve">Hypothesis: 528.422 Hz is the only frequency in the 520–536 Hz range that bridges to the hydrogen 21 cm line via an integer × φ² with &lt; 10 ppb precision.</w:t>
      </w:r>
    </w:p>
    <w:p>
      <w:pPr>
        <w:spacing w:after="120" w:line="276"/>
        <w:jc w:val="both"/>
      </w:pPr>
      <w:r>
        <w:rPr>
          <w:rFonts w:ascii="Arial" w:cs="Arial" w:eastAsia="Arial" w:hAnsi="Arial"/>
          <w:color w:val="000000"/>
          <w:sz w:val="22"/>
          <w:szCs w:val="22"/>
        </w:rPr>
        <w:t xml:space="preserve">Computational result: Exhaustive search confirmed only two matches below 10 ppb within ±8 Hz of 528 Hz: 528.422 Hz (1.29 ppb) and 532.1 Hz (0.11 ppb). The prediction is partially supported — the bridge is sparse but not unique in the local neighbourhood.</w:t>
      </w:r>
    </w:p>
    <w:p>
      <w:pPr>
        <w:pStyle w:val="Heading2"/>
        <w:spacing w:before="240" w:after="160"/>
      </w:pPr>
      <w:r>
        <w:rPr>
          <w:rFonts w:ascii="Arial" w:cs="Arial" w:eastAsia="Arial" w:hAnsi="Arial"/>
          <w:b/>
          <w:bCs/>
          <w:color w:val="1F4E79"/>
          <w:sz w:val="24"/>
          <w:szCs w:val="24"/>
        </w:rPr>
        <w:t xml:space="preserve">9.5 Prediction 5: Schumann Modulation in Resonator Output</w:t>
      </w:r>
    </w:p>
    <w:p>
      <w:pPr>
        <w:spacing w:after="120" w:line="276"/>
        <w:jc w:val="both"/>
      </w:pPr>
      <w:r>
        <w:rPr>
          <w:rFonts w:ascii="Arial" w:cs="Arial" w:eastAsia="Arial" w:hAnsi="Arial"/>
          <w:color w:val="000000"/>
          <w:sz w:val="22"/>
          <w:szCs w:val="22"/>
        </w:rPr>
        <w:t xml:space="preserve">Hypothesis: A piezo-driven φ² resonator on Earth’s surface exhibits detectable 7.83 Hz modulation in its output spectrum due to Schumann resonance coupling through the electromagnetic environment.</w:t>
      </w:r>
    </w:p>
    <w:p>
      <w:pPr>
        <w:spacing w:after="120" w:line="276"/>
        <w:jc w:val="both"/>
      </w:pPr>
      <w:r>
        <w:rPr>
          <w:rFonts w:ascii="Arial" w:cs="Arial" w:eastAsia="Arial" w:hAnsi="Arial"/>
          <w:color w:val="000000"/>
          <w:sz w:val="22"/>
          <w:szCs w:val="22"/>
        </w:rPr>
        <w:t xml:space="preserve">Protocol: FFT analysis of resonator output in normal laboratory environment versus anechoic/shielded enclosure.</w:t>
      </w:r>
    </w:p>
    <w:p>
      <w:pPr>
        <w:spacing w:after="120" w:line="276"/>
        <w:jc w:val="both"/>
      </w:pPr>
      <w:r>
        <w:rPr>
          <w:rFonts w:ascii="Arial" w:cs="Arial" w:eastAsia="Arial" w:hAnsi="Arial"/>
          <w:color w:val="000000"/>
          <w:sz w:val="22"/>
          <w:szCs w:val="22"/>
        </w:rPr>
        <w:t xml:space="preserve">Null hypothesis: No 7.83 Hz component above noise floor.</w:t>
      </w:r>
    </w:p>
    <w:p>
      <w:r>
        <w:br w:type="page"/>
      </w:r>
    </w:p>
    <w:p>
      <w:pPr>
        <w:pStyle w:val="Heading1"/>
        <w:spacing w:before="360" w:after="200"/>
      </w:pPr>
      <w:r>
        <w:rPr>
          <w:rFonts w:ascii="Arial" w:cs="Arial" w:eastAsia="Arial" w:hAnsi="Arial"/>
          <w:b/>
          <w:bCs/>
          <w:color w:val="1F4E79"/>
          <w:sz w:val="28"/>
          <w:szCs w:val="28"/>
        </w:rPr>
        <w:t xml:space="preserve">10. Discussion and Limitations</w:t>
      </w:r>
    </w:p>
    <w:p>
      <w:pPr>
        <w:pStyle w:val="Heading2"/>
        <w:spacing w:before="240" w:after="160"/>
      </w:pPr>
      <w:r>
        <w:rPr>
          <w:rFonts w:ascii="Arial" w:cs="Arial" w:eastAsia="Arial" w:hAnsi="Arial"/>
          <w:b/>
          <w:bCs/>
          <w:color w:val="1F4E79"/>
          <w:sz w:val="24"/>
          <w:szCs w:val="24"/>
        </w:rPr>
        <w:t xml:space="preserve">10.1 What This Paper Claims</w:t>
      </w:r>
    </w:p>
    <w:p>
      <w:pPr>
        <w:spacing w:after="120" w:line="276"/>
        <w:jc w:val="both"/>
      </w:pPr>
      <w:r>
        <w:rPr>
          <w:rFonts w:ascii="Arial" w:cs="Arial" w:eastAsia="Arial" w:hAnsi="Arial"/>
          <w:color w:val="000000"/>
          <w:sz w:val="22"/>
          <w:szCs w:val="22"/>
        </w:rPr>
        <w:t xml:space="preserve">This paper presents a theoretical architecture — EPAS — grounded in φ² geometry, documented Lumina parameters, and established physics (FWM, Casimir effect, acoustic impedance). The φ² coherence bridge is a genuine mathematical result (1.29 ppb). The nine-shell cascade produces physically reasonable power densities at the documented 12.6 kW level. Five falsifiable predictions are offered for experimental test.</w:t>
      </w:r>
    </w:p>
    <w:p>
      <w:pPr>
        <w:pStyle w:val="Heading2"/>
        <w:spacing w:before="240" w:after="160"/>
      </w:pPr>
      <w:r>
        <w:rPr>
          <w:rFonts w:ascii="Arial" w:cs="Arial" w:eastAsia="Arial" w:hAnsi="Arial"/>
          <w:b/>
          <w:bCs/>
          <w:color w:val="1F4E79"/>
          <w:sz w:val="24"/>
          <w:szCs w:val="24"/>
        </w:rPr>
        <w:t xml:space="preserve">10.2 What This Paper Does Not Claim</w:t>
      </w:r>
    </w:p>
    <w:p>
      <w:pPr>
        <w:spacing w:after="120" w:line="276"/>
        <w:jc w:val="both"/>
      </w:pPr>
      <w:r>
        <w:rPr>
          <w:rFonts w:ascii="Arial" w:cs="Arial" w:eastAsia="Arial" w:hAnsi="Arial"/>
          <w:color w:val="000000"/>
          <w:sz w:val="22"/>
          <w:szCs w:val="22"/>
        </w:rPr>
        <w:t xml:space="preserve">No experimental validation of the EPAS architecture has been performed. The Wow! signal analysis is consistent with the framework but not diagnostic — a six-point Gaussian fit does not constitute proof. The Casimir chamber at 8 μm plate separation produces femtowatts, not the amplification factors suggested in some prior work. The handheld-scale implementation (Project Druid staff) operates at a fundamentally different energy scale than the full EPAS architecture and requires independent analysis.</w:t>
      </w:r>
    </w:p>
    <w:p>
      <w:pPr>
        <w:pStyle w:val="Heading2"/>
        <w:spacing w:before="240" w:after="160"/>
      </w:pPr>
      <w:r>
        <w:rPr>
          <w:rFonts w:ascii="Arial" w:cs="Arial" w:eastAsia="Arial" w:hAnsi="Arial"/>
          <w:b/>
          <w:bCs/>
          <w:color w:val="1F4E79"/>
          <w:sz w:val="24"/>
          <w:szCs w:val="24"/>
        </w:rPr>
        <w:t xml:space="preserve">10.3 Energy Source Gap</w:t>
      </w:r>
    </w:p>
    <w:p>
      <w:pPr>
        <w:spacing w:after="120" w:line="276"/>
        <w:jc w:val="both"/>
      </w:pPr>
      <w:r>
        <w:rPr>
          <w:rFonts w:ascii="Arial" w:cs="Arial" w:eastAsia="Arial" w:hAnsi="Arial"/>
          <w:color w:val="000000"/>
          <w:sz w:val="22"/>
          <w:szCs w:val="22"/>
        </w:rPr>
        <w:t xml:space="preserve">The EPAS architecture requires 12.6 kW peak power. This is not available from battery-powered handheld devices. A full-scale EPAS system would require a dedicated power source comparable to a small RF transmitter installation. Scaling the architecture to handheld dimensions introduces a power deficit of approximately 100×.</w:t>
      </w:r>
    </w:p>
    <w:p>
      <w:pPr>
        <w:pStyle w:val="Heading2"/>
        <w:spacing w:before="240" w:after="160"/>
      </w:pPr>
      <w:r>
        <w:rPr>
          <w:rFonts w:ascii="Arial" w:cs="Arial" w:eastAsia="Arial" w:hAnsi="Arial"/>
          <w:b/>
          <w:bCs/>
          <w:color w:val="1F4E79"/>
          <w:sz w:val="24"/>
          <w:szCs w:val="24"/>
        </w:rPr>
        <w:t xml:space="preserve">10.4 Casimir Effect Limitations</w:t>
      </w:r>
    </w:p>
    <w:p>
      <w:pPr>
        <w:spacing w:after="120" w:line="276"/>
        <w:jc w:val="both"/>
      </w:pPr>
      <w:r>
        <w:rPr>
          <w:rFonts w:ascii="Arial" w:cs="Arial" w:eastAsia="Arial" w:hAnsi="Arial"/>
          <w:color w:val="000000"/>
          <w:sz w:val="22"/>
          <w:szCs w:val="22"/>
        </w:rPr>
        <w:t xml:space="preserve">The Casimir effect is real and experimentally verified, but the energy available at the documented 8 μm plate gaps is approximately 10¹⁸ times less than the Lumina power budget. Engineering Casimir devices to contribute meaningful energy requires sub-100 nm gaps — achievable with MEMS fabrication but representing a different engineering challenge than the current machined-plate design.</w:t>
      </w:r>
    </w:p>
    <w:p>
      <w:pPr>
        <w:pStyle w:val="Heading2"/>
        <w:spacing w:before="240" w:after="160"/>
      </w:pPr>
      <w:r>
        <w:rPr>
          <w:rFonts w:ascii="Arial" w:cs="Arial" w:eastAsia="Arial" w:hAnsi="Arial"/>
          <w:b/>
          <w:bCs/>
          <w:color w:val="1F4E79"/>
          <w:sz w:val="24"/>
          <w:szCs w:val="24"/>
        </w:rPr>
        <w:t xml:space="preserve">10.5 Path Forward</w:t>
      </w:r>
    </w:p>
    <w:p>
      <w:pPr>
        <w:spacing w:after="120" w:line="276"/>
        <w:jc w:val="both"/>
      </w:pPr>
      <w:r>
        <w:rPr>
          <w:rFonts w:ascii="Arial" w:cs="Arial" w:eastAsia="Arial" w:hAnsi="Arial"/>
          <w:color w:val="000000"/>
          <w:sz w:val="22"/>
          <w:szCs w:val="22"/>
        </w:rPr>
        <w:t xml:space="preserve">The immediate experimental priority is Prediction 1: building a bench-scale φ² resonator and measuring whether the geometry produces anomalous acoustic amplification. This test requires approximately £30–50 in materials, uses existing Arduino + AD9850 hardware, and provides a direct, falsifiable result within weeks. A positive result would justify investment in the more complex predictions. A negative result would constrain the theoretical framework.</w:t>
      </w:r>
    </w:p>
    <w:p>
      <w:r>
        <w:br w:type="page"/>
      </w:r>
    </w:p>
    <w:p>
      <w:pPr>
        <w:pStyle w:val="Heading1"/>
        <w:spacing w:before="360" w:after="200"/>
      </w:pPr>
      <w:r>
        <w:rPr>
          <w:rFonts w:ascii="Arial" w:cs="Arial" w:eastAsia="Arial" w:hAnsi="Arial"/>
          <w:b/>
          <w:bCs/>
          <w:color w:val="1F4E79"/>
          <w:sz w:val="28"/>
          <w:szCs w:val="28"/>
        </w:rPr>
        <w:t xml:space="preserve">References</w:t>
      </w:r>
    </w:p>
    <w:p>
      <w:pPr>
        <w:spacing w:after="80"/>
        <w:ind w:left="480" w:hanging="480"/>
      </w:pPr>
      <w:r>
        <w:rPr>
          <w:rFonts w:ascii="Arial" w:cs="Arial" w:eastAsia="Arial" w:hAnsi="Arial"/>
          <w:color w:val="000000"/>
          <w:sz w:val="20"/>
          <w:szCs w:val="20"/>
        </w:rPr>
        <w:t xml:space="preserve">[1] Boyd, R. W. (2020). Nonlinear Optics, 4th ed. Academic Press.</w:t>
      </w:r>
    </w:p>
    <w:p>
      <w:pPr>
        <w:spacing w:after="80"/>
        <w:ind w:left="480" w:hanging="480"/>
      </w:pPr>
      <w:r>
        <w:rPr>
          <w:rFonts w:ascii="Arial" w:cs="Arial" w:eastAsia="Arial" w:hAnsi="Arial"/>
          <w:color w:val="000000"/>
          <w:sz w:val="20"/>
          <w:szCs w:val="20"/>
        </w:rPr>
        <w:t xml:space="preserve">[2] Bressi, G., Carugno, G., Onofrio, R., &amp; Ruoso, G. (2002). Measurement of the Casimir force between parallel metallic surfaces. Physical Review Letters, 88(4), 041804.</w:t>
      </w:r>
    </w:p>
    <w:p>
      <w:pPr>
        <w:spacing w:after="80"/>
        <w:ind w:left="480" w:hanging="480"/>
      </w:pPr>
      <w:r>
        <w:rPr>
          <w:rFonts w:ascii="Arial" w:cs="Arial" w:eastAsia="Arial" w:hAnsi="Arial"/>
          <w:color w:val="000000"/>
          <w:sz w:val="20"/>
          <w:szCs w:val="20"/>
        </w:rPr>
        <w:t xml:space="preserve">[3] Christensen, N. I. (1996). Poisson’s ratio and crustal seismology. Journal of Geophysical Research, 101(B2), 3139–3156.</w:t>
      </w:r>
    </w:p>
    <w:p>
      <w:pPr>
        <w:spacing w:after="80"/>
        <w:ind w:left="480" w:hanging="480"/>
      </w:pPr>
      <w:r>
        <w:rPr>
          <w:rFonts w:ascii="Arial" w:cs="Arial" w:eastAsia="Arial" w:hAnsi="Arial"/>
          <w:color w:val="000000"/>
          <w:sz w:val="20"/>
          <w:szCs w:val="20"/>
        </w:rPr>
        <w:t xml:space="preserve">[4] Deer, W. A., Howie, R. A., &amp; Zussman, J. (2013). An Introduction to the Rock-Forming Minerals, 3rd ed. Mineralogical Society.</w:t>
      </w:r>
    </w:p>
    <w:p>
      <w:pPr>
        <w:spacing w:after="80"/>
        <w:ind w:left="480" w:hanging="480"/>
      </w:pPr>
      <w:r>
        <w:rPr>
          <w:rFonts w:ascii="Arial" w:cs="Arial" w:eastAsia="Arial" w:hAnsi="Arial"/>
          <w:color w:val="000000"/>
          <w:sz w:val="20"/>
          <w:szCs w:val="20"/>
        </w:rPr>
        <w:t xml:space="preserve">[5] Ehman, J. R. (1997). The Big Ear Wow! Signal: What We Know and Don’t Know About It After 20 Years. Big Ear Memorial Website (bigear.org).</w:t>
      </w:r>
    </w:p>
    <w:p>
      <w:pPr>
        <w:spacing w:after="80"/>
        <w:ind w:left="480" w:hanging="480"/>
      </w:pPr>
      <w:r>
        <w:rPr>
          <w:rFonts w:ascii="Arial" w:cs="Arial" w:eastAsia="Arial" w:hAnsi="Arial"/>
          <w:color w:val="000000"/>
          <w:sz w:val="20"/>
          <w:szCs w:val="20"/>
        </w:rPr>
        <w:t xml:space="preserve">[6] Ewen, H. I., &amp; Purcell, E. M. (1951). Observation of a line in the galactic radio spectrum. Nature, 168, 356.</w:t>
      </w:r>
    </w:p>
    <w:p>
      <w:pPr>
        <w:spacing w:after="80"/>
        <w:ind w:left="480" w:hanging="480"/>
      </w:pPr>
      <w:r>
        <w:rPr>
          <w:rFonts w:ascii="Arial" w:cs="Arial" w:eastAsia="Arial" w:hAnsi="Arial"/>
          <w:color w:val="000000"/>
          <w:sz w:val="20"/>
          <w:szCs w:val="20"/>
        </w:rPr>
        <w:t xml:space="preserve">[7] Hansryd, J., Andrekson, P. A., Westlund, M., Li, J., &amp; Hedekvist, P. O. (2002). Fiber-based optical parametric amplifiers and their applications. IEEE Journal of Selected Topics in Quantum Electronics, 8(3), 506–520.</w:t>
      </w:r>
    </w:p>
    <w:p>
      <w:pPr>
        <w:spacing w:after="80"/>
        <w:ind w:left="480" w:hanging="480"/>
      </w:pPr>
      <w:r>
        <w:rPr>
          <w:rFonts w:ascii="Arial" w:cs="Arial" w:eastAsia="Arial" w:hAnsi="Arial"/>
          <w:color w:val="000000"/>
          <w:sz w:val="20"/>
          <w:szCs w:val="20"/>
        </w:rPr>
        <w:t xml:space="preserve">[8] Kippenberg, T. J., Spillane, S. M., &amp; Vahala, K. J. (2004). Kerr-nonlinearity optical parametric oscillation in an ultrahigh-Q toroid microcavity. Physical Review Letters, 93(8), 083904.</w:t>
      </w:r>
    </w:p>
    <w:p>
      <w:pPr>
        <w:spacing w:after="80"/>
        <w:ind w:left="480" w:hanging="480"/>
      </w:pPr>
      <w:r>
        <w:rPr>
          <w:rFonts w:ascii="Arial" w:cs="Arial" w:eastAsia="Arial" w:hAnsi="Arial"/>
          <w:color w:val="000000"/>
          <w:sz w:val="20"/>
          <w:szCs w:val="20"/>
        </w:rPr>
        <w:t xml:space="preserve">[9] Lamoreaux, S. K. (1997). Demonstration of the Casimir force in the 0.6 to 6 μm range. Physical Review Letters, 78(1), 5–8.</w:t>
      </w:r>
    </w:p>
    <w:p>
      <w:pPr>
        <w:spacing w:after="80"/>
        <w:ind w:left="480" w:hanging="480"/>
      </w:pPr>
      <w:r>
        <w:rPr>
          <w:rFonts w:ascii="Arial" w:cs="Arial" w:eastAsia="Arial" w:hAnsi="Arial"/>
          <w:color w:val="000000"/>
          <w:sz w:val="20"/>
          <w:szCs w:val="20"/>
        </w:rPr>
        <w:t xml:space="preserve">[10] Levine, D., &amp; Steinhardt, P. J. (1984). Quasicrystals: A new class of ordered structures. Physical Review Letters, 53(26), 2477–2480.</w:t>
      </w:r>
    </w:p>
    <w:p>
      <w:pPr>
        <w:spacing w:after="80"/>
        <w:ind w:left="480" w:hanging="480"/>
      </w:pPr>
      <w:r>
        <w:rPr>
          <w:rFonts w:ascii="Arial" w:cs="Arial" w:eastAsia="Arial" w:hAnsi="Arial"/>
          <w:color w:val="000000"/>
          <w:sz w:val="20"/>
          <w:szCs w:val="20"/>
        </w:rPr>
        <w:t xml:space="preserve">[11] Schumann, W. O. (1952). Über die strahlungslosen Eigenschwingungen einer leitenden Kugel, die von einer Luftschicht und einer Ionosphärenhülle umgeben ist. Zeitschrift für Naturforschung A, 7, 149–154.</w:t>
      </w:r>
    </w:p>
    <w:p>
      <w:pPr>
        <w:spacing w:after="80"/>
        <w:ind w:left="480" w:hanging="480"/>
      </w:pPr>
      <w:r>
        <w:rPr>
          <w:rFonts w:ascii="Arial" w:cs="Arial" w:eastAsia="Arial" w:hAnsi="Arial"/>
          <w:color w:val="000000"/>
          <w:sz w:val="20"/>
          <w:szCs w:val="20"/>
        </w:rPr>
        <w:t xml:space="preserve">[12] Shechtman, D., Blech, I., Gratias, D., &amp; Cahn, J. W. (1984). Metallic phase with long-range orientational order and no translational symmetry. Physical Review Letters, 53(20), 1951–1953.</w:t>
      </w:r>
    </w:p>
    <w:p>
      <w:pPr>
        <w:spacing w:after="80"/>
        <w:ind w:left="480" w:hanging="480"/>
      </w:pPr>
      <w:r>
        <w:rPr>
          <w:rFonts w:ascii="Arial" w:cs="Arial" w:eastAsia="Arial" w:hAnsi="Arial"/>
          <w:color w:val="000000"/>
          <w:sz w:val="20"/>
          <w:szCs w:val="20"/>
        </w:rPr>
        <w:t xml:space="preserve">[13] van de Hulst, H. C. (1945). Radio waves from space: Origin of radiowaves. Nederlands Tijdschrift voor Natuurkunde, 11, 210.</w:t>
      </w:r>
    </w:p>
    <w:p>
      <w:pPr>
        <w:spacing w:after="80"/>
        <w:ind w:left="480" w:hanging="480"/>
      </w:pPr>
      <w:r>
        <w:rPr>
          <w:rFonts w:ascii="Arial" w:cs="Arial" w:eastAsia="Arial" w:hAnsi="Arial"/>
          <w:color w:val="000000"/>
          <w:sz w:val="20"/>
          <w:szCs w:val="20"/>
        </w:rPr>
        <w:t xml:space="preserve">[14] Von Hippel, A. R. (1954). Dielectric Materials and Applications. MIT Press.</w:t>
      </w:r>
    </w:p>
    <w:p>
      <w:pPr>
        <w:spacing w:after="80"/>
        <w:ind w:left="480" w:hanging="480"/>
      </w:pPr>
      <w:r>
        <w:rPr>
          <w:rFonts w:ascii="Arial" w:cs="Arial" w:eastAsia="Arial" w:hAnsi="Arial"/>
          <w:color w:val="000000"/>
          <w:sz w:val="20"/>
          <w:szCs w:val="20"/>
        </w:rPr>
        <w:t xml:space="preserve">[15] Wilson, C. M., et al. (2011). Observation of the dynamical Casimir effect in a superconducting circuit. Nature, 479, 376–379.</w:t>
      </w:r>
    </w:p>
    <w:p>
      <w:pPr>
        <w:spacing w:after="60"/>
      </w:pPr>
    </w:p>
    <w:p>
      <w:pPr>
        <w:spacing w:after="120" w:line="276"/>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666666"/>
        <w:sz w:val="16"/>
        <w:szCs w:val="16"/>
      </w:rPr>
      <w:t xml:space="preserve">Leckey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666666"/>
        <w:sz w:val="16"/>
        <w:szCs w:val="16"/>
      </w:rPr>
      <w:t xml:space="preserve">EPAS Unified Architecture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2026-03-15T20:12:48.898Z</dcterms:created>
  <dcterms:modified xsi:type="dcterms:W3CDTF">2026-03-15T20:12:48.899Z</dcterms:modified>
</cp:coreProperties>
</file>

<file path=docProps/custom.xml><?xml version="1.0" encoding="utf-8"?>
<Properties xmlns="http://schemas.openxmlformats.org/officeDocument/2006/custom-properties" xmlns:vt="http://schemas.openxmlformats.org/officeDocument/2006/docPropsVTypes"/>
</file>