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erg42rcojn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Mythology → Method: Test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ulkep2sv1z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A) The Cathedral / Tree Blueprint (Seed → Soil → Roots → Trunk → Branches → Leaves → Fruit)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 (mythic):</w:t>
      </w:r>
      <w:r w:rsidDel="00000000" w:rsidR="00000000" w:rsidRPr="00000000">
        <w:rPr>
          <w:rtl w:val="0"/>
        </w:rPr>
        <w:t xml:space="preserve"> The system grows through phases; coherence and usable power should rise and stabilize across P1–P6.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Operationalization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 set: Γ(t) (coherence), V_out(t), P_out(t), fault flags, temp.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Hypotheses: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H1 (Monotone rise):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Γ increases P1→P3, plateaus P4–P5, remains ≥0.945 through P6.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H2 (Phase alignment):</w:t>
      </w:r>
      <w:r w:rsidDel="00000000" w:rsidR="00000000" w:rsidRPr="00000000">
        <w:rPr>
          <w:rtl w:val="0"/>
        </w:rPr>
        <w:t xml:space="preserve"> Peak ΔM coincides with P3–P4 windows.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H3 (Demonstration leaf):</w:t>
      </w:r>
      <w:r w:rsidDel="00000000" w:rsidR="00000000" w:rsidRPr="00000000">
        <w:rPr>
          <w:rtl w:val="0"/>
        </w:rPr>
        <w:t xml:space="preserve"> Live broadcast runs produce the same shape under public load.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30 full cycles (10 s each) with identical inputs.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Control: detuned cavity run (no DCE).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Analysis: piecewise linear fit of Γ(t); ANOVA across phases; equivalence test vs detuned control.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 criteria: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H1 &amp; H2 p&lt;0.01; effect size (Cohen’s d) ≥0.8; detuned control shows no structured rise.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lifn2m3p7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B) “Celtic Frequencies” (7.83 / 528 / 963 Hz)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 (mythic):</w:t>
      </w:r>
      <w:r w:rsidDel="00000000" w:rsidR="00000000" w:rsidRPr="00000000">
        <w:rPr>
          <w:rtl w:val="0"/>
        </w:rPr>
        <w:t xml:space="preserve"> These harmonics aid lock-in and stability.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Operationalization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them as </w:t>
      </w:r>
      <w:r w:rsidDel="00000000" w:rsidR="00000000" w:rsidRPr="00000000">
        <w:rPr>
          <w:b w:val="1"/>
          <w:rtl w:val="0"/>
        </w:rPr>
        <w:t xml:space="preserve">reference clocks/filters</w:t>
      </w:r>
      <w:r w:rsidDel="00000000" w:rsidR="00000000" w:rsidRPr="00000000">
        <w:rPr>
          <w:rtl w:val="0"/>
        </w:rPr>
        <w:t xml:space="preserve">, not metaphysical givens.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Hypotheses: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H4:</w:t>
      </w:r>
      <w:r w:rsidDel="00000000" w:rsidR="00000000" w:rsidRPr="00000000">
        <w:rPr>
          <w:rtl w:val="0"/>
        </w:rPr>
        <w:t xml:space="preserve"> Using 7.83 Hz as the phase-reference reduces detuning |Δf| versus a nearby sham (e.g., 7.2 Hz).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H5:</w:t>
      </w:r>
      <w:r w:rsidDel="00000000" w:rsidR="00000000" w:rsidRPr="00000000">
        <w:rPr>
          <w:rtl w:val="0"/>
        </w:rPr>
        <w:t xml:space="preserve"> Midband cue at 528 Hz shortens lock time tlockt_{\text{lock}}tlock​.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H6:</w:t>
      </w:r>
      <w:r w:rsidDel="00000000" w:rsidR="00000000" w:rsidRPr="00000000">
        <w:rPr>
          <w:rtl w:val="0"/>
        </w:rPr>
        <w:t xml:space="preserve"> 963 Hz cue reduces phase noise (PN) in steady state.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Latin-square across cues {true vs sham}.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trials each; blind filenames.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Metrics: median |Δf|, lock time, PN@1–10 kHz offset.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true cue beats sham by ≥20% with p&lt;0.01; pre-registered.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2nfi0mwsgz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C) “Donegal / Sunrise Orientation”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 (mythic):</w:t>
      </w:r>
      <w:r w:rsidDel="00000000" w:rsidR="00000000" w:rsidRPr="00000000">
        <w:rPr>
          <w:rtl w:val="0"/>
        </w:rPr>
        <w:t xml:space="preserve"> Orientation and local dawn improve performance.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Operationalization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Hypotheses: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H7:</w:t>
      </w:r>
      <w:r w:rsidDel="00000000" w:rsidR="00000000" w:rsidRPr="00000000">
        <w:rPr>
          <w:rtl w:val="0"/>
        </w:rPr>
        <w:t xml:space="preserve"> Running at civil sunrise ±20 min increases Γ and reduces start-up energy to reach P3.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H8: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Facing NW vs random orientation improves stability margin m=(G−L)m = (G-L)m=(G−L) clamp error.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AB/BA crossover for 14 consecutive days.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Controls: indoor Faraday cage (no external RF), identical thermal conditions.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Sunrise runs show Γ↑ ≥10% and start-up energy ↓ ≥10% with p&lt;0.05; orientation effect consistent across ≥3 locations.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1tn1wruf7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D) “Love/Repair (528) moves people” (Human node)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 (mythic):</w:t>
      </w:r>
      <w:r w:rsidDel="00000000" w:rsidR="00000000" w:rsidRPr="00000000">
        <w:rPr>
          <w:rtl w:val="0"/>
        </w:rPr>
        <w:t xml:space="preserve"> Human coherence couples to the system during mid-band operations.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Operationalization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Metrics: HRV LF power (ms²), EEG α power (µV²), self-report (Likert).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Hypotheses: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H9:</w:t>
      </w:r>
      <w:r w:rsidDel="00000000" w:rsidR="00000000" w:rsidRPr="00000000">
        <w:rPr>
          <w:rtl w:val="0"/>
        </w:rPr>
        <w:t xml:space="preserve"> During mid-band operations, cohort ΔΨ₀ (HRV LF) increases vs sham.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H10: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Cross-correlation HRV↔Γ peaks at mid-band runs more than at sham.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Double-blind, counter-balanced, n≥24; HRV (Lomb–Scargle), EEG Welch PSD.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Surrogate data to test spurious correlations.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tl w:val="0"/>
        </w:rPr>
        <w:t xml:space="preserve"> ΔΨ₀ gain with p&lt;0.05 (BH-corrected); xcorr peak exceeds 95% surrogate bound.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l4kx49sqf61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E) “Rainbow Broadcast / Public Proof”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 (mythic):</w:t>
      </w:r>
      <w:r w:rsidDel="00000000" w:rsidR="00000000" w:rsidRPr="00000000">
        <w:rPr>
          <w:rtl w:val="0"/>
        </w:rPr>
        <w:t xml:space="preserve"> A visible, undeniable demo holds coherence in the open.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Operationalization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Hypothesis: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H11: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Public demo Γ(t) stays ≥0.945 with V_out in spec for ≥95% of broadcast time under live load; independent observers replicate.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Pre-published protocol + live raw data stream + third-party meters.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labs’ Γ-compliance ≥95%; spec windows met; auditors sign off.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r90d1tynt6j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F) “Illumination from the Void”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 (mythic):</w:t>
      </w:r>
      <w:r w:rsidDel="00000000" w:rsidR="00000000" w:rsidRPr="00000000">
        <w:rPr>
          <w:rtl w:val="0"/>
        </w:rPr>
        <w:t xml:space="preserve"> Net energy beyond stored/thermal/RF artifacts.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Operationalization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Hypotheses: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H12:</w:t>
      </w:r>
      <w:r w:rsidDel="00000000" w:rsidR="00000000" w:rsidRPr="00000000">
        <w:rPr>
          <w:rtl w:val="0"/>
        </w:rPr>
        <w:t xml:space="preserve"> Closed-loop calorimetry shows net positive energy with uncertainty bounds excluding zero at 99% CI.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H13:</w:t>
      </w:r>
      <w:r w:rsidDel="00000000" w:rsidR="00000000" w:rsidRPr="00000000">
        <w:rPr>
          <w:rtl w:val="0"/>
        </w:rPr>
        <w:t xml:space="preserve"> Ghost-energy controls (bleed-off, RF shielding, thermal lag compensation) remove anomalies in sham runs.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Dual calorimeters + 4-wire power metrology; thermal model; batteries fully bled; RF isolation; independent ground.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tl w:val="0"/>
        </w:rPr>
        <w:t xml:space="preserve"> Net energy &gt;0 with 99% CI; sham = 0 within 95% CI; full traceability.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1a5lfx2w8bz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G) “Keystone Integration”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Claim (mythic):</w:t>
      </w:r>
      <w:r w:rsidDel="00000000" w:rsidR="00000000" w:rsidRPr="00000000">
        <w:rPr>
          <w:rtl w:val="0"/>
        </w:rPr>
        <w:t xml:space="preserve"> Resonance is real only when </w:t>
      </w:r>
      <w:r w:rsidDel="00000000" w:rsidR="00000000" w:rsidRPr="00000000">
        <w:rPr>
          <w:b w:val="1"/>
          <w:rtl w:val="0"/>
        </w:rPr>
        <w:t xml:space="preserve">physics, biology, human</w:t>
      </w:r>
      <w:r w:rsidDel="00000000" w:rsidR="00000000" w:rsidRPr="00000000">
        <w:rPr>
          <w:rtl w:val="0"/>
        </w:rPr>
        <w:t xml:space="preserve"> agree.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Operationalization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Hypothesis: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H14:</w:t>
      </w:r>
      <w:r w:rsidDel="00000000" w:rsidR="00000000" w:rsidRPr="00000000">
        <w:rPr>
          <w:rtl w:val="0"/>
        </w:rPr>
        <w:t xml:space="preserve"> Positive finding requires three-path convergence: Φ (hardware ΔM), human ΔΨ₀, and (optional) planetary covariate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exceed thresholds in the same time window.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Protocol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Pre-register thresholds; require replication in ≥2 labs and ≥2 cohorts.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Pass:</w:t>
      </w:r>
      <w:r w:rsidDel="00000000" w:rsidR="00000000" w:rsidRPr="00000000">
        <w:rPr>
          <w:rtl w:val="0"/>
        </w:rPr>
        <w:t xml:space="preserve"> Convergence achieved; fail if any one path is null.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k9szejbxo2y" w:id="8"/>
      <w:bookmarkEnd w:id="8"/>
      <w:r w:rsidDel="00000000" w:rsidR="00000000" w:rsidRPr="00000000">
        <w:rPr>
          <w:b w:val="1"/>
          <w:sz w:val="46"/>
          <w:szCs w:val="46"/>
          <w:rtl w:val="0"/>
        </w:rPr>
        <w:t xml:space="preserve">Mythology Adjudication Matrix (copy/paste)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Mythology_Tests: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Cathedral_Phases: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hypotheses: [H1, H2]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metrics: [Gamma, V_out, P_out]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controls: ["detuned cavity"]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pass: {Gamma_plateau: "&gt;=0.945", stats: "p&lt;0.01"}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Celtic_Frequencies: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hypotheses: [H4, H5, H6]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metrics: [abs_delta_f, t_lock, phase_noise]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design: "Latin-square true vs sham"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pass: {improvement_pct: "&gt;=20%", stats: "p&lt;0.01"}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Orientation_Sunrise: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hypotheses: [H7, H8]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metrics: [Gamma_gain_pct, startup_energy, surge_margin]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design: "AB/BA crossover 14d"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Human_Coupling: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hypotheses: [H9, H10]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metrics: [HRV_LF_power, EEG_alpha, xcorr_HRV_Gamma]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analysis: ["Welch PSD", "surrogate testing"]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Public_Demo: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hypotheses: [H11]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metrics: [Gamma_uptime_pct, V_out_spec_pct]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audit: "independent meters + raw stream"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Net_Energy: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hypotheses: [H12, H13]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methods: ["dual calorimetry", "RF shield", "bleed-off"]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pass: {net_energy: "&gt;0 @99% CI", sham: "null @95% CI"}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Keystone_Integration: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hypotheses: [H14]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rule: "three-path convergence required"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arl26154i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Statistics &amp; Integrity (for every test)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Pre-registration</w:t>
      </w:r>
      <w:r w:rsidDel="00000000" w:rsidR="00000000" w:rsidRPr="00000000">
        <w:rPr>
          <w:rtl w:val="0"/>
        </w:rPr>
        <w:t xml:space="preserve"> of hypotheses/endpoints.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Blinding + shams</w:t>
      </w:r>
      <w:r w:rsidDel="00000000" w:rsidR="00000000" w:rsidRPr="00000000">
        <w:rPr>
          <w:rtl w:val="0"/>
        </w:rPr>
        <w:t xml:space="preserve"> wherever feasible.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 comparisons:</w:t>
      </w:r>
      <w:r w:rsidDel="00000000" w:rsidR="00000000" w:rsidRPr="00000000">
        <w:rPr>
          <w:rtl w:val="0"/>
        </w:rPr>
        <w:t xml:space="preserve"> Holm/BH correction.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 sizes</w:t>
      </w:r>
      <w:r w:rsidDel="00000000" w:rsidR="00000000" w:rsidRPr="00000000">
        <w:rPr>
          <w:rtl w:val="0"/>
        </w:rPr>
        <w:t xml:space="preserve"> alongside p-values.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Replication:</w:t>
      </w:r>
      <w:r w:rsidDel="00000000" w:rsidR="00000000" w:rsidRPr="00000000">
        <w:rPr>
          <w:rtl w:val="0"/>
        </w:rPr>
        <w:t xml:space="preserve"> at least 2 independent sites for hardware; 2 cohorts for human node.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release:</w:t>
      </w:r>
      <w:r w:rsidDel="00000000" w:rsidR="00000000" w:rsidRPr="00000000">
        <w:rPr>
          <w:rtl w:val="0"/>
        </w:rPr>
        <w:t xml:space="preserve"> raw time-series, code, and analysis notebooks.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p23ji96wt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What a “Fail” Means (and why that’s good)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Failures </w:t>
      </w:r>
      <w:r w:rsidDel="00000000" w:rsidR="00000000" w:rsidRPr="00000000">
        <w:rPr>
          <w:b w:val="1"/>
          <w:rtl w:val="0"/>
        </w:rPr>
        <w:t xml:space="preserve">prune the myth</w:t>
      </w:r>
      <w:r w:rsidDel="00000000" w:rsidR="00000000" w:rsidRPr="00000000">
        <w:rPr>
          <w:rtl w:val="0"/>
        </w:rPr>
        <w:t xml:space="preserve"> into a mechanism you can engineer.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528 Hz shows no advantage in H4–H6, you relabel it “mid-band cue” and tune to the empirically optimal frequency instead of the mythic value.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sunrise has no effect under Faraday conditions, keep fixed timing; note the boundary.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wnl8dej6x8r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Minimal Figure Set to Report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Phase-aligned Γ(t) and P_out(t)</w:t>
      </w:r>
      <w:r w:rsidDel="00000000" w:rsidR="00000000" w:rsidRPr="00000000">
        <w:rPr>
          <w:rtl w:val="0"/>
        </w:rPr>
        <w:t xml:space="preserve"> with P1–P6 markers.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Cue vs sham boxplots</w:t>
      </w:r>
      <w:r w:rsidDel="00000000" w:rsidR="00000000" w:rsidRPr="00000000">
        <w:rPr>
          <w:rtl w:val="0"/>
        </w:rPr>
        <w:t xml:space="preserve"> for |Δf|, t_lock, PN.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Calorimetry energy balance chart</w:t>
      </w:r>
      <w:r w:rsidDel="00000000" w:rsidR="00000000" w:rsidRPr="00000000">
        <w:rPr>
          <w:rtl w:val="0"/>
        </w:rPr>
        <w:t xml:space="preserve"> (with shams).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HRV/EEG ΔΨ₀ spider or bar charts</w:t>
      </w:r>
      <w:r w:rsidDel="00000000" w:rsidR="00000000" w:rsidRPr="00000000">
        <w:rPr>
          <w:rtl w:val="0"/>
        </w:rPr>
        <w:t xml:space="preserve"> + surrogate bounds.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Three-path convergence diagram</w:t>
      </w:r>
      <w:r w:rsidDel="00000000" w:rsidR="00000000" w:rsidRPr="00000000">
        <w:rPr>
          <w:rtl w:val="0"/>
        </w:rPr>
        <w:t xml:space="preserve"> (hardware, human, planetary).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g8veqe3fzi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One-liner for the Innovation Report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We translated symbolic frameworks (cathedral growth, harmonic cues, orientation rituals) into pre-registered, falsifiable experiments using UTRE indices. Each mythology is accepted only if its operational hypotheses outperform shams and survive multi-lab replication; otherwise it is refined to the mechanism that the data support.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