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6B7280"/>
          <w:spacing w:val="15"/>
          <w:sz w:val="18"/>
          <w:szCs w:val="18"/>
        </w:rPr>
        <w:t xml:space="preserve">DALFEN INDUSTRIAL  ·  ACQUISITIONS</w:t>
      </w:r>
    </w:p>
    <w:p>
      <w:pPr>
        <w:spacing w:after="60"/>
      </w:pPr>
      <w:r>
        <w:rPr>
          <w:rFonts w:ascii="Georgia" w:cs="Georgia" w:eastAsia="Georgia" w:hAnsi="Georgia"/>
          <w:b/>
          <w:bCs/>
          <w:color w:val="1F3B4D"/>
          <w:sz w:val="44"/>
          <w:szCs w:val="44"/>
        </w:rPr>
        <w:t xml:space="preserve">Acquisitions Tracking Tool</w:t>
      </w:r>
    </w:p>
    <w:p>
      <w:pPr>
        <w:spacing w:after="260"/>
      </w:pPr>
      <w:r>
        <w:rPr>
          <w:rFonts w:ascii="Georgia" w:cs="Georgia" w:eastAsia="Georgia" w:hAnsi="Georgia"/>
          <w:i/>
          <w:iCs/>
          <w:color w:val="3D4A55"/>
          <w:sz w:val="22"/>
          <w:szCs w:val="22"/>
        </w:rPr>
        <w:t xml:space="preserve">Updated Feature Spec — v2  ·  Prepared for Jadon &amp; John review</w:t>
      </w:r>
    </w:p>
    <w:p>
      <w:pPr>
        <w:spacing w:after="100" w:before="220"/>
      </w:pPr>
      <w:r>
        <w:rPr>
          <w:rFonts w:ascii="Georgia" w:cs="Georgia" w:eastAsia="Georgia" w:hAnsi="Georgia"/>
          <w:b/>
          <w:bCs/>
          <w:color w:val="2E6E62"/>
          <w:sz w:val="22"/>
          <w:szCs w:val="22"/>
        </w:rPr>
        <w:t xml:space="preserve">What Changed Since the Original Draft</w:t>
      </w:r>
    </w:p>
    <w:p>
      <w:pPr>
        <w:spacing w:after="140"/>
      </w:pPr>
      <w:r>
        <w:rPr>
          <w:rFonts w:ascii="Calibri" w:cs="Calibri" w:eastAsia="Calibri" w:hAnsi="Calibri"/>
          <w:color w:val="222222"/>
          <w:sz w:val="21"/>
          <w:szCs w:val="21"/>
        </w:rPr>
        <w:t xml:space="preserve">Three architecture questions came up while scoping the build. Here's what was decided and why, before the detailed spec below.</w:t>
      </w:r>
    </w:p>
    <w:p>
      <w:pPr>
        <w:pStyle w:val="ListParagraph"/>
        <w:numPr>
          <w:ilvl w:val="0"/>
          <w:numId w:val="2"/>
        </w:numPr>
        <w:spacing w:after="60"/>
      </w:pPr>
      <w:r>
        <w:rPr>
          <w:rFonts w:ascii="Calibri" w:cs="Calibri" w:eastAsia="Calibri" w:hAnsi="Calibri"/>
          <w:color w:val="222222"/>
          <w:sz w:val="20"/>
          <w:szCs w:val="20"/>
        </w:rPr>
        <w:t xml:space="preserve">MLA now defined precisely: structured data (asking rent, opex, and similar deal assumptions), not a document.</w:t>
      </w:r>
    </w:p>
    <w:p>
      <w:pPr>
        <w:pStyle w:val="ListParagraph"/>
        <w:numPr>
          <w:ilvl w:val="0"/>
          <w:numId w:val="2"/>
        </w:numPr>
        <w:spacing w:after="60"/>
      </w:pPr>
      <w:r>
        <w:rPr>
          <w:rFonts w:ascii="Calibri" w:cs="Calibri" w:eastAsia="Calibri" w:hAnsi="Calibri"/>
          <w:color w:val="222222"/>
          <w:sz w:val="20"/>
          <w:szCs w:val="20"/>
        </w:rPr>
        <w:t xml:space="preserve">“LOI accepted → Moving to PSA” is a manual confirm, not automatic email parsing — free-text acceptance detection isn't reliable enough to trust unsupervised.</w:t>
      </w:r>
    </w:p>
    <w:p>
      <w:pPr>
        <w:pStyle w:val="ListParagraph"/>
        <w:numPr>
          <w:ilvl w:val="0"/>
          <w:numId w:val="2"/>
        </w:numPr>
        <w:spacing w:after="60"/>
      </w:pPr>
      <w:r>
        <w:rPr>
          <w:rFonts w:ascii="Calibri" w:cs="Calibri" w:eastAsia="Calibri" w:hAnsi="Calibri"/>
          <w:color w:val="222222"/>
          <w:sz w:val="20"/>
          <w:szCs w:val="20"/>
        </w:rPr>
        <w:t xml:space="preserve">Comp scoring ships in v1 as a simple recency + distance sort. Full weighted scoring (location / SF / lease-commencement date) is deferred to v2, once there's a real basis for the weights.</w:t>
      </w:r>
    </w:p>
    <w:p>
      <w:pPr>
        <w:pStyle w:val="ListParagraph"/>
        <w:numPr>
          <w:ilvl w:val="0"/>
          <w:numId w:val="2"/>
        </w:numPr>
        <w:spacing w:after="60"/>
      </w:pPr>
      <w:r>
        <w:rPr>
          <w:rFonts w:ascii="Calibri" w:cs="Calibri" w:eastAsia="Calibri" w:hAnsi="Calibri"/>
          <w:color w:val="222222"/>
          <w:sz w:val="20"/>
          <w:szCs w:val="20"/>
        </w:rPr>
        <w:t xml:space="preserve">The shared inbox (acquisitions@dalfen.com) does not exist yet and requires IT provisioning. Rather than block v1 on that, initial deal intake is a manual form in the app — see Section 1 below.</w:t>
      </w:r>
    </w:p>
    <w:p>
      <w:pPr>
        <w:pBdr>
          <w:bottom w:val="single" w:color="D8DCDE" w:sz="4"/>
        </w:pBdr>
        <w:spacing w:after="160" w:before="60"/>
      </w:pPr>
    </w:p>
    <w:p>
      <w:pPr>
        <w:spacing w:after="100" w:before="220"/>
      </w:pPr>
      <w:r>
        <w:rPr>
          <w:rFonts w:ascii="Georgia" w:cs="Georgia" w:eastAsia="Georgia" w:hAnsi="Georgia"/>
          <w:b/>
          <w:bCs/>
          <w:color w:val="2E6E62"/>
          <w:sz w:val="22"/>
          <w:szCs w:val="22"/>
        </w:rPr>
        <w:t xml:space="preserve">Pipeline at a Glance</w:t>
      </w:r>
    </w:p>
    <w:p>
      <w:pPr>
        <w:spacing w:after="100"/>
      </w:pPr>
      <w:r>
        <w:rPr>
          <w:rFonts w:ascii="Calibri" w:cs="Calibri" w:eastAsia="Calibri" w:hAnsi="Calibri"/>
          <w:color w:val="222222"/>
          <w:sz w:val="21"/>
          <w:szCs w:val="21"/>
        </w:rPr>
        <w:t xml:space="preserve">New deal form (Rhett or market lead)  →  MLA provided, requested, or assumed  →  deal lands in UW bucket with address summary, MLA summary, and rent recommendation  →  analyst underwrites and attaches Excel  →  tool summarizes returns  →  UW v1 (Rhett reviews)  →  versioning as updates happen  →  Offered (manual mark when LOI goes out)  →  Moving to PSA (manual confirm when LOI is accepted). Any deal can be sent to the Archive at any stage.</w:t>
      </w:r>
    </w:p>
    <w:p>
      <w:pPr>
        <w:spacing w:after="100" w:before="220"/>
      </w:pPr>
      <w:r>
        <w:rPr>
          <w:rFonts w:ascii="Georgia" w:cs="Georgia" w:eastAsia="Georgia" w:hAnsi="Georgia"/>
          <w:b/>
          <w:bCs/>
          <w:color w:val="2E6E62"/>
          <w:sz w:val="22"/>
          <w:szCs w:val="22"/>
        </w:rPr>
        <w:t xml:space="preserve">Responsibilities by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none" w:color="FFFFFF" w:sz="0"/>
              <w:left w:val="none" w:color="FFFFFF" w:sz="0"/>
              <w:bottom w:val="none" w:color="FFFFFF" w:sz="0"/>
              <w:right w:val="none" w:color="FFFFFF" w:sz="0"/>
            </w:tcBorders>
            <w:shd w:fill="F4F6F7"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20"/>
                <w:szCs w:val="20"/>
              </w:rPr>
              <w:t xml:space="preserve">Market Lead / Rhett</w:t>
            </w:r>
          </w:p>
        </w:tc>
        <w:tc>
          <w:tcPr>
            <w:tcW w:type="dxa" w:w="71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20"/>
                <w:szCs w:val="20"/>
              </w:rPr>
              <w:t xml:space="preserve">Source deals and enter them via the New Deal form. Provide MLAs directly, or respond when the tool requests them. Review the deal at the UW v1 stage.</w:t>
            </w:r>
          </w:p>
        </w:tc>
      </w:tr>
      <w:tr>
        <w:tc>
          <w:tcPr>
            <w:tcW w:type="dxa" w:w="2200"/>
            <w:tcBorders>
              <w:top w:val="none" w:color="FFFFFF" w:sz="0"/>
              <w:left w:val="none" w:color="FFFFFF" w:sz="0"/>
              <w:bottom w:val="none" w:color="FFFFFF" w:sz="0"/>
              <w:right w:val="none" w:color="FFFFFF" w:sz="0"/>
            </w:tcBorders>
            <w:shd w:fill="F4F6F7"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20"/>
                <w:szCs w:val="20"/>
              </w:rPr>
              <w:t xml:space="preserve">Analyst (Jadon)</w:t>
            </w:r>
          </w:p>
        </w:tc>
        <w:tc>
          <w:tcPr>
            <w:tcW w:type="dxa" w:w="71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20"/>
                <w:szCs w:val="20"/>
              </w:rPr>
              <w:t xml:space="preserve">Receive the deal in the UW task bucket, pre-loaded with address summary, MLA summary, and rent recommendation. Choose “use assumptions” if MLAs aren't available. Underwrite, attach the completed Excel, and make updates as needed (versioned automatically).</w:t>
            </w:r>
          </w:p>
        </w:tc>
      </w:tr>
      <w:tr>
        <w:tc>
          <w:tcPr>
            <w:tcW w:type="dxa" w:w="2200"/>
            <w:tcBorders>
              <w:top w:val="none" w:color="FFFFFF" w:sz="0"/>
              <w:left w:val="none" w:color="FFFFFF" w:sz="0"/>
              <w:bottom w:val="none" w:color="FFFFFF" w:sz="0"/>
              <w:right w:val="none" w:color="FFFFFF" w:sz="0"/>
            </w:tcBorders>
            <w:shd w:fill="F4F6F7"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20"/>
                <w:szCs w:val="20"/>
              </w:rPr>
              <w:t xml:space="preserve">Rhett / John</w:t>
            </w:r>
          </w:p>
        </w:tc>
        <w:tc>
          <w:tcPr>
            <w:tcW w:type="dxa" w:w="71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20"/>
                <w:szCs w:val="20"/>
              </w:rPr>
              <w:t xml:space="preserve">Confirm stage transitions that matter — marking a deal “Offered” once an LOI goes out, and “Moving to PSA” once it's accepted.</w:t>
            </w:r>
          </w:p>
        </w:tc>
      </w:tr>
      <w:tr>
        <w:tc>
          <w:tcPr>
            <w:tcW w:type="dxa" w:w="2200"/>
            <w:tcBorders>
              <w:top w:val="none" w:color="FFFFFF" w:sz="0"/>
              <w:left w:val="none" w:color="FFFFFF" w:sz="0"/>
              <w:bottom w:val="none" w:color="FFFFFF" w:sz="0"/>
              <w:right w:val="none" w:color="FFFFFF" w:sz="0"/>
            </w:tcBorders>
            <w:shd w:fill="F4F6F7"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20"/>
                <w:szCs w:val="20"/>
              </w:rPr>
              <w:t xml:space="preserve">The Tool</w:t>
            </w:r>
          </w:p>
        </w:tc>
        <w:tc>
          <w:tcPr>
            <w:tcW w:type="dxa" w:w="71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20"/>
                <w:szCs w:val="20"/>
              </w:rPr>
              <w:t xml:space="preserve">Deal intake form, MLA request notifications, rent recommendations from comps, returns summaries from Excel, version control, and archive/death tracking.</w:t>
            </w:r>
          </w:p>
        </w:tc>
      </w:tr>
    </w:tbl>
    <w:p>
      <w:pPr>
        <w:spacing w:after="100" w:before="220"/>
      </w:pPr>
      <w:r>
        <w:rPr>
          <w:rFonts w:ascii="Georgia" w:cs="Georgia" w:eastAsia="Georgia" w:hAnsi="Georgia"/>
          <w:b/>
          <w:bCs/>
          <w:color w:val="2E6E62"/>
          <w:sz w:val="22"/>
          <w:szCs w:val="22"/>
        </w:rPr>
        <w:t xml:space="preserve">What the Tool Automates — Step by Step</w:t>
      </w:r>
    </w:p>
    <w:p>
      <w:pPr>
        <w:spacing w:after="80" w:before="200"/>
      </w:pPr>
      <w:r>
        <w:rPr>
          <w:rFonts w:ascii="Calibri" w:cs="Calibri" w:eastAsia="Calibri" w:hAnsi="Calibri"/>
          <w:b/>
          <w:bCs/>
          <w:color w:val="2E6E62"/>
          <w:sz w:val="22"/>
          <w:szCs w:val="22"/>
        </w:rPr>
        <w:t xml:space="preserve">1.  </w:t>
      </w:r>
      <w:r>
        <w:rPr>
          <w:rFonts w:ascii="Georgia" w:cs="Georgia" w:eastAsia="Georgia" w:hAnsi="Georgia"/>
          <w:b/>
          <w:bCs/>
          <w:color w:val="1F3B4D"/>
          <w:sz w:val="22"/>
          <w:szCs w:val="22"/>
        </w:rPr>
        <w:t xml:space="preserve">Manual Deal Intake</w:t>
      </w:r>
    </w:p>
    <w:p>
      <w:pPr>
        <w:spacing w:after="80"/>
      </w:pPr>
      <w:r>
        <w:rPr>
          <w:rFonts w:ascii="Calibri" w:cs="Calibri" w:eastAsia="Calibri" w:hAnsi="Calibri"/>
          <w:color w:val="222222"/>
          <w:sz w:val="21"/>
          <w:szCs w:val="21"/>
        </w:rPr>
        <w:t xml:space="preserve">Rhett or the market lead enters a new deal through an in-app form: property address, market, asset type, lot/building SF, and source/broker. This replaces the originally-scoped email intake, since the shared inbox doesn't exist yet.</w:t>
      </w:r>
    </w:p>
    <w:p>
      <w:pPr>
        <w:pStyle w:val="ListParagraph"/>
        <w:numPr>
          <w:ilvl w:val="0"/>
          <w:numId w:val="2"/>
        </w:numPr>
        <w:spacing w:after="60"/>
      </w:pPr>
      <w:r>
        <w:rPr>
          <w:rFonts w:ascii="Calibri" w:cs="Calibri" w:eastAsia="Calibri" w:hAnsi="Calibri"/>
          <w:color w:val="222222"/>
          <w:sz w:val="20"/>
          <w:szCs w:val="20"/>
        </w:rPr>
        <w:t xml:space="preserve">MLA status is a single choice on the form: Provided now (opens asking-rent/opex fields inline), Request from market lead, or Use assumptions.</w:t>
      </w:r>
    </w:p>
    <w:p>
      <w:pPr>
        <w:pStyle w:val="ListParagraph"/>
        <w:numPr>
          <w:ilvl w:val="0"/>
          <w:numId w:val="2"/>
        </w:numPr>
        <w:spacing w:after="60"/>
      </w:pPr>
      <w:r>
        <w:rPr>
          <w:rFonts w:ascii="Calibri" w:cs="Calibri" w:eastAsia="Calibri" w:hAnsi="Calibri"/>
          <w:color w:val="222222"/>
          <w:sz w:val="20"/>
          <w:szCs w:val="20"/>
        </w:rPr>
        <w:t xml:space="preserve">“Request from market lead” sends an email via Rhett's own mailbox (no shared inbox needed) and the deal shows an “awaiting MLA” status until someone manually enters the reply.</w:t>
      </w:r>
    </w:p>
    <w:p>
      <w:pPr>
        <w:pStyle w:val="ListParagraph"/>
        <w:numPr>
          <w:ilvl w:val="0"/>
          <w:numId w:val="2"/>
        </w:numPr>
        <w:spacing w:after="60"/>
      </w:pPr>
      <w:r>
        <w:rPr>
          <w:rFonts w:ascii="Calibri" w:cs="Calibri" w:eastAsia="Calibri" w:hAnsi="Calibri"/>
          <w:color w:val="222222"/>
          <w:sz w:val="20"/>
          <w:szCs w:val="20"/>
        </w:rPr>
        <w:t xml:space="preserve">Built as a single internal createDeal() function — when the shared inbox exists later, email-triggered intake becomes a second caller of the same function, with no schema or workflow changes.</w:t>
      </w:r>
    </w:p>
    <w:p>
      <w:pPr>
        <w:spacing w:after="80" w:before="200"/>
      </w:pPr>
      <w:r>
        <w:rPr>
          <w:rFonts w:ascii="Calibri" w:cs="Calibri" w:eastAsia="Calibri" w:hAnsi="Calibri"/>
          <w:b/>
          <w:bCs/>
          <w:color w:val="2E6E62"/>
          <w:sz w:val="22"/>
          <w:szCs w:val="22"/>
        </w:rPr>
        <w:t xml:space="preserve">2.  </w:t>
      </w:r>
      <w:r>
        <w:rPr>
          <w:rFonts w:ascii="Georgia" w:cs="Georgia" w:eastAsia="Georgia" w:hAnsi="Georgia"/>
          <w:b/>
          <w:bCs/>
          <w:color w:val="1F3B4D"/>
          <w:sz w:val="22"/>
          <w:szCs w:val="22"/>
        </w:rPr>
        <w:t xml:space="preserve">Deal Summary to the UW Bucket</w:t>
      </w:r>
    </w:p>
    <w:p>
      <w:pPr>
        <w:spacing w:after="60"/>
      </w:pPr>
      <w:r>
        <w:rPr>
          <w:rFonts w:ascii="Calibri" w:cs="Calibri" w:eastAsia="Calibri" w:hAnsi="Calibri"/>
          <w:color w:val="222222"/>
          <w:sz w:val="21"/>
          <w:szCs w:val="21"/>
        </w:rPr>
        <w:t xml:space="preserve">Once MLA data is present or assumptions are chosen, the tool summarizes the deal and drops it into the analyst's UW task bucket, pre-loaded with the address summary, MLA summary, and rent recommendation.</w:t>
      </w:r>
    </w:p>
    <w:p>
      <w:pPr>
        <w:spacing w:after="80" w:before="200"/>
      </w:pPr>
      <w:r>
        <w:rPr>
          <w:rFonts w:ascii="Calibri" w:cs="Calibri" w:eastAsia="Calibri" w:hAnsi="Calibri"/>
          <w:b/>
          <w:bCs/>
          <w:color w:val="2E6E62"/>
          <w:sz w:val="22"/>
          <w:szCs w:val="22"/>
        </w:rPr>
        <w:t xml:space="preserve">3.  </w:t>
      </w:r>
      <w:r>
        <w:rPr>
          <w:rFonts w:ascii="Georgia" w:cs="Georgia" w:eastAsia="Georgia" w:hAnsi="Georgia"/>
          <w:b/>
          <w:bCs/>
          <w:color w:val="1F3B4D"/>
          <w:sz w:val="22"/>
          <w:szCs w:val="22"/>
        </w:rPr>
        <w:t xml:space="preserve">Rent Recommendation from IOS Lease Comps</w:t>
      </w:r>
    </w:p>
    <w:p>
      <w:pPr>
        <w:spacing w:after="60"/>
      </w:pPr>
      <w:r>
        <w:rPr>
          <w:rFonts w:ascii="Calibri" w:cs="Calibri" w:eastAsia="Calibri" w:hAnsi="Calibri"/>
          <w:color w:val="222222"/>
          <w:sz w:val="21"/>
          <w:szCs w:val="21"/>
        </w:rPr>
        <w:t xml:space="preserve">v1 scoring is a simple blend of location proximity and recency (date commenced) — no tunable weights yet. Full weighted scoring by location, lot/building SF, and lease-commencement date is deferred to v2, once there's real data to calibrate against.</w:t>
      </w:r>
    </w:p>
    <w:p>
      <w:pPr>
        <w:spacing w:after="80" w:before="200"/>
      </w:pPr>
      <w:r>
        <w:rPr>
          <w:rFonts w:ascii="Calibri" w:cs="Calibri" w:eastAsia="Calibri" w:hAnsi="Calibri"/>
          <w:b/>
          <w:bCs/>
          <w:color w:val="2E6E62"/>
          <w:sz w:val="22"/>
          <w:szCs w:val="22"/>
        </w:rPr>
        <w:t xml:space="preserve">4.  </w:t>
      </w:r>
      <w:r>
        <w:rPr>
          <w:rFonts w:ascii="Georgia" w:cs="Georgia" w:eastAsia="Georgia" w:hAnsi="Georgia"/>
          <w:b/>
          <w:bCs/>
          <w:color w:val="1F3B4D"/>
          <w:sz w:val="22"/>
          <w:szCs w:val="22"/>
        </w:rPr>
        <w:t xml:space="preserve">Returns Summary</w:t>
      </w:r>
    </w:p>
    <w:p>
      <w:pPr>
        <w:spacing w:after="60"/>
      </w:pPr>
      <w:r>
        <w:rPr>
          <w:rFonts w:ascii="Calibri" w:cs="Calibri" w:eastAsia="Calibri" w:hAnsi="Calibri"/>
          <w:color w:val="222222"/>
          <w:sz w:val="21"/>
          <w:szCs w:val="21"/>
        </w:rPr>
        <w:t xml:space="preserve">After the analyst underwrites and attaches the completed Excel, the tool reads it and summarizes the returns. Needs Jadon's underwriting template to map specific cells to fields before this can be built.</w:t>
      </w:r>
    </w:p>
    <w:p>
      <w:pPr>
        <w:spacing w:after="80" w:before="200"/>
      </w:pPr>
      <w:r>
        <w:rPr>
          <w:rFonts w:ascii="Calibri" w:cs="Calibri" w:eastAsia="Calibri" w:hAnsi="Calibri"/>
          <w:b/>
          <w:bCs/>
          <w:color w:val="2E6E62"/>
          <w:sz w:val="22"/>
          <w:szCs w:val="22"/>
        </w:rPr>
        <w:t xml:space="preserve">5.  </w:t>
      </w:r>
      <w:r>
        <w:rPr>
          <w:rFonts w:ascii="Georgia" w:cs="Georgia" w:eastAsia="Georgia" w:hAnsi="Georgia"/>
          <w:b/>
          <w:bCs/>
          <w:color w:val="1F3B4D"/>
          <w:sz w:val="22"/>
          <w:szCs w:val="22"/>
        </w:rPr>
        <w:t xml:space="preserve">Move to UW v1 + Notify Rhett</w:t>
      </w:r>
    </w:p>
    <w:p>
      <w:pPr>
        <w:spacing w:after="60"/>
      </w:pPr>
      <w:r>
        <w:rPr>
          <w:rFonts w:ascii="Calibri" w:cs="Calibri" w:eastAsia="Calibri" w:hAnsi="Calibri"/>
          <w:color w:val="222222"/>
          <w:sz w:val="21"/>
          <w:szCs w:val="21"/>
        </w:rPr>
        <w:t xml:space="preserve">The tool advances the deal to the UW v1 bucket and notifies Rhett to review.</w:t>
      </w:r>
    </w:p>
    <w:p>
      <w:pPr>
        <w:spacing w:after="80" w:before="200"/>
      </w:pPr>
      <w:r>
        <w:rPr>
          <w:rFonts w:ascii="Calibri" w:cs="Calibri" w:eastAsia="Calibri" w:hAnsi="Calibri"/>
          <w:b/>
          <w:bCs/>
          <w:color w:val="2E6E62"/>
          <w:sz w:val="22"/>
          <w:szCs w:val="22"/>
        </w:rPr>
        <w:t xml:space="preserve">6.  </w:t>
      </w:r>
      <w:r>
        <w:rPr>
          <w:rFonts w:ascii="Georgia" w:cs="Georgia" w:eastAsia="Georgia" w:hAnsi="Georgia"/>
          <w:b/>
          <w:bCs/>
          <w:color w:val="1F3B4D"/>
          <w:sz w:val="22"/>
          <w:szCs w:val="22"/>
        </w:rPr>
        <w:t xml:space="preserve">Version Control</w:t>
      </w:r>
    </w:p>
    <w:p>
      <w:pPr>
        <w:spacing w:after="60"/>
      </w:pPr>
      <w:r>
        <w:rPr>
          <w:rFonts w:ascii="Calibri" w:cs="Calibri" w:eastAsia="Calibri" w:hAnsi="Calibri"/>
          <w:color w:val="222222"/>
          <w:sz w:val="21"/>
          <w:szCs w:val="21"/>
        </w:rPr>
        <w:t xml:space="preserve">Updates are tracked as an append-only history (v1 → v2, and so on) rather than overwritten, so nothing is lost.</w:t>
      </w:r>
    </w:p>
    <w:p>
      <w:pPr>
        <w:spacing w:after="80" w:before="200"/>
      </w:pPr>
      <w:r>
        <w:rPr>
          <w:rFonts w:ascii="Calibri" w:cs="Calibri" w:eastAsia="Calibri" w:hAnsi="Calibri"/>
          <w:b/>
          <w:bCs/>
          <w:color w:val="2E6E62"/>
          <w:sz w:val="22"/>
          <w:szCs w:val="22"/>
        </w:rPr>
        <w:t xml:space="preserve">7.  </w:t>
      </w:r>
      <w:r>
        <w:rPr>
          <w:rFonts w:ascii="Georgia" w:cs="Georgia" w:eastAsia="Georgia" w:hAnsi="Georgia"/>
          <w:b/>
          <w:bCs/>
          <w:color w:val="1F3B4D"/>
          <w:sz w:val="22"/>
          <w:szCs w:val="22"/>
        </w:rPr>
        <w:t xml:space="preserve">“Offered” and “Moving to PSA” — Manual Confirms</w:t>
      </w:r>
    </w:p>
    <w:p>
      <w:pPr>
        <w:spacing w:after="60"/>
      </w:pPr>
      <w:r>
        <w:rPr>
          <w:rFonts w:ascii="Calibri" w:cs="Calibri" w:eastAsia="Calibri" w:hAnsi="Calibri"/>
          <w:color w:val="222222"/>
          <w:sz w:val="21"/>
          <w:szCs w:val="21"/>
        </w:rPr>
        <w:t xml:space="preserve">Both of these were originally scoped to auto-detect via the shared inbox. Without that inbox, both become manual actions: Rhett or John marks a deal “Offered” when the LOI goes out, and confirms “Moving to PSA” once it's accepted. Recommend limiting the PSA confirm specifically to Rhett/John, matching the review hierarchy already in place for UW v1.</w:t>
      </w:r>
    </w:p>
    <w:p>
      <w:pPr>
        <w:spacing w:after="80" w:before="200"/>
      </w:pPr>
      <w:r>
        <w:rPr>
          <w:rFonts w:ascii="Calibri" w:cs="Calibri" w:eastAsia="Calibri" w:hAnsi="Calibri"/>
          <w:b/>
          <w:bCs/>
          <w:color w:val="2E6E62"/>
          <w:sz w:val="22"/>
          <w:szCs w:val="22"/>
        </w:rPr>
        <w:t xml:space="preserve">8.  </w:t>
      </w:r>
      <w:r>
        <w:rPr>
          <w:rFonts w:ascii="Georgia" w:cs="Georgia" w:eastAsia="Georgia" w:hAnsi="Georgia"/>
          <w:b/>
          <w:bCs/>
          <w:color w:val="1F3B4D"/>
          <w:sz w:val="22"/>
          <w:szCs w:val="22"/>
        </w:rPr>
        <w:t xml:space="preserve">Archive &amp; Deal-Death Tracking</w:t>
      </w:r>
    </w:p>
    <w:p>
      <w:pPr>
        <w:spacing w:after="60"/>
      </w:pPr>
      <w:r>
        <w:rPr>
          <w:rFonts w:ascii="Calibri" w:cs="Calibri" w:eastAsia="Calibri" w:hAnsi="Calibri"/>
          <w:color w:val="222222"/>
          <w:sz w:val="21"/>
          <w:szCs w:val="21"/>
        </w:rPr>
        <w:t xml:space="preserve">Manual archive from any stage, recording the stage the deal died at and a short reason. Archived deals stay searchable and are restorable to an active bucket.</w:t>
      </w:r>
    </w:p>
    <w:p>
      <w:pPr>
        <w:pBdr>
          <w:bottom w:val="single" w:color="D8DCDE" w:sz="4"/>
        </w:pBdr>
        <w:spacing w:after="160" w:before="60"/>
      </w:pPr>
    </w:p>
    <w:p>
      <w:pPr>
        <w:spacing w:after="100" w:before="220"/>
      </w:pPr>
      <w:r>
        <w:rPr>
          <w:rFonts w:ascii="Georgia" w:cs="Georgia" w:eastAsia="Georgia" w:hAnsi="Georgia"/>
          <w:b/>
          <w:bCs/>
          <w:color w:val="2E6E62"/>
          <w:sz w:val="22"/>
          <w:szCs w:val="22"/>
        </w:rPr>
        <w:t xml:space="preserve">Suggested Additions —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c>
          <w:tcPr>
            <w:tcW w:type="dxa" w:w="320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19"/>
                <w:szCs w:val="19"/>
              </w:rPr>
              <w:t xml:space="preserve">Duplicate / repeat-deal detection</w:t>
            </w:r>
          </w:p>
        </w:tc>
        <w:tc>
          <w:tcPr>
            <w:tcW w:type="dxa" w:w="1400"/>
            <w:tcBorders>
              <w:top w:val="none" w:color="FFFFFF" w:sz="0"/>
              <w:left w:val="none" w:color="FFFFFF" w:sz="0"/>
              <w:bottom w:val="none" w:color="FFFFFF" w:sz="0"/>
              <w:right w:val="none" w:color="FFFFFF" w:sz="0"/>
            </w:tcBorders>
            <w:shd w:fill="E6F2E9" w:color="auto" w:val="clear"/>
            <w:tcMar>
              <w:top w:type="dxa" w:w="120"/>
              <w:left w:type="dxa" w:w="160"/>
              <w:bottom w:type="dxa" w:w="120"/>
              <w:right w:type="dxa" w:w="160"/>
            </w:tcMar>
            <w:vAlign w:val="center"/>
          </w:tcPr>
          <w:p>
            <w:pPr>
              <w:jc w:val="center"/>
            </w:pPr>
            <w:r>
              <w:rPr>
                <w:rFonts w:ascii="Calibri" w:cs="Calibri" w:eastAsia="Calibri" w:hAnsi="Calibri"/>
                <w:b/>
                <w:bCs/>
                <w:color w:val="2E7D46"/>
                <w:spacing w:val="8"/>
                <w:sz w:val="15"/>
                <w:szCs w:val="15"/>
              </w:rPr>
              <w:t xml:space="preserve">IN V1</w:t>
            </w:r>
          </w:p>
        </w:tc>
        <w:tc>
          <w:tcPr>
            <w:tcW w:type="dxa" w:w="47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19"/>
                <w:szCs w:val="19"/>
              </w:rPr>
              <w:t xml:space="preserve">One query against address history at intake — effectively free given the schema.</w:t>
            </w:r>
          </w:p>
        </w:tc>
      </w:tr>
      <w:tr>
        <w:tc>
          <w:tcPr>
            <w:tcW w:type="dxa" w:w="320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19"/>
                <w:szCs w:val="19"/>
              </w:rPr>
              <w:t xml:space="preserve">Central document repository</w:t>
            </w:r>
          </w:p>
        </w:tc>
        <w:tc>
          <w:tcPr>
            <w:tcW w:type="dxa" w:w="1400"/>
            <w:tcBorders>
              <w:top w:val="none" w:color="FFFFFF" w:sz="0"/>
              <w:left w:val="none" w:color="FFFFFF" w:sz="0"/>
              <w:bottom w:val="none" w:color="FFFFFF" w:sz="0"/>
              <w:right w:val="none" w:color="FFFFFF" w:sz="0"/>
            </w:tcBorders>
            <w:shd w:fill="E6F2E9" w:color="auto" w:val="clear"/>
            <w:tcMar>
              <w:top w:type="dxa" w:w="120"/>
              <w:left w:type="dxa" w:w="160"/>
              <w:bottom w:type="dxa" w:w="120"/>
              <w:right w:type="dxa" w:w="160"/>
            </w:tcMar>
            <w:vAlign w:val="center"/>
          </w:tcPr>
          <w:p>
            <w:pPr>
              <w:jc w:val="center"/>
            </w:pPr>
            <w:r>
              <w:rPr>
                <w:rFonts w:ascii="Calibri" w:cs="Calibri" w:eastAsia="Calibri" w:hAnsi="Calibri"/>
                <w:b/>
                <w:bCs/>
                <w:color w:val="2E7D46"/>
                <w:spacing w:val="8"/>
                <w:sz w:val="15"/>
                <w:szCs w:val="15"/>
              </w:rPr>
              <w:t xml:space="preserve">IN V1</w:t>
            </w:r>
          </w:p>
        </w:tc>
        <w:tc>
          <w:tcPr>
            <w:tcW w:type="dxa" w:w="47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19"/>
                <w:szCs w:val="19"/>
              </w:rPr>
              <w:t xml:space="preserve">Every MLA, LOI, PSA, and Excel tied to the deal record from day one.</w:t>
            </w:r>
          </w:p>
        </w:tc>
      </w:tr>
      <w:tr>
        <w:tc>
          <w:tcPr>
            <w:tcW w:type="dxa" w:w="320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19"/>
                <w:szCs w:val="19"/>
              </w:rPr>
              <w:t xml:space="preserve">Broker / source tracking</w:t>
            </w:r>
          </w:p>
        </w:tc>
        <w:tc>
          <w:tcPr>
            <w:tcW w:type="dxa" w:w="1400"/>
            <w:tcBorders>
              <w:top w:val="none" w:color="FFFFFF" w:sz="0"/>
              <w:left w:val="none" w:color="FFFFFF" w:sz="0"/>
              <w:bottom w:val="none" w:color="FFFFFF" w:sz="0"/>
              <w:right w:val="none" w:color="FFFFFF" w:sz="0"/>
            </w:tcBorders>
            <w:shd w:fill="E6F2E9" w:color="auto" w:val="clear"/>
            <w:tcMar>
              <w:top w:type="dxa" w:w="120"/>
              <w:left w:type="dxa" w:w="160"/>
              <w:bottom w:type="dxa" w:w="120"/>
              <w:right w:type="dxa" w:w="160"/>
            </w:tcMar>
            <w:vAlign w:val="center"/>
          </w:tcPr>
          <w:p>
            <w:pPr>
              <w:jc w:val="center"/>
            </w:pPr>
            <w:r>
              <w:rPr>
                <w:rFonts w:ascii="Calibri" w:cs="Calibri" w:eastAsia="Calibri" w:hAnsi="Calibri"/>
                <w:b/>
                <w:bCs/>
                <w:color w:val="2E7D46"/>
                <w:spacing w:val="8"/>
                <w:sz w:val="15"/>
                <w:szCs w:val="15"/>
              </w:rPr>
              <w:t xml:space="preserve">IN V1</w:t>
            </w:r>
          </w:p>
        </w:tc>
        <w:tc>
          <w:tcPr>
            <w:tcW w:type="dxa" w:w="47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19"/>
                <w:szCs w:val="19"/>
              </w:rPr>
              <w:t xml:space="preserve">One column on the deal record — costly to backfill later, cheap to add now.</w:t>
            </w:r>
          </w:p>
        </w:tc>
      </w:tr>
      <w:tr>
        <w:tc>
          <w:tcPr>
            <w:tcW w:type="dxa" w:w="320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19"/>
                <w:szCs w:val="19"/>
              </w:rPr>
              <w:t xml:space="preserve">Stage aging / stale-deal flags</w:t>
            </w:r>
          </w:p>
        </w:tc>
        <w:tc>
          <w:tcPr>
            <w:tcW w:type="dxa" w:w="1400"/>
            <w:tcBorders>
              <w:top w:val="none" w:color="FFFFFF" w:sz="0"/>
              <w:left w:val="none" w:color="FFFFFF" w:sz="0"/>
              <w:bottom w:val="none" w:color="FFFFFF" w:sz="0"/>
              <w:right w:val="none" w:color="FFFFFF" w:sz="0"/>
            </w:tcBorders>
            <w:shd w:fill="FBF0DD" w:color="auto" w:val="clear"/>
            <w:tcMar>
              <w:top w:type="dxa" w:w="120"/>
              <w:left w:type="dxa" w:w="160"/>
              <w:bottom w:type="dxa" w:w="120"/>
              <w:right w:type="dxa" w:w="160"/>
            </w:tcMar>
            <w:vAlign w:val="center"/>
          </w:tcPr>
          <w:p>
            <w:pPr>
              <w:jc w:val="center"/>
            </w:pPr>
            <w:r>
              <w:rPr>
                <w:rFonts w:ascii="Calibri" w:cs="Calibri" w:eastAsia="Calibri" w:hAnsi="Calibri"/>
                <w:b/>
                <w:bCs/>
                <w:color w:val="9C6B10"/>
                <w:spacing w:val="8"/>
                <w:sz w:val="15"/>
                <w:szCs w:val="15"/>
              </w:rPr>
              <w:t xml:space="preserve">DEFERRED</w:t>
            </w:r>
          </w:p>
        </w:tc>
        <w:tc>
          <w:tcPr>
            <w:tcW w:type="dxa" w:w="47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19"/>
                <w:szCs w:val="19"/>
              </w:rPr>
              <w:t xml:space="preserve">More useful once there's a few weeks of real stage-transition data to alert against.</w:t>
            </w:r>
          </w:p>
        </w:tc>
      </w:tr>
      <w:tr>
        <w:tc>
          <w:tcPr>
            <w:tcW w:type="dxa" w:w="320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b/>
                <w:bCs/>
                <w:color w:val="222222"/>
                <w:sz w:val="19"/>
                <w:szCs w:val="19"/>
              </w:rPr>
              <w:t xml:space="preserve">Pipeline dashboard</w:t>
            </w:r>
          </w:p>
        </w:tc>
        <w:tc>
          <w:tcPr>
            <w:tcW w:type="dxa" w:w="1400"/>
            <w:tcBorders>
              <w:top w:val="none" w:color="FFFFFF" w:sz="0"/>
              <w:left w:val="none" w:color="FFFFFF" w:sz="0"/>
              <w:bottom w:val="none" w:color="FFFFFF" w:sz="0"/>
              <w:right w:val="none" w:color="FFFFFF" w:sz="0"/>
            </w:tcBorders>
            <w:shd w:fill="FBF0DD" w:color="auto" w:val="clear"/>
            <w:tcMar>
              <w:top w:type="dxa" w:w="120"/>
              <w:left w:type="dxa" w:w="160"/>
              <w:bottom w:type="dxa" w:w="120"/>
              <w:right w:type="dxa" w:w="160"/>
            </w:tcMar>
            <w:vAlign w:val="center"/>
          </w:tcPr>
          <w:p>
            <w:pPr>
              <w:jc w:val="center"/>
            </w:pPr>
            <w:r>
              <w:rPr>
                <w:rFonts w:ascii="Calibri" w:cs="Calibri" w:eastAsia="Calibri" w:hAnsi="Calibri"/>
                <w:b/>
                <w:bCs/>
                <w:color w:val="9C6B10"/>
                <w:spacing w:val="8"/>
                <w:sz w:val="15"/>
                <w:szCs w:val="15"/>
              </w:rPr>
              <w:t xml:space="preserve">DEFERRED</w:t>
            </w:r>
          </w:p>
        </w:tc>
        <w:tc>
          <w:tcPr>
            <w:tcW w:type="dxa" w:w="4760"/>
            <w:tcBorders>
              <w:top w:val="none" w:color="FFFFFF" w:sz="0"/>
              <w:left w:val="none" w:color="FFFFFF" w:sz="0"/>
              <w:bottom w:val="none" w:color="FFFFFF" w:sz="0"/>
              <w:right w:val="none" w:color="FFFFFF" w:sz="0"/>
            </w:tcBorders>
            <w:shd w:fill="FFFFFF" w:color="auto" w:val="clear"/>
            <w:tcMar>
              <w:top w:type="dxa" w:w="120"/>
              <w:left w:type="dxa" w:w="160"/>
              <w:bottom w:type="dxa" w:w="120"/>
              <w:right w:type="dxa" w:w="160"/>
            </w:tcMar>
            <w:vAlign w:val="center"/>
          </w:tcPr>
          <w:p>
            <w:pPr>
              <w:spacing w:after="120"/>
            </w:pPr>
            <w:r>
              <w:rPr>
                <w:rFonts w:ascii="Calibri" w:cs="Calibri" w:eastAsia="Calibri" w:hAnsi="Calibri"/>
                <w:color w:val="222222"/>
                <w:sz w:val="19"/>
                <w:szCs w:val="19"/>
              </w:rPr>
              <w:t xml:space="preserve">Same reasoning — worth building once there's data to visualize.</w:t>
            </w:r>
          </w:p>
        </w:tc>
      </w:tr>
    </w:tbl>
    <w:p>
      <w:pPr>
        <w:pBdr>
          <w:bottom w:val="single" w:color="D8DCDE" w:sz="4"/>
        </w:pBdr>
        <w:spacing w:after="160" w:before="60"/>
      </w:pPr>
    </w:p>
    <w:p>
      <w:pPr>
        <w:spacing w:after="100" w:before="220"/>
      </w:pPr>
      <w:r>
        <w:rPr>
          <w:rFonts w:ascii="Georgia" w:cs="Georgia" w:eastAsia="Georgia" w:hAnsi="Georgia"/>
          <w:b/>
          <w:bCs/>
          <w:color w:val="2E6E62"/>
          <w:sz w:val="22"/>
          <w:szCs w:val="22"/>
        </w:rPr>
        <w:t xml:space="preserve">Open Items Before Build</w:t>
      </w:r>
    </w:p>
    <w:p>
      <w:pPr>
        <w:pStyle w:val="ListParagraph"/>
        <w:numPr>
          <w:ilvl w:val="0"/>
          <w:numId w:val="2"/>
        </w:numPr>
        <w:spacing w:after="60"/>
      </w:pPr>
      <w:r>
        <w:rPr>
          <w:rFonts w:ascii="Calibri" w:cs="Calibri" w:eastAsia="Calibri" w:hAnsi="Calibri"/>
          <w:color w:val="222222"/>
          <w:sz w:val="20"/>
          <w:szCs w:val="20"/>
        </w:rPr>
        <w:t xml:space="preserve">Jadon's underwriting Excel template — needed to map specific cells to the returns summary.</w:t>
      </w:r>
    </w:p>
    <w:p>
      <w:pPr>
        <w:pStyle w:val="ListParagraph"/>
        <w:numPr>
          <w:ilvl w:val="0"/>
          <w:numId w:val="2"/>
        </w:numPr>
        <w:spacing w:after="60"/>
      </w:pPr>
      <w:r>
        <w:rPr>
          <w:rFonts w:ascii="Calibri" w:cs="Calibri" w:eastAsia="Calibri" w:hAnsi="Calibri"/>
          <w:color w:val="222222"/>
          <w:sz w:val="20"/>
          <w:szCs w:val="20"/>
        </w:rPr>
        <w:t xml:space="preserve">Confirm: should the “Moving to PSA” confirm be restricted to Rhett/John, or should Jadon also have it?</w:t>
      </w:r>
    </w:p>
    <w:p>
      <w:pPr>
        <w:pStyle w:val="ListParagraph"/>
        <w:numPr>
          <w:ilvl w:val="0"/>
          <w:numId w:val="2"/>
        </w:numPr>
        <w:spacing w:after="60"/>
      </w:pPr>
      <w:r>
        <w:rPr>
          <w:rFonts w:ascii="Calibri" w:cs="Calibri" w:eastAsia="Calibri" w:hAnsi="Calibri"/>
          <w:color w:val="222222"/>
          <w:sz w:val="20"/>
          <w:szCs w:val="20"/>
        </w:rPr>
        <w:t xml:space="preserve">Shared inbox (acquisitions@dalfen.com) provisioning is a separate IT request, independent of this build — automated email intake can be added later without any rework.</w:t>
      </w:r>
    </w:p>
    <w:sectPr>
      <w:footerReference w:type="default" r:id="rId7"/>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5"/>
        <w:szCs w:val="15"/>
      </w:rPr>
      <w:t xml:space="preserve">Acquisitions Tracking Tool · Updated Feature Spec v2   ·   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2026-07-23T16:02:41.234Z</dcterms:created>
  <dcterms:modified xsi:type="dcterms:W3CDTF">2026-07-23T16:02:41.304Z</dcterms:modified>
</cp:coreProperties>
</file>

<file path=docProps/custom.xml><?xml version="1.0" encoding="utf-8"?>
<Properties xmlns="http://schemas.openxmlformats.org/officeDocument/2006/custom-properties" xmlns:vt="http://schemas.openxmlformats.org/officeDocument/2006/docPropsVTypes"/>
</file>