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117" w:val="clear"/>
        <w:spacing w:after="0" w:before="0"/>
      </w:pPr>
      <w:r>
        <w:rPr>
          <w:sz w:val="20"/>
          <w:szCs w:val="20"/>
        </w:rPr>
        <w:t xml:space="preserve"/>
      </w:r>
    </w:p>
    <w:p>
      <w:pPr>
        <w:shd w:fill="0D1117" w:val="clear"/>
        <w:spacing w:after="0" w:before="280"/>
        <w:jc w:val="left"/>
      </w:pPr>
      <w:r>
        <w:rPr>
          <w:rFonts w:ascii="Arial" w:cs="Arial" w:eastAsia="Arial" w:hAnsi="Arial"/>
          <w:b/>
          <w:bCs/>
          <w:color w:val="E8C84A"/>
          <w:sz w:val="52"/>
          <w:szCs w:val="52"/>
        </w:rPr>
        <w:t xml:space="preserve">  RIDGE</w:t>
      </w:r>
      <w:r>
        <w:rPr>
          <w:rFonts w:ascii="Arial" w:cs="Arial" w:eastAsia="Arial" w:hAnsi="Arial"/>
          <w:color w:val="7D8590"/>
          <w:sz w:val="36"/>
          <w:szCs w:val="36"/>
        </w:rPr>
        <w:t xml:space="preserve">  |  Deal Tools</w:t>
      </w:r>
    </w:p>
    <w:p>
      <w:pPr>
        <w:shd w:fill="0D1117" w:val="clear"/>
        <w:spacing w:after="0" w:before="60"/>
      </w:pPr>
      <w:r>
        <w:rPr>
          <w:rFonts w:ascii="Arial" w:cs="Arial" w:eastAsia="Arial" w:hAnsi="Arial"/>
          <w:color w:val="4A5568"/>
          <w:sz w:val="22"/>
          <w:szCs w:val="22"/>
        </w:rPr>
        <w:t xml:space="preserve">  Operating Brief  —  v3.2</w:t>
      </w:r>
    </w:p>
    <w:p>
      <w:pPr>
        <w:shd w:fill="0D1117" w:val="clear"/>
        <w:spacing w:after="280" w:before="60"/>
      </w:pPr>
      <w:r>
        <w:rPr>
          <w:rFonts w:ascii="Arial" w:cs="Arial" w:eastAsia="Arial" w:hAnsi="Arial"/>
          <w:color w:val="4A5568"/>
          <w:sz w:val="18"/>
          <w:szCs w:val="18"/>
        </w:rPr>
        <w:t xml:space="preserve">  Confidential  ·  Internal Use Only  ·  March 2026</w:t>
      </w:r>
    </w:p>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1.  Purpose &amp; Scope</w:t>
      </w:r>
    </w:p>
    <w:p>
      <w:pPr>
        <w:spacing w:after="80" w:before="60"/>
      </w:pPr>
      <w:r>
        <w:rPr>
          <w:rFonts w:ascii="Arial" w:cs="Arial" w:eastAsia="Arial" w:hAnsi="Arial"/>
          <w:sz w:val="20"/>
          <w:szCs w:val="20"/>
        </w:rPr>
        <w:t xml:space="preserve">RIDGE Deal Tools is a self-contained, browser-based AI workflow suite built for the acquisitions team. It consolidates five high-frequency deal tasks — sourcing, property-level research, lease comp mapping, legal document review, and IC memo / deck generation — into a single offline-capable HTML application that routes directly to the Anthropic API.</w:t>
      </w:r>
    </w:p>
    <w:p>
      <w:pPr>
        <w:spacing w:after="80" w:before="60"/>
      </w:pPr>
      <w:r>
        <w:rPr>
          <w:rFonts w:ascii="Arial" w:cs="Arial" w:eastAsia="Arial" w:hAnsi="Arial"/>
          <w:sz w:val="20"/>
          <w:szCs w:val="20"/>
        </w:rPr>
        <w:t xml:space="preserve">This brief documents the architecture, each module's inputs and outputs, operational requirements, and usage protocols. It is intended as the reference document for onboarding team members and for institutional record-keeping.</w:t>
      </w:r>
    </w:p>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2.  Architecture Overview</w:t>
      </w:r>
    </w:p>
    <w:p>
      <w:pPr>
        <w:spacing w:after="80" w:before="60"/>
      </w:pPr>
      <w:r>
        <w:rPr>
          <w:rFonts w:ascii="Arial" w:cs="Arial" w:eastAsia="Arial" w:hAnsi="Arial"/>
          <w:sz w:val="20"/>
          <w:szCs w:val="20"/>
        </w:rPr>
        <w:t xml:space="preserve">The tool runs entirely as a single HTML file with no build step or server dependency. All logic, styling, and library imports are bundled inline. The only external dependency at runtime is a valid Anthropic API key, which the user supplies once and is stored in the browser's localStorage.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71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Runtime</w:t>
            </w:r>
          </w:p>
        </w:tc>
        <w:tc>
          <w:tcPr>
            <w:tcW w:type="dxa" w:w="7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Browser — Chrome, Edge, Safari (no install, no server)</w:t>
            </w:r>
          </w:p>
        </w:tc>
      </w:tr>
      <w:tr>
        <w:tc>
          <w:tcPr>
            <w:tcW w:type="dxa" w:w="22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AI Model</w:t>
            </w:r>
          </w:p>
        </w:tc>
        <w:tc>
          <w:tcPr>
            <w:tcW w:type="dxa" w:w="71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claude-sonnet-4-20250514 via Anthropic /v1/messages</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API Auth</w:t>
            </w:r>
          </w:p>
        </w:tc>
        <w:tc>
          <w:tcPr>
            <w:tcW w:type="dxa" w:w="7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User-supplied Anthropic key stored in localStorage; never transmitted except to api.anthropic.com</w:t>
            </w:r>
          </w:p>
        </w:tc>
      </w:tr>
      <w:tr>
        <w:tc>
          <w:tcPr>
            <w:tcW w:type="dxa" w:w="22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File Parsing</w:t>
            </w:r>
          </w:p>
        </w:tc>
        <w:tc>
          <w:tcPr>
            <w:tcW w:type="dxa" w:w="71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FileReader → base64 → Anthropic vision; XLSX: SheetJS (bundled) → text extraction → prompt injection</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Exports</w:t>
            </w:r>
          </w:p>
        </w:tc>
        <w:tc>
          <w:tcPr>
            <w:tcW w:type="dxa" w:w="7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docx via docx.js (CDN); pptx via PptxGenJS (CDN); HTML map via Blob download; Print-ready HTML via window.print()</w:t>
            </w:r>
          </w:p>
        </w:tc>
      </w:tr>
      <w:tr>
        <w:tc>
          <w:tcPr>
            <w:tcW w:type="dxa" w:w="22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Persistence</w:t>
            </w:r>
          </w:p>
        </w:tc>
        <w:tc>
          <w:tcPr>
            <w:tcW w:type="dxa" w:w="71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Gavel document library: window.storage API (session). No server-side state.</w:t>
            </w:r>
          </w:p>
        </w:tc>
      </w:tr>
    </w:tbl>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3.  Module Reference</w:t>
      </w:r>
    </w:p>
    <w:p>
      <w:pPr>
        <w:spacing w:after="80" w:before="60"/>
      </w:pPr>
      <w:r>
        <w:rPr>
          <w:rFonts w:ascii="Arial" w:cs="Arial" w:eastAsia="Arial" w:hAnsi="Arial"/>
          <w:sz w:val="20"/>
          <w:szCs w:val="20"/>
        </w:rPr>
        <w:t xml:space="preserve">The tool home screen presents five modules. Each routes to a dedicated input panel and shared results view with copy, export, and download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160"/>
        <w:gridCol w:w="1800"/>
      </w:tblGrid>
      <w:tr>
        <w:trPr>
          <w:tblHeader/>
        </w:trPr>
        <w:tc>
          <w:tcPr>
            <w:tcW w:type="dxa" w:w="6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1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51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1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Primary Output</w:t>
            </w:r>
          </w:p>
        </w:tc>
      </w:tr>
      <w:tr>
        <w:tc>
          <w:tcPr>
            <w:tcW w:type="dxa" w:w="600"/>
            <w:tcBorders>
              <w:top w:val="single" w:color="DDE3ED" w:sz="1"/>
              <w:left w:val="single" w:color="DDE3ED" w:sz="1"/>
              <w:bottom w:val="single" w:color="DDE3ED" w:sz="1"/>
              <w:right w:val="single" w:color="DDE3ED" w:sz="1"/>
            </w:tcBorders>
            <w:shd w:fill="FFFFFF"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sz w:val="20"/>
                <w:szCs w:val="20"/>
              </w:rPr>
              <w:t xml:space="preserve">Submarket Sweep</w:t>
            </w:r>
          </w:p>
          <w:p>
            <w:r>
              <w:rPr>
                <w:rFonts w:ascii="Arial" w:cs="Arial" w:eastAsia="Arial" w:hAnsi="Arial"/>
                <w:i/>
                <w:iCs/>
                <w:color w:val="7D8590"/>
                <w:sz w:val="16"/>
                <w:szCs w:val="16"/>
              </w:rPr>
              <w:t xml:space="preserve">SCOUT</w:t>
            </w:r>
          </w:p>
        </w:tc>
        <w:tc>
          <w:tcPr>
            <w:tcW w:type="dxa" w:w="516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sz w:val="19"/>
                <w:szCs w:val="19"/>
              </w:rPr>
              <w:t xml:space="preserve">Generates a ranked prospect list (10–50 properties) for a target submarket. Screens for debt maturity stress, CMBS watchlist exposure, elevated vacancy, capex neglect, and motivated ownership profiles. Configurable by asset type, deal size, and SF range.</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color w:val="856D10"/>
                <w:sz w:val="17"/>
                <w:szCs w:val="17"/>
              </w:rPr>
              <w:t xml:space="preserve">Ranked target list with deal signals</w:t>
            </w:r>
          </w:p>
        </w:tc>
      </w:tr>
      <w:tr>
        <w:tc>
          <w:tcPr>
            <w:tcW w:type="dxa" w:w="600"/>
            <w:tcBorders>
              <w:top w:val="single" w:color="DDE3ED" w:sz="1"/>
              <w:left w:val="single" w:color="DDE3ED" w:sz="1"/>
              <w:bottom w:val="single" w:color="DDE3ED" w:sz="1"/>
              <w:right w:val="single" w:color="DDE3ED" w:sz="1"/>
            </w:tcBorders>
            <w:shd w:fill="F4F6FA"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180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b/>
                <w:bCs/>
                <w:sz w:val="20"/>
                <w:szCs w:val="20"/>
              </w:rPr>
              <w:t xml:space="preserve">Property Dossier</w:t>
            </w:r>
          </w:p>
          <w:p>
            <w:r>
              <w:rPr>
                <w:rFonts w:ascii="Arial" w:cs="Arial" w:eastAsia="Arial" w:hAnsi="Arial"/>
                <w:i/>
                <w:iCs/>
                <w:color w:val="7D8590"/>
                <w:sz w:val="16"/>
                <w:szCs w:val="16"/>
              </w:rPr>
              <w:t xml:space="preserve">SCOUT</w:t>
            </w:r>
          </w:p>
        </w:tc>
        <w:tc>
          <w:tcPr>
            <w:tcW w:type="dxa" w:w="516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sz w:val="19"/>
                <w:szCs w:val="19"/>
              </w:rPr>
              <w:t xml:space="preserve">Full single-property deal screen across 8 sections: owner identity, debt stack, submarket trends, comp sales, tenant analysis, supply pipeline, SWOT, and outreach angle. Accepts optional OM/PDF upload to inject deal doc context.</w:t>
            </w:r>
          </w:p>
        </w:tc>
        <w:tc>
          <w:tcPr>
            <w:tcW w:type="dxa" w:w="180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b/>
                <w:bCs/>
                <w:color w:val="856D10"/>
                <w:sz w:val="17"/>
                <w:szCs w:val="17"/>
              </w:rPr>
              <w:t xml:space="preserve">8-section narrative report</w:t>
            </w:r>
          </w:p>
        </w:tc>
      </w:tr>
      <w:tr>
        <w:tc>
          <w:tcPr>
            <w:tcW w:type="dxa" w:w="600"/>
            <w:tcBorders>
              <w:top w:val="single" w:color="DDE3ED" w:sz="1"/>
              <w:left w:val="single" w:color="DDE3ED" w:sz="1"/>
              <w:bottom w:val="single" w:color="DDE3ED" w:sz="1"/>
              <w:right w:val="single" w:color="DDE3ED" w:sz="1"/>
            </w:tcBorders>
            <w:shd w:fill="FFFFFF"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sz w:val="20"/>
                <w:szCs w:val="20"/>
              </w:rPr>
              <w:t xml:space="preserve">Lease Comp Map</w:t>
            </w:r>
          </w:p>
          <w:p>
            <w:r>
              <w:rPr>
                <w:rFonts w:ascii="Arial" w:cs="Arial" w:eastAsia="Arial" w:hAnsi="Arial"/>
                <w:i/>
                <w:iCs/>
                <w:color w:val="7D8590"/>
                <w:sz w:val="16"/>
                <w:szCs w:val="16"/>
              </w:rPr>
              <w:t xml:space="preserve">Picasso</w:t>
            </w:r>
          </w:p>
        </w:tc>
        <w:tc>
          <w:tcPr>
            <w:tcW w:type="dxa" w:w="516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sz w:val="19"/>
                <w:szCs w:val="19"/>
              </w:rPr>
              <w:t xml:space="preserve">Accepts comp data via .xlsx upload or paste (CoStar table / CSV). Geocodes addresses and renders an interactive Leaflet.js HTML map with clickable pins, full data table, and statistical summary (avg rent, term, TI, free rent). Exports as a standalone HTML file.</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color w:val="856D10"/>
                <w:sz w:val="17"/>
                <w:szCs w:val="17"/>
              </w:rPr>
              <w:t xml:space="preserve">Interactive HTML comp map</w:t>
            </w:r>
          </w:p>
        </w:tc>
      </w:tr>
      <w:tr>
        <w:tc>
          <w:tcPr>
            <w:tcW w:type="dxa" w:w="600"/>
            <w:tcBorders>
              <w:top w:val="single" w:color="DDE3ED" w:sz="1"/>
              <w:left w:val="single" w:color="DDE3ED" w:sz="1"/>
              <w:bottom w:val="single" w:color="DDE3ED" w:sz="1"/>
              <w:right w:val="single" w:color="DDE3ED" w:sz="1"/>
            </w:tcBorders>
            <w:shd w:fill="F4F6FA"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180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b/>
                <w:bCs/>
                <w:sz w:val="20"/>
                <w:szCs w:val="20"/>
              </w:rPr>
              <w:t xml:space="preserve">Legal Doc Review</w:t>
            </w:r>
          </w:p>
          <w:p>
            <w:r>
              <w:rPr>
                <w:rFonts w:ascii="Arial" w:cs="Arial" w:eastAsia="Arial" w:hAnsi="Arial"/>
                <w:i/>
                <w:iCs/>
                <w:color w:val="7D8590"/>
                <w:sz w:val="16"/>
                <w:szCs w:val="16"/>
              </w:rPr>
              <w:t xml:space="preserve">The Gavel</w:t>
            </w:r>
          </w:p>
        </w:tc>
        <w:tc>
          <w:tcPr>
            <w:tcW w:type="dxa" w:w="516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sz w:val="19"/>
                <w:szCs w:val="19"/>
              </w:rPr>
              <w:t xml:space="preserve">Uploads up to two CRE legal documents (PDF). Identifies document type or uses user selection. Outputs key terms, provision checklist, risk flags with severity ratings, redline suggestions, and optional side-by-side comparison matrix. Supports a persistent executed-document library for benchmarking new docs against prior deals.</w:t>
            </w:r>
          </w:p>
        </w:tc>
        <w:tc>
          <w:tcPr>
            <w:tcW w:type="dxa" w:w="1800"/>
            <w:tcBorders>
              <w:top w:val="single" w:color="DDE3ED" w:sz="1"/>
              <w:left w:val="single" w:color="DDE3ED" w:sz="1"/>
              <w:bottom w:val="single" w:color="DDE3ED" w:sz="1"/>
              <w:right w:val="single" w:color="DDE3ED" w:sz="1"/>
            </w:tcBorders>
            <w:shd w:fill="F4F6FA" w:val="clear"/>
            <w:tcMar>
              <w:top w:type="dxa" w:w="100"/>
              <w:left w:type="dxa" w:w="120"/>
              <w:bottom w:type="dxa" w:w="100"/>
              <w:right w:type="dxa" w:w="120"/>
            </w:tcMar>
          </w:tcPr>
          <w:p>
            <w:r>
              <w:rPr>
                <w:rFonts w:ascii="Arial" w:cs="Arial" w:eastAsia="Arial" w:hAnsi="Arial"/>
                <w:b/>
                <w:bCs/>
                <w:color w:val="856D10"/>
                <w:sz w:val="17"/>
                <w:szCs w:val="17"/>
              </w:rPr>
              <w:t xml:space="preserve">Risk-flagged review + redline memo</w:t>
            </w:r>
          </w:p>
        </w:tc>
      </w:tr>
      <w:tr>
        <w:tc>
          <w:tcPr>
            <w:tcW w:type="dxa" w:w="600"/>
            <w:tcBorders>
              <w:top w:val="single" w:color="DDE3ED" w:sz="1"/>
              <w:left w:val="single" w:color="DDE3ED" w:sz="1"/>
              <w:bottom w:val="single" w:color="DDE3ED" w:sz="1"/>
              <w:right w:val="single" w:color="DDE3ED" w:sz="1"/>
            </w:tcBorders>
            <w:shd w:fill="FFFFFF"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sz w:val="20"/>
                <w:szCs w:val="20"/>
              </w:rPr>
              <w:t xml:space="preserve">Investment Summary</w:t>
            </w:r>
          </w:p>
          <w:p>
            <w:r>
              <w:rPr>
                <w:rFonts w:ascii="Arial" w:cs="Arial" w:eastAsia="Arial" w:hAnsi="Arial"/>
                <w:i/>
                <w:iCs/>
                <w:color w:val="7D8590"/>
                <w:sz w:val="16"/>
                <w:szCs w:val="16"/>
              </w:rPr>
              <w:t xml:space="preserve">Memo + IC Deck</w:t>
            </w:r>
          </w:p>
        </w:tc>
        <w:tc>
          <w:tcPr>
            <w:tcW w:type="dxa" w:w="516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sz w:val="19"/>
                <w:szCs w:val="19"/>
              </w:rPr>
              <w:t xml:space="preserve">Accepts an acquisition model (.xlsx) for auto-population or manual metric entry. Produces a full IC memo with deal thesis, return metrics, market context, pros/cons (with annotated comments), risk analysis, and IC recommendation. Exports as both a .docx memo and a .pptx IC deck.</w:t>
            </w:r>
          </w:p>
        </w:tc>
        <w:tc>
          <w:tcPr>
            <w:tcW w:type="dxa" w:w="1800"/>
            <w:tcBorders>
              <w:top w:val="single" w:color="DDE3ED" w:sz="1"/>
              <w:left w:val="single" w:color="DDE3ED" w:sz="1"/>
              <w:bottom w:val="single" w:color="DDE3ED" w:sz="1"/>
              <w:right w:val="single" w:color="DDE3ED" w:sz="1"/>
            </w:tcBorders>
            <w:shd w:fill="FFFFFF" w:val="clear"/>
            <w:tcMar>
              <w:top w:type="dxa" w:w="100"/>
              <w:left w:type="dxa" w:w="120"/>
              <w:bottom w:type="dxa" w:w="100"/>
              <w:right w:type="dxa" w:w="120"/>
            </w:tcMar>
          </w:tcPr>
          <w:p>
            <w:r>
              <w:rPr>
                <w:rFonts w:ascii="Arial" w:cs="Arial" w:eastAsia="Arial" w:hAnsi="Arial"/>
                <w:b/>
                <w:bCs/>
                <w:color w:val="856D10"/>
                <w:sz w:val="17"/>
                <w:szCs w:val="17"/>
              </w:rPr>
              <w:t xml:space="preserve">.docx IC memo + .pptx IC deck</w:t>
            </w:r>
          </w:p>
        </w:tc>
      </w:tr>
    </w:tbl>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4.  Module Detail — Inputs &amp; Outputs</w:t>
      </w:r>
    </w:p>
    <w:p>
      <w:pPr>
        <w:spacing w:after="80" w:before="200"/>
      </w:pPr>
      <w:r>
        <w:rPr>
          <w:rFonts w:ascii="Arial" w:cs="Arial" w:eastAsia="Arial" w:hAnsi="Arial"/>
          <w:b/>
          <w:bCs/>
          <w:color w:val="1A3A6B"/>
          <w:sz w:val="22"/>
          <w:szCs w:val="22"/>
        </w:rPr>
        <w:t xml:space="preserve">4.1  Submarket Sweep (SCOUT)</w:t>
      </w:r>
    </w:p>
    <w:p>
      <w:pPr>
        <w:spacing w:after="80" w:before="60"/>
      </w:pPr>
      <w:r>
        <w:rPr>
          <w:rFonts w:ascii="Arial" w:cs="Arial" w:eastAsia="Arial" w:hAnsi="Arial"/>
          <w:sz w:val="20"/>
          <w:szCs w:val="20"/>
        </w:rPr>
        <w:t xml:space="preserve">Purpose: Rapid deal sourcing for a defined submarket. Produces a prioritized acquisition target list with ownership and debt signal overlays.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Input Field</w:t>
            </w:r>
          </w:p>
        </w:tc>
        <w:tc>
          <w:tcPr>
            <w:tcW w:type="dxa" w:w="65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Target Submarket *</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text — e.g. 'I-85 Corridor / Gwinnett, GA'</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Asset Type *</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Industrial | Office | Flex/R&amp;D | Retail | Mixed Use</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Deal Size Range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Defaults to $10M–$70M. Six preset ranges available.</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Building Size (SF)</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size through size bands up to 200K+ SF</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Priority Signal</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signals | Debt maturity/bridge stress | CMBS watchlist | Elevated vacancy | Capex neglect</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Additional Context</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free text — owner type preferences, exclusions, prior intel</w:t>
            </w:r>
          </w:p>
        </w:tc>
      </w:tr>
    </w:tbl>
    <w:p>
      <w:pPr>
        <w:spacing w:after="80" w:before="80"/>
      </w:pPr>
      <w:r>
        <w:t xml:space="preserve"/>
      </w:r>
    </w:p>
    <w:p>
      <w:pPr>
        <w:spacing w:after="60" w:before="60"/>
      </w:pPr>
      <w:r>
        <w:rPr>
          <w:rFonts w:ascii="Arial" w:cs="Arial" w:eastAsia="Arial" w:hAnsi="Arial"/>
          <w:b/>
          <w:bCs/>
          <w:sz w:val="20"/>
          <w:szCs w:val="20"/>
        </w:rPr>
        <w:t xml:space="preserve">Output: </w:t>
      </w:r>
      <w:r>
        <w:rPr>
          <w:rFonts w:ascii="Arial" w:cs="Arial" w:eastAsia="Arial" w:hAnsi="Arial"/>
          <w:sz w:val="20"/>
          <w:szCs w:val="20"/>
        </w:rPr>
        <w:t xml:space="preserve">Ranked prospect list with signal flags per property, ownership profile summaries, and recommended outreach prioritization.</w:t>
      </w:r>
    </w:p>
    <w:p>
      <w:pPr>
        <w:spacing w:after="80" w:before="80"/>
      </w:pPr>
      <w:r>
        <w:t xml:space="preserve"/>
      </w:r>
    </w:p>
    <w:p>
      <w:pPr>
        <w:spacing w:after="80" w:before="200"/>
      </w:pPr>
      <w:r>
        <w:rPr>
          <w:rFonts w:ascii="Arial" w:cs="Arial" w:eastAsia="Arial" w:hAnsi="Arial"/>
          <w:b/>
          <w:bCs/>
          <w:color w:val="1A3A6B"/>
          <w:sz w:val="22"/>
          <w:szCs w:val="22"/>
        </w:rPr>
        <w:t xml:space="preserve">4.2  Property Dossier (SCOUT)</w:t>
      </w:r>
    </w:p>
    <w:p>
      <w:pPr>
        <w:spacing w:after="80" w:before="60"/>
      </w:pPr>
      <w:r>
        <w:rPr>
          <w:rFonts w:ascii="Arial" w:cs="Arial" w:eastAsia="Arial" w:hAnsi="Arial"/>
          <w:sz w:val="20"/>
          <w:szCs w:val="20"/>
        </w:rPr>
        <w:t xml:space="preserve">Purpose: Full deal screen on a single identified property. Delivers institutional-grade diligence context ahead of LOI or direct outreach.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Input Field</w:t>
            </w:r>
          </w:p>
        </w:tc>
        <w:tc>
          <w:tcPr>
            <w:tcW w:type="dxa" w:w="65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Property Address *</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street address for geocoding and record lookup</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Asset Type</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RIDGE will determine from research if left blank</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Estimated SF</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'unknown' accepted</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OM / Deal Doc Upload</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 extracted text feeds directly into dossier prompt</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Known Intel</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 outreach notes, rumored debt situation, CoStar flags</w:t>
            </w:r>
          </w:p>
        </w:tc>
      </w:tr>
    </w:tbl>
    <w:p>
      <w:pPr>
        <w:spacing w:after="80" w:before="80"/>
      </w:pPr>
      <w:r>
        <w:t xml:space="preserve"/>
      </w:r>
    </w:p>
    <w:p>
      <w:pPr>
        <w:spacing w:after="60" w:before="60"/>
      </w:pPr>
      <w:r>
        <w:rPr>
          <w:rFonts w:ascii="Arial" w:cs="Arial" w:eastAsia="Arial" w:hAnsi="Arial"/>
          <w:b/>
          <w:bCs/>
          <w:sz w:val="20"/>
          <w:szCs w:val="20"/>
        </w:rPr>
        <w:t xml:space="preserve">Output sections: </w:t>
      </w:r>
      <w:r>
        <w:rPr>
          <w:rFonts w:ascii="Arial" w:cs="Arial" w:eastAsia="Arial" w:hAnsi="Arial"/>
          <w:sz w:val="20"/>
          <w:szCs w:val="20"/>
        </w:rPr>
        <w:t xml:space="preserve">Owner Identity · Debt Stack · Submarket Trends · Comp Sales · Tenant Analysis · Supply Pipeline · SWOT · Recommended Outreach Angle</w:t>
      </w:r>
    </w:p>
    <w:p>
      <w:pPr>
        <w:spacing w:after="80" w:before="80"/>
      </w:pPr>
      <w:r>
        <w:t xml:space="preserve"/>
      </w:r>
    </w:p>
    <w:p>
      <w:pPr>
        <w:spacing w:after="80" w:before="200"/>
      </w:pPr>
      <w:r>
        <w:rPr>
          <w:rFonts w:ascii="Arial" w:cs="Arial" w:eastAsia="Arial" w:hAnsi="Arial"/>
          <w:b/>
          <w:bCs/>
          <w:color w:val="1A3A6B"/>
          <w:sz w:val="22"/>
          <w:szCs w:val="22"/>
        </w:rPr>
        <w:t xml:space="preserve">4.3  Lease Comp Map (Picasso)</w:t>
      </w:r>
    </w:p>
    <w:p>
      <w:pPr>
        <w:spacing w:after="80" w:before="60"/>
      </w:pPr>
      <w:r>
        <w:rPr>
          <w:rFonts w:ascii="Arial" w:cs="Arial" w:eastAsia="Arial" w:hAnsi="Arial"/>
          <w:sz w:val="20"/>
          <w:szCs w:val="20"/>
        </w:rPr>
        <w:t xml:space="preserve">Purpose: Visual comp analysis for submarket positioning and rent support. Generates a print-ready interactive map for IC packages and broker meetings.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Input Field</w:t>
            </w:r>
          </w:p>
        </w:tc>
        <w:tc>
          <w:tcPr>
            <w:tcW w:type="dxa" w:w="65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Target Property Address(es) *</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per line — shown as distinct pins on the map</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Submarket Name</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as the file name and map title on export</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 Data (.xlsx upload)</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Parsed via SheetJS — all sheets read</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Comp Data (paste)</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CoStar table, CSV, or plain text. Fields: Tenant, Address, City, SF, Term, Sign Date, Lease Type, Rent/SF, Escalation, Free Rent, TIs, Transaction Type</w:t>
            </w:r>
          </w:p>
        </w:tc>
      </w:tr>
    </w:tbl>
    <w:p>
      <w:pPr>
        <w:spacing w:after="80" w:before="80"/>
      </w:pPr>
      <w:r>
        <w:t xml:space="preserve"/>
      </w:r>
    </w:p>
    <w:p>
      <w:pPr>
        <w:spacing w:after="60" w:before="60"/>
      </w:pPr>
      <w:r>
        <w:rPr>
          <w:rFonts w:ascii="Arial" w:cs="Arial" w:eastAsia="Arial" w:hAnsi="Arial"/>
          <w:b/>
          <w:bCs/>
          <w:sz w:val="20"/>
          <w:szCs w:val="20"/>
        </w:rPr>
        <w:t xml:space="preserve">Output: </w:t>
      </w:r>
      <w:r>
        <w:rPr>
          <w:rFonts w:ascii="Arial" w:cs="Arial" w:eastAsia="Arial" w:hAnsi="Arial"/>
          <w:sz w:val="20"/>
          <w:szCs w:val="20"/>
        </w:rPr>
        <w:t xml:space="preserve">Standalone HTML file with geocoded Leaflet map, clickable pins, full comp data table, and statistical summary (avg NNN rent, avg term, avg TI, avg free rent). Downloaded directly from the browser.</w:t>
      </w:r>
    </w:p>
    <w:p>
      <w:pPr>
        <w:spacing w:after="80" w:before="80"/>
      </w:pPr>
      <w:r>
        <w:t xml:space="preserve"/>
      </w:r>
    </w:p>
    <w:p>
      <w:pPr>
        <w:spacing w:after="80" w:before="200"/>
      </w:pPr>
      <w:r>
        <w:rPr>
          <w:rFonts w:ascii="Arial" w:cs="Arial" w:eastAsia="Arial" w:hAnsi="Arial"/>
          <w:b/>
          <w:bCs/>
          <w:color w:val="1A3A6B"/>
          <w:sz w:val="22"/>
          <w:szCs w:val="22"/>
        </w:rPr>
        <w:t xml:space="preserve">4.4  Legal Doc Review (The Gavel)</w:t>
      </w:r>
    </w:p>
    <w:p>
      <w:pPr>
        <w:spacing w:after="80" w:before="60"/>
      </w:pPr>
      <w:r>
        <w:rPr>
          <w:rFonts w:ascii="Arial" w:cs="Arial" w:eastAsia="Arial" w:hAnsi="Arial"/>
          <w:sz w:val="20"/>
          <w:szCs w:val="20"/>
        </w:rPr>
        <w:t xml:space="preserve">Purpose: AI-assisted CRE legal document review. Not a substitute for outside counsel — intended to flag issues and structure attorney review sessions.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Input Field</w:t>
            </w:r>
          </w:p>
        </w:tc>
        <w:tc>
          <w:tcPr>
            <w:tcW w:type="dxa" w:w="65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Primary Document *</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 JV/OA, PSA, Loan Doc, Lease, PMA</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Second Document</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 triggers side-by-side comparison matrix output</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Type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Auto-detect or user-specified</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Focus Areas</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 e.g. 'waterfall, exit rights, default provisions'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Context / Notes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Deal background, Ridge's role (buyer, lender, JV partner), specific concerns</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Library Comparison</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from previously stored executed docs to benchmark terms</w:t>
            </w:r>
          </w:p>
        </w:tc>
      </w:tr>
    </w:tbl>
    <w:p>
      <w:pPr>
        <w:spacing w:after="80" w:before="80"/>
      </w:pPr>
      <w:r>
        <w:t xml:space="preserve"/>
      </w:r>
    </w:p>
    <w:p>
      <w:pPr>
        <w:spacing w:after="60" w:before="60"/>
      </w:pPr>
      <w:r>
        <w:rPr>
          <w:rFonts w:ascii="Arial" w:cs="Arial" w:eastAsia="Arial" w:hAnsi="Arial"/>
          <w:b/>
          <w:bCs/>
          <w:sz w:val="20"/>
          <w:szCs w:val="20"/>
        </w:rPr>
        <w:t xml:space="preserve">Output: </w:t>
      </w:r>
      <w:r>
        <w:rPr>
          <w:rFonts w:ascii="Arial" w:cs="Arial" w:eastAsia="Arial" w:hAnsi="Arial"/>
          <w:sz w:val="20"/>
          <w:szCs w:val="20"/>
        </w:rPr>
        <w:t xml:space="preserve">Structured review with: key terms table, provision checklist, risk flags (High / Medium / Low severity), redline language suggestions, and optional two-document comparison matrix.</w:t>
      </w:r>
    </w:p>
    <w:p>
      <w:pPr>
        <w:spacing w:after="60" w:before="60"/>
      </w:pPr>
      <w:r>
        <w:rPr>
          <w:rFonts w:ascii="Arial" w:cs="Arial" w:eastAsia="Arial" w:hAnsi="Arial"/>
          <w:b/>
          <w:bCs/>
          <w:sz w:val="20"/>
          <w:szCs w:val="20"/>
        </w:rPr>
        <w:t xml:space="preserve">Document Library: </w:t>
      </w:r>
      <w:r>
        <w:rPr>
          <w:rFonts w:ascii="Arial" w:cs="Arial" w:eastAsia="Arial" w:hAnsi="Arial"/>
          <w:sz w:val="20"/>
          <w:szCs w:val="20"/>
        </w:rPr>
        <w:t xml:space="preserve">Users can save executed CRE documents to a persistent in-session library via the Library tab. These are stored via window.storage and available for cross-referencing on future Gavel runs within the same browser session.</w:t>
      </w:r>
    </w:p>
    <w:p>
      <w:pPr>
        <w:spacing w:after="80" w:before="80"/>
      </w:pPr>
      <w:r>
        <w:t xml:space="preserve"/>
      </w:r>
    </w:p>
    <w:p>
      <w:pPr>
        <w:spacing w:after="80" w:before="200"/>
      </w:pPr>
      <w:r>
        <w:rPr>
          <w:rFonts w:ascii="Arial" w:cs="Arial" w:eastAsia="Arial" w:hAnsi="Arial"/>
          <w:b/>
          <w:bCs/>
          <w:color w:val="1A3A6B"/>
          <w:sz w:val="22"/>
          <w:szCs w:val="22"/>
        </w:rPr>
        <w:t xml:space="preserve">4.5  Investment Summary Report (Memo + IC Deck)</w:t>
      </w:r>
    </w:p>
    <w:p>
      <w:pPr>
        <w:spacing w:after="80" w:before="60"/>
      </w:pPr>
      <w:r>
        <w:rPr>
          <w:rFonts w:ascii="Arial" w:cs="Arial" w:eastAsia="Arial" w:hAnsi="Arial"/>
          <w:sz w:val="20"/>
          <w:szCs w:val="20"/>
        </w:rPr>
        <w:t xml:space="preserve">Purpose: End-to-end IC package generation from underwriting data. Produces both a Word memo and a PowerPoint deck in a single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Input Field</w:t>
            </w:r>
          </w:p>
        </w:tc>
        <w:tc>
          <w:tcPr>
            <w:tcW w:type="dxa" w:w="65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Acquisition Model (.xlsx)</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but recommended — all sheets parsed (summary, assumptions, cash flows, debt, sensitivity). Auto-populates fields below.</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Property Address / Deal Name *</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as the document title and file name on export</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Asset Type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Industrial | Flex/R&amp;D | Office | Retail | Mixed Use</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Building SF + Purchase Price</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PSF auto-calculates from these two fields; can be overridden manually</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Return Metrics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Levered IRR | Equity Multiple | Hold Period | Going-in Cap Rate | YOC (Yr 3) | LTV</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Deal Thesis</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narrative — AI generates if blank; OM/PDF upload also accepted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Pros &amp; Cons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Pre-fill to guide AI or leave blank. Point + comment/annotation per row. Three rows default, expandable. Editable post-generation in results view.</w:t>
            </w:r>
          </w:p>
        </w:tc>
      </w:tr>
      <w:tr>
        <w:tc>
          <w:tcPr>
            <w:tcW w:type="dxa" w:w="28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Additional Notes</w:t>
            </w:r>
          </w:p>
        </w:tc>
        <w:tc>
          <w:tcPr>
            <w:tcW w:type="dxa" w:w="65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Lender feedback, IC concerns, deal-specific nuances, basis vs. market</w:t>
            </w:r>
          </w:p>
        </w:tc>
      </w:tr>
    </w:tbl>
    <w:p>
      <w:pPr>
        <w:spacing w:after="80" w:before="80"/>
      </w:pPr>
      <w:r>
        <w:t xml:space="preserve"/>
      </w:r>
    </w:p>
    <w:p>
      <w:pPr>
        <w:spacing w:after="60" w:before="60"/>
      </w:pPr>
      <w:r>
        <w:rPr>
          <w:rFonts w:ascii="Arial" w:cs="Arial" w:eastAsia="Arial" w:hAnsi="Arial"/>
          <w:b/>
          <w:bCs/>
          <w:sz w:val="20"/>
          <w:szCs w:val="20"/>
        </w:rPr>
        <w:t xml:space="preserve">ISR .docx output sections: </w:t>
      </w:r>
      <w:r>
        <w:rPr>
          <w:rFonts w:ascii="Arial" w:cs="Arial" w:eastAsia="Arial" w:hAnsi="Arial"/>
          <w:sz w:val="20"/>
          <w:szCs w:val="20"/>
        </w:rPr>
        <w:t xml:space="preserve">Cover metrics table · Deal Thesis &amp; Overview · Market/Submarket Context · Pros (with annotated Word comments) · Cons (with annotated Word comments) · Risk Analysis · IC Recommendation</w:t>
      </w:r>
    </w:p>
    <w:p>
      <w:pPr>
        <w:spacing w:after="60" w:before="60"/>
      </w:pPr>
      <w:r>
        <w:rPr>
          <w:rFonts w:ascii="Arial" w:cs="Arial" w:eastAsia="Arial" w:hAnsi="Arial"/>
          <w:b/>
          <w:bCs/>
          <w:sz w:val="20"/>
          <w:szCs w:val="20"/>
        </w:rPr>
        <w:t xml:space="preserve">ISR .pptx output sections: </w:t>
      </w:r>
      <w:r>
        <w:rPr>
          <w:rFonts w:ascii="Arial" w:cs="Arial" w:eastAsia="Arial" w:hAnsi="Arial"/>
          <w:sz w:val="20"/>
          <w:szCs w:val="20"/>
        </w:rPr>
        <w:t xml:space="preserve">Cover slide · Key Metrics · Deal Thesis · Market Context · Pros &amp; Cons · Risk Matrix · Sensitivity · IC Recommendation</w:t>
      </w:r>
    </w:p>
    <w:p>
      <w:pPr>
        <w:spacing w:after="60" w:before="60"/>
      </w:pPr>
      <w:r>
        <w:rPr>
          <w:rFonts w:ascii="Arial" w:cs="Arial" w:eastAsia="Arial" w:hAnsi="Arial"/>
          <w:b/>
          <w:bCs/>
          <w:sz w:val="20"/>
          <w:szCs w:val="20"/>
        </w:rPr>
        <w:t xml:space="preserve">Post-generation editing: </w:t>
      </w:r>
      <w:r>
        <w:rPr>
          <w:rFonts w:ascii="Arial" w:cs="Arial" w:eastAsia="Arial" w:hAnsi="Arial"/>
          <w:sz w:val="20"/>
          <w:szCs w:val="20"/>
        </w:rPr>
        <w:t xml:space="preserve">Pros/cons items are editable directly in the results panel before downloading. Changes are reflected in both the .docx and .pptx exports.</w:t>
      </w:r>
    </w:p>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5.  Export Formats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0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53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Submarket Sweep</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 HTML</w:t>
            </w:r>
          </w:p>
        </w:tc>
        <w:tc>
          <w:tcPr>
            <w:tcW w:type="dxa" w:w="53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window.print() with print-ready CSS overlay</w:t>
            </w:r>
          </w:p>
        </w:tc>
      </w:tr>
      <w:tr>
        <w:tc>
          <w:tcPr>
            <w:tcW w:type="dxa" w:w="20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Property Dossier</w:t>
            </w:r>
          </w:p>
        </w:tc>
        <w:tc>
          <w:tcPr>
            <w:tcW w:type="dxa" w:w="20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 HTML</w:t>
            </w:r>
          </w:p>
        </w:tc>
        <w:tc>
          <w:tcPr>
            <w:tcW w:type="dxa" w:w="53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window.print() with print-ready CSS overlay</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Lease Comp Map</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.html</w:t>
            </w:r>
          </w:p>
        </w:tc>
        <w:tc>
          <w:tcPr>
            <w:tcW w:type="dxa" w:w="53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Blob download — standalone interactive Leaflet file</w:t>
            </w:r>
          </w:p>
        </w:tc>
      </w:tr>
      <w:tr>
        <w:tc>
          <w:tcPr>
            <w:tcW w:type="dxa" w:w="20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Legal Doc Review</w:t>
            </w:r>
          </w:p>
        </w:tc>
        <w:tc>
          <w:tcPr>
            <w:tcW w:type="dxa" w:w="20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 HTML</w:t>
            </w:r>
          </w:p>
        </w:tc>
        <w:tc>
          <w:tcPr>
            <w:tcW w:type="dxa" w:w="53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window.print() with print-ready CSS overlay</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Investment Summary</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.docx + .pptx</w:t>
            </w:r>
          </w:p>
        </w:tc>
        <w:tc>
          <w:tcPr>
            <w:tcW w:type="dxa" w:w="53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docx.js (CDN) for Word; PptxGenJS (CDN) for PowerPoint — both download directly from browser</w:t>
            </w:r>
          </w:p>
        </w:tc>
      </w:tr>
    </w:tbl>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6.  Setup &amp; Operational Requirements</w:t>
      </w:r>
    </w:p>
    <w:p>
      <w:pPr>
        <w:spacing w:after="80" w:before="200"/>
      </w:pPr>
      <w:r>
        <w:rPr>
          <w:rFonts w:ascii="Arial" w:cs="Arial" w:eastAsia="Arial" w:hAnsi="Arial"/>
          <w:b/>
          <w:bCs/>
          <w:color w:val="1A3A6B"/>
          <w:sz w:val="22"/>
          <w:szCs w:val="22"/>
        </w:rPr>
        <w:t xml:space="preserve">6.1  Initial Setup</w:t>
      </w:r>
    </w:p>
    <w:p>
      <w:pPr>
        <w:pStyle w:val="ListParagraph"/>
        <w:numPr>
          <w:ilvl w:val="0"/>
          <w:numId w:val="2"/>
        </w:numPr>
        <w:spacing w:after="40" w:before="40"/>
      </w:pPr>
      <w:r>
        <w:rPr>
          <w:rFonts w:ascii="Arial" w:cs="Arial" w:eastAsia="Arial" w:hAnsi="Arial"/>
          <w:sz w:val="20"/>
          <w:szCs w:val="20"/>
        </w:rPr>
        <w:t xml:space="preserve">Open Ridge___Deal_Tools.html in Chrome, Edge, or Safari</w:t>
      </w:r>
    </w:p>
    <w:p>
      <w:pPr>
        <w:pStyle w:val="ListParagraph"/>
        <w:numPr>
          <w:ilvl w:val="0"/>
          <w:numId w:val="2"/>
        </w:numPr>
        <w:spacing w:after="40" w:before="40"/>
      </w:pPr>
      <w:r>
        <w:rPr>
          <w:rFonts w:ascii="Arial" w:cs="Arial" w:eastAsia="Arial" w:hAnsi="Arial"/>
          <w:sz w:val="20"/>
          <w:szCs w:val="20"/>
        </w:rPr>
        <w:t xml:space="preserve">Click the API status indicator in the top-right header</w:t>
      </w:r>
    </w:p>
    <w:p>
      <w:pPr>
        <w:pStyle w:val="ListParagraph"/>
        <w:numPr>
          <w:ilvl w:val="0"/>
          <w:numId w:val="2"/>
        </w:numPr>
        <w:spacing w:after="40" w:before="40"/>
      </w:pPr>
      <w:r>
        <w:rPr>
          <w:rFonts w:ascii="Arial" w:cs="Arial" w:eastAsia="Arial" w:hAnsi="Arial"/>
          <w:sz w:val="20"/>
          <w:szCs w:val="20"/>
        </w:rPr>
        <w:t xml:space="preserve">Enter your Anthropic API key (sk-ant-...) and click Save Key</w:t>
      </w:r>
    </w:p>
    <w:p>
      <w:pPr>
        <w:pStyle w:val="ListParagraph"/>
        <w:numPr>
          <w:ilvl w:val="0"/>
          <w:numId w:val="2"/>
        </w:numPr>
        <w:spacing w:after="40" w:before="40"/>
      </w:pPr>
      <w:r>
        <w:rPr>
          <w:rFonts w:ascii="Arial" w:cs="Arial" w:eastAsia="Arial" w:hAnsi="Arial"/>
          <w:sz w:val="20"/>
          <w:szCs w:val="20"/>
        </w:rPr>
        <w:t xml:space="preserve">Key is stored in localStorage — persists across sessions on the same browser/machine</w:t>
      </w:r>
    </w:p>
    <w:p>
      <w:pPr>
        <w:pStyle w:val="ListParagraph"/>
        <w:numPr>
          <w:ilvl w:val="0"/>
          <w:numId w:val="2"/>
        </w:numPr>
        <w:spacing w:after="40" w:before="40"/>
      </w:pPr>
      <w:r>
        <w:rPr>
          <w:rFonts w:ascii="Arial" w:cs="Arial" w:eastAsia="Arial" w:hAnsi="Arial"/>
          <w:sz w:val="20"/>
          <w:szCs w:val="20"/>
        </w:rPr>
        <w:t xml:space="preserve">Green dot in header confirms a key is set; clicking it allows key rotation or clearing</w:t>
      </w:r>
    </w:p>
    <w:p>
      <w:pPr>
        <w:spacing w:after="80" w:before="80"/>
      </w:pPr>
      <w:r>
        <w:t xml:space="preserve"/>
      </w:r>
    </w:p>
    <w:p>
      <w:pPr>
        <w:spacing w:after="80" w:before="200"/>
      </w:pPr>
      <w:r>
        <w:rPr>
          <w:rFonts w:ascii="Arial" w:cs="Arial" w:eastAsia="Arial" w:hAnsi="Arial"/>
          <w:b/>
          <w:bCs/>
          <w:color w:val="1A3A6B"/>
          <w:sz w:val="22"/>
          <w:szCs w:val="22"/>
        </w:rPr>
        <w:t xml:space="preserve">6.2  File Requirements</w:t>
      </w:r>
    </w:p>
    <w:p>
      <w:pPr>
        <w:pStyle w:val="ListParagraph"/>
        <w:numPr>
          <w:ilvl w:val="0"/>
          <w:numId w:val="2"/>
        </w:numPr>
        <w:spacing w:after="40" w:before="40"/>
      </w:pPr>
      <w:r>
        <w:rPr>
          <w:rFonts w:ascii="Arial" w:cs="Arial" w:eastAsia="Arial" w:hAnsi="Arial"/>
          <w:sz w:val="20"/>
          <w:szCs w:val="20"/>
        </w:rPr>
        <w:t xml:space="preserve">PDFs: Standard text-based PDFs only. Scanned images without OCR will not parse reliably.</w:t>
      </w:r>
    </w:p>
    <w:p>
      <w:pPr>
        <w:pStyle w:val="ListParagraph"/>
        <w:numPr>
          <w:ilvl w:val="0"/>
          <w:numId w:val="2"/>
        </w:numPr>
        <w:spacing w:after="40" w:before="40"/>
      </w:pPr>
      <w:r>
        <w:rPr>
          <w:rFonts w:ascii="Arial" w:cs="Arial" w:eastAsia="Arial" w:hAnsi="Arial"/>
          <w:sz w:val="20"/>
          <w:szCs w:val="20"/>
        </w:rPr>
        <w:t xml:space="preserve">XLSX: All sheets are read — summary, assumptions, cashflows, debt, sensitivity. Standard underwriting model layouts are handled. Highly custom or macro-heavy models may require manual field completion.</w:t>
      </w:r>
    </w:p>
    <w:p>
      <w:pPr>
        <w:pStyle w:val="ListParagraph"/>
        <w:numPr>
          <w:ilvl w:val="0"/>
          <w:numId w:val="2"/>
        </w:numPr>
        <w:spacing w:after="40" w:before="40"/>
      </w:pPr>
      <w:r>
        <w:rPr>
          <w:rFonts w:ascii="Arial" w:cs="Arial" w:eastAsia="Arial" w:hAnsi="Arial"/>
          <w:sz w:val="20"/>
          <w:szCs w:val="20"/>
        </w:rPr>
        <w:t xml:space="preserve">File size: PDFs up to ~20MB parse reliably. Large XLSX models (50+ tabs) may experience slower load times.</w:t>
      </w:r>
    </w:p>
    <w:p>
      <w:pPr>
        <w:spacing w:after="80" w:before="80"/>
      </w:pPr>
      <w:r>
        <w:t xml:space="preserve"/>
      </w:r>
    </w:p>
    <w:p>
      <w:pPr>
        <w:spacing w:after="80" w:before="200"/>
      </w:pPr>
      <w:r>
        <w:rPr>
          <w:rFonts w:ascii="Arial" w:cs="Arial" w:eastAsia="Arial" w:hAnsi="Arial"/>
          <w:b/>
          <w:bCs/>
          <w:color w:val="1A3A6B"/>
          <w:sz w:val="22"/>
          <w:szCs w:val="22"/>
        </w:rPr>
        <w:t xml:space="preserve">6.3  API Usage &amp; Costs</w:t>
      </w:r>
    </w:p>
    <w:p>
      <w:pPr>
        <w:pStyle w:val="ListParagraph"/>
        <w:numPr>
          <w:ilvl w:val="0"/>
          <w:numId w:val="2"/>
        </w:numPr>
        <w:spacing w:after="40" w:before="40"/>
      </w:pPr>
      <w:r>
        <w:rPr>
          <w:rFonts w:ascii="Arial" w:cs="Arial" w:eastAsia="Arial" w:hAnsi="Arial"/>
          <w:sz w:val="20"/>
          <w:szCs w:val="20"/>
        </w:rPr>
        <w:t xml:space="preserve">Each tool run makes 1–3 API calls depending on module and file size.</w:t>
      </w:r>
    </w:p>
    <w:p>
      <w:pPr>
        <w:pStyle w:val="ListParagraph"/>
        <w:numPr>
          <w:ilvl w:val="0"/>
          <w:numId w:val="2"/>
        </w:numPr>
        <w:spacing w:after="40" w:before="40"/>
      </w:pPr>
      <w:r>
        <w:rPr>
          <w:rFonts w:ascii="Arial" w:cs="Arial" w:eastAsia="Arial" w:hAnsi="Arial"/>
          <w:sz w:val="20"/>
          <w:szCs w:val="20"/>
        </w:rPr>
        <w:t xml:space="preserve">The Investment Summary with a model upload and OM PDF will consume more tokens due to document injection.</w:t>
      </w:r>
    </w:p>
    <w:p>
      <w:pPr>
        <w:pStyle w:val="ListParagraph"/>
        <w:numPr>
          <w:ilvl w:val="0"/>
          <w:numId w:val="2"/>
        </w:numPr>
        <w:spacing w:after="40" w:before="40"/>
      </w:pPr>
      <w:r>
        <w:rPr>
          <w:rFonts w:ascii="Arial" w:cs="Arial" w:eastAsia="Arial" w:hAnsi="Arial"/>
          <w:sz w:val="20"/>
          <w:szCs w:val="20"/>
        </w:rPr>
        <w:t xml:space="preserve">Typical per-run cost: $0.01–$0.08 depending on input length and model used.</w:t>
      </w:r>
    </w:p>
    <w:p>
      <w:pPr>
        <w:pStyle w:val="ListParagraph"/>
        <w:numPr>
          <w:ilvl w:val="0"/>
          <w:numId w:val="2"/>
        </w:numPr>
        <w:spacing w:after="40" w:before="40"/>
      </w:pPr>
      <w:r>
        <w:rPr>
          <w:rFonts w:ascii="Arial" w:cs="Arial" w:eastAsia="Arial" w:hAnsi="Arial"/>
          <w:sz w:val="20"/>
          <w:szCs w:val="20"/>
        </w:rPr>
        <w:t xml:space="preserve">Monitor usage at console.anthropic.com. No usage cap is enforced within the tool itself.</w:t>
      </w:r>
    </w:p>
    <w:p>
      <w:pPr>
        <w:spacing w:after="80" w:before="80"/>
      </w:pPr>
      <w:r>
        <w:t xml:space="preserve"/>
      </w:r>
    </w:p>
    <w:p>
      <w:pPr>
        <w:spacing w:after="80" w:before="200"/>
      </w:pPr>
      <w:r>
        <w:rPr>
          <w:rFonts w:ascii="Arial" w:cs="Arial" w:eastAsia="Arial" w:hAnsi="Arial"/>
          <w:b/>
          <w:bCs/>
          <w:color w:val="1A3A6B"/>
          <w:sz w:val="22"/>
          <w:szCs w:val="22"/>
        </w:rPr>
        <w:t xml:space="preserve">6.4  Security Considerations</w:t>
      </w:r>
    </w:p>
    <w:p>
      <w:pPr>
        <w:pStyle w:val="ListParagraph"/>
        <w:numPr>
          <w:ilvl w:val="0"/>
          <w:numId w:val="2"/>
        </w:numPr>
        <w:spacing w:after="40" w:before="40"/>
      </w:pPr>
      <w:r>
        <w:rPr>
          <w:rFonts w:ascii="Arial" w:cs="Arial" w:eastAsia="Arial" w:hAnsi="Arial"/>
          <w:sz w:val="20"/>
          <w:szCs w:val="20"/>
        </w:rPr>
        <w:t xml:space="preserve">API key is stored in browser localStorage. Do not use the tool on shared or public machines without clearing the key afterward.</w:t>
      </w:r>
    </w:p>
    <w:p>
      <w:pPr>
        <w:pStyle w:val="ListParagraph"/>
        <w:numPr>
          <w:ilvl w:val="0"/>
          <w:numId w:val="2"/>
        </w:numPr>
        <w:spacing w:after="40" w:before="40"/>
      </w:pPr>
      <w:r>
        <w:rPr>
          <w:rFonts w:ascii="Arial" w:cs="Arial" w:eastAsia="Arial" w:hAnsi="Arial"/>
          <w:sz w:val="20"/>
          <w:szCs w:val="20"/>
        </w:rPr>
        <w:t xml:space="preserve">All API traffic routes directly to api.anthropic.com — no intermediate server or proxy.</w:t>
      </w:r>
    </w:p>
    <w:p>
      <w:pPr>
        <w:pStyle w:val="ListParagraph"/>
        <w:numPr>
          <w:ilvl w:val="0"/>
          <w:numId w:val="2"/>
        </w:numPr>
        <w:spacing w:after="40" w:before="40"/>
      </w:pPr>
      <w:r>
        <w:rPr>
          <w:rFonts w:ascii="Arial" w:cs="Arial" w:eastAsia="Arial" w:hAnsi="Arial"/>
          <w:sz w:val="20"/>
          <w:szCs w:val="20"/>
        </w:rPr>
        <w:t xml:space="preserve">Documents uploaded are sent to Anthropic's API for processing and are subject to Anthropic's data handling policies.</w:t>
      </w:r>
    </w:p>
    <w:p>
      <w:pPr>
        <w:pStyle w:val="ListParagraph"/>
        <w:numPr>
          <w:ilvl w:val="0"/>
          <w:numId w:val="2"/>
        </w:numPr>
        <w:spacing w:after="40" w:before="40"/>
      </w:pPr>
      <w:r>
        <w:rPr>
          <w:rFonts w:ascii="Arial" w:cs="Arial" w:eastAsia="Arial" w:hAnsi="Arial"/>
          <w:sz w:val="20"/>
          <w:szCs w:val="20"/>
        </w:rPr>
        <w:t xml:space="preserve">Do not upload documents marked Strictly Confidential or subject to NDA without confirming acceptable use under applicable agreements.</w:t>
      </w:r>
    </w:p>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7.  Known Limitations &amp; Workarounds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5860"/>
            <w:tcBorders>
              <w:top w:val="single" w:color="DDE3ED" w:sz="1"/>
              <w:left w:val="single" w:color="DDE3ED" w:sz="1"/>
              <w:bottom w:val="single" w:color="DDE3ED" w:sz="1"/>
              <w:right w:val="single" w:color="DDE3ED"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Workaround</w:t>
            </w:r>
          </w:p>
        </w:tc>
      </w:tr>
      <w:tr>
        <w:tc>
          <w:tcPr>
            <w:tcW w:type="dxa" w:w="35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XLSX auto-populate may fail on custom model layouts</w:t>
            </w:r>
          </w:p>
        </w:tc>
        <w:tc>
          <w:tcPr>
            <w:tcW w:type="dxa" w:w="58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Fill metrics manually using the input fields; model text is still injected into the AI prompt for context</w:t>
            </w:r>
          </w:p>
        </w:tc>
      </w:tr>
      <w:tr>
        <w:tc>
          <w:tcPr>
            <w:tcW w:type="dxa" w:w="35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Scanned PDFs will not extract clean text</w:t>
            </w:r>
          </w:p>
        </w:tc>
        <w:tc>
          <w:tcPr>
            <w:tcW w:type="dxa" w:w="58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OCR on the PDF before uploading (Adobe Acrobat, ABBYY, or online OCR)</w:t>
            </w:r>
          </w:p>
        </w:tc>
      </w:tr>
      <w:tr>
        <w:tc>
          <w:tcPr>
            <w:tcW w:type="dxa" w:w="35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Gavel document library resets if localStorage is cleared</w:t>
            </w:r>
          </w:p>
        </w:tc>
        <w:tc>
          <w:tcPr>
            <w:tcW w:type="dxa" w:w="58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Re-upload executed docs to rebuild the library; treat the library as a session convenience, not a record system</w:t>
            </w:r>
          </w:p>
        </w:tc>
      </w:tr>
      <w:tr>
        <w:tc>
          <w:tcPr>
            <w:tcW w:type="dxa" w:w="35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Picasso geocoding depends on AI interpretation</w:t>
            </w:r>
          </w:p>
        </w:tc>
        <w:tc>
          <w:tcPr>
            <w:tcW w:type="dxa" w:w="58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full street addresses with city and state for all comp entries to maximize geocoding accuracy</w:t>
            </w:r>
          </w:p>
        </w:tc>
      </w:tr>
      <w:tr>
        <w:tc>
          <w:tcPr>
            <w:tcW w:type="dxa" w:w="35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ISR .pptx formatting is fixed template</w:t>
            </w:r>
          </w:p>
        </w:tc>
        <w:tc>
          <w:tcPr>
            <w:tcW w:type="dxa" w:w="58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Download the .pptx and apply firm template/branding in PowerPoint after generation</w:t>
            </w:r>
          </w:p>
        </w:tc>
      </w:tr>
      <w:tr>
        <w:tc>
          <w:tcPr>
            <w:tcW w:type="dxa" w:w="350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bCs/>
                <w:color w:val="000000"/>
                <w:sz w:val="18"/>
                <w:szCs w:val="18"/>
              </w:rPr>
              <w:t xml:space="preserve">No multi-user or shared session support</w:t>
            </w:r>
          </w:p>
        </w:tc>
        <w:tc>
          <w:tcPr>
            <w:tcW w:type="dxa" w:w="5860"/>
            <w:tcBorders>
              <w:top w:val="single" w:color="DDE3ED" w:sz="1"/>
              <w:left w:val="single" w:color="DDE3ED" w:sz="1"/>
              <w:bottom w:val="single" w:color="DDE3ED" w:sz="1"/>
              <w:right w:val="single" w:color="DDE3ED" w:sz="1"/>
            </w:tcBorders>
            <w:shd w:fill="F4F6FA"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user runs their own instance of the HTML file with their own API key</w:t>
            </w:r>
          </w:p>
        </w:tc>
      </w:tr>
    </w:tbl>
    <w:p>
      <w:pPr>
        <w:spacing w:after="80" w:before="80"/>
      </w:pPr>
      <w:r>
        <w:t xml:space="preserve"/>
      </w:r>
    </w:p>
    <w:p>
      <w:pPr>
        <w:pBdr>
          <w:bottom w:val="single" w:color="1A3A6B" w:sz="8" w:space="1"/>
        </w:pBdr>
        <w:spacing w:after="120" w:before="320"/>
      </w:pPr>
      <w:r>
        <w:rPr>
          <w:rFonts w:ascii="Arial" w:cs="Arial" w:eastAsia="Arial" w:hAnsi="Arial"/>
          <w:b/>
          <w:bCs/>
          <w:color w:val="1A3A6B"/>
          <w:sz w:val="28"/>
          <w:szCs w:val="28"/>
        </w:rPr>
        <w:t xml:space="preserve">8.  Version Notes — v3.2</w:t>
      </w:r>
    </w:p>
    <w:p>
      <w:pPr>
        <w:pStyle w:val="ListParagraph"/>
        <w:numPr>
          <w:ilvl w:val="0"/>
          <w:numId w:val="2"/>
        </w:numPr>
        <w:spacing w:after="40" w:before="40"/>
      </w:pPr>
      <w:r>
        <w:rPr>
          <w:rFonts w:ascii="Arial" w:cs="Arial" w:eastAsia="Arial" w:hAnsi="Arial"/>
          <w:sz w:val="20"/>
          <w:szCs w:val="20"/>
        </w:rPr>
        <w:t xml:space="preserve">Investment Summary now generates both .docx and .pptx in a single workflow run.</w:t>
      </w:r>
    </w:p>
    <w:p>
      <w:pPr>
        <w:pStyle w:val="ListParagraph"/>
        <w:numPr>
          <w:ilvl w:val="0"/>
          <w:numId w:val="2"/>
        </w:numPr>
        <w:spacing w:after="40" w:before="40"/>
      </w:pPr>
      <w:r>
        <w:rPr>
          <w:rFonts w:ascii="Arial" w:cs="Arial" w:eastAsia="Arial" w:hAnsi="Arial"/>
          <w:sz w:val="20"/>
          <w:szCs w:val="20"/>
        </w:rPr>
        <w:t xml:space="preserve">Pros/cons items are editable in the results panel before export — changes propagate to both file types.</w:t>
      </w:r>
    </w:p>
    <w:p>
      <w:pPr>
        <w:pStyle w:val="ListParagraph"/>
        <w:numPr>
          <w:ilvl w:val="0"/>
          <w:numId w:val="2"/>
        </w:numPr>
        <w:spacing w:after="40" w:before="40"/>
      </w:pPr>
      <w:r>
        <w:rPr>
          <w:rFonts w:ascii="Arial" w:cs="Arial" w:eastAsia="Arial" w:hAnsi="Arial"/>
          <w:sz w:val="20"/>
          <w:szCs w:val="20"/>
        </w:rPr>
        <w:t xml:space="preserve">ISR return metrics table includes Hurdle benchmarks column (IRR: 12–16%, EM: ≥2.0x, YOC: 7.5–8.0%, LTV: ≤65%).</w:t>
      </w:r>
    </w:p>
    <w:p>
      <w:pPr>
        <w:pStyle w:val="ListParagraph"/>
        <w:numPr>
          <w:ilvl w:val="0"/>
          <w:numId w:val="2"/>
        </w:numPr>
        <w:spacing w:after="40" w:before="40"/>
      </w:pPr>
      <w:r>
        <w:rPr>
          <w:rFonts w:ascii="Arial" w:cs="Arial" w:eastAsia="Arial" w:hAnsi="Arial"/>
          <w:sz w:val="20"/>
          <w:szCs w:val="20"/>
        </w:rPr>
        <w:t xml:space="preserve">Gavel document library now persists via window.storage API across same-session reloads.</w:t>
      </w:r>
    </w:p>
    <w:p>
      <w:pPr>
        <w:pStyle w:val="ListParagraph"/>
        <w:numPr>
          <w:ilvl w:val="0"/>
          <w:numId w:val="2"/>
        </w:numPr>
        <w:spacing w:after="40" w:before="40"/>
      </w:pPr>
      <w:r>
        <w:rPr>
          <w:rFonts w:ascii="Arial" w:cs="Arial" w:eastAsia="Arial" w:hAnsi="Arial"/>
          <w:sz w:val="20"/>
          <w:szCs w:val="20"/>
        </w:rPr>
        <w:t xml:space="preserve">Submarket Sweep adds Capex Neglect as a fourth priority signal option.</w:t>
      </w:r>
    </w:p>
    <w:p>
      <w:pPr>
        <w:pStyle w:val="ListParagraph"/>
        <w:numPr>
          <w:ilvl w:val="0"/>
          <w:numId w:val="2"/>
        </w:numPr>
        <w:spacing w:after="40" w:before="40"/>
      </w:pPr>
      <w:r>
        <w:rPr>
          <w:rFonts w:ascii="Arial" w:cs="Arial" w:eastAsia="Arial" w:hAnsi="Arial"/>
          <w:sz w:val="20"/>
          <w:szCs w:val="20"/>
        </w:rPr>
        <w:t xml:space="preserve">PSF field auto-calculates from Purchase Price and Building SF with manual override capability.</w:t>
      </w:r>
    </w:p>
    <w:p>
      <w:pPr>
        <w:spacing w:after="80" w:before="80"/>
      </w:pPr>
      <w:r>
        <w:t xml:space="preserve"/>
      </w:r>
    </w:p>
    <w:p>
      <w:pPr>
        <w:spacing w:after="80" w:before="80"/>
      </w:pPr>
      <w:r>
        <w:t xml:space="preserve"/>
      </w:r>
    </w:p>
    <w:p>
      <w:pPr>
        <w:pBdr>
          <w:top w:val="single" w:color="DDE3ED" w:sz="4" w:space="1"/>
        </w:pBdr>
        <w:spacing w:before="300"/>
      </w:pPr>
      <w:r>
        <w:rPr>
          <w:rFonts w:ascii="Arial" w:cs="Arial" w:eastAsia="Arial" w:hAnsi="Arial"/>
          <w:color w:val="999999"/>
          <w:sz w:val="16"/>
          <w:szCs w:val="16"/>
        </w:rPr>
        <w:t xml:space="preserve">RIDGE Deal Tools — Operating Brief v3.2  |  Confidential, Internal Use Only  |  Entrada Partners  |  March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2026-03-10T22:07:04.365Z</dcterms:created>
  <dcterms:modified xsi:type="dcterms:W3CDTF">2026-03-10T22:07:04.365Z</dcterms:modified>
</cp:coreProperties>
</file>

<file path=docProps/custom.xml><?xml version="1.0" encoding="utf-8"?>
<Properties xmlns="http://schemas.openxmlformats.org/officeDocument/2006/custom-properties" xmlns:vt="http://schemas.openxmlformats.org/officeDocument/2006/docPropsVTypes"/>
</file>