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F4156" w:val="clear"/>
            <w:tcMar>
              <w:top w:type="dxa" w:w="320"/>
              <w:left w:type="dxa" w:w="360"/>
              <w:bottom w:type="dxa" w:w="320"/>
              <w:right w:type="dxa" w:w="360"/>
            </w:tcMar>
          </w:tcPr>
          <w:p>
            <w:pPr>
              <w:spacing w:after="60"/>
              <w:jc w:val="left"/>
            </w:pPr>
            <w:r>
              <w:rPr>
                <w:rFonts w:ascii="Arial" w:cs="Arial" w:eastAsia="Arial" w:hAnsi="Arial"/>
                <w:b/>
                <w:bCs/>
                <w:color w:val="C8D9E6"/>
                <w:sz w:val="15"/>
                <w:szCs w:val="15"/>
              </w:rPr>
              <w:t xml:space="preserve">REGULATORY INTELLIGENCE REPORT  ·  INDIA EDUCATION SECTOR  ·  2025–26</w:t>
            </w:r>
          </w:p>
          <w:p>
            <w:pPr>
              <w:spacing w:after="60"/>
              <w:jc w:val="left"/>
            </w:pPr>
            <w:r>
              <w:rPr>
                <w:rFonts w:ascii="Arial" w:cs="Arial" w:eastAsia="Arial" w:hAnsi="Arial"/>
                <w:b/>
                <w:bCs/>
                <w:color w:val="FFFFFF"/>
                <w:sz w:val="52"/>
                <w:szCs w:val="52"/>
              </w:rPr>
              <w:t xml:space="preserve">WhatsApp in Schools Is Now Illegal Under India's DPDP Act.</w:t>
            </w:r>
          </w:p>
          <w:p>
            <w:pPr>
              <w:spacing w:after="40"/>
              <w:jc w:val="left"/>
            </w:pPr>
            <w:r>
              <w:rPr>
                <w:rFonts w:ascii="Arial" w:cs="Arial" w:eastAsia="Arial" w:hAnsi="Arial"/>
                <w:color w:val="C8D9E6"/>
                <w:sz w:val="20"/>
                <w:szCs w:val="20"/>
              </w:rPr>
              <w:t xml:space="preserve">A complete legal analysis of regulatory non-compliance, child protection risks,</w:t>
            </w:r>
          </w:p>
          <w:p>
            <w:pPr>
              <w:spacing w:after="0"/>
              <w:jc w:val="left"/>
            </w:pPr>
            <w:r>
              <w:rPr>
                <w:rFonts w:ascii="Arial" w:cs="Arial" w:eastAsia="Arial" w:hAnsi="Arial"/>
                <w:color w:val="C8D9E6"/>
                <w:sz w:val="20"/>
                <w:szCs w:val="20"/>
              </w:rPr>
              <w:t xml:space="preserve">and compliant alternatives for educational institutions.</w:t>
            </w:r>
          </w:p>
        </w:tc>
      </w:tr>
    </w:tbl>
    <w:p>
      <w:pPr>
        <w:spacing w:after="0" w:before="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567C8D" w:sz="4"/>
              <w:left w:val="none" w:color="FFFFFF" w:sz="0"/>
              <w:bottom w:val="none" w:color="FFFFFF" w:sz="0"/>
              <w:right w:val="none" w:color="FFFFFF" w:sz="0"/>
            </w:tcBorders>
            <w:shd w:fill="1A2633" w:val="clear"/>
            <w:tcMar>
              <w:top w:type="dxa" w:w="200"/>
              <w:left w:type="dxa" w:w="200"/>
              <w:bottom w:type="dxa" w:w="200"/>
              <w:right w:type="dxa" w:w="200"/>
            </w:tcMar>
            <w:vAlign w:val="center"/>
          </w:tcPr>
          <w:p>
            <w:pPr>
              <w:spacing w:after="60"/>
              <w:jc w:val="center"/>
            </w:pPr>
            <w:r>
              <w:rPr>
                <w:rFonts w:ascii="Arial" w:cs="Arial" w:eastAsia="Arial" w:hAnsi="Arial"/>
                <w:b/>
                <w:bCs/>
                <w:color w:val="FFFFFF"/>
                <w:sz w:val="40"/>
                <w:szCs w:val="40"/>
              </w:rPr>
              <w:t xml:space="preserve">Rs.250 Crore</w:t>
            </w:r>
          </w:p>
          <w:p>
            <w:pPr>
              <w:spacing w:after="20"/>
              <w:jc w:val="center"/>
            </w:pPr>
            <w:r>
              <w:rPr>
                <w:rFonts w:ascii="Arial" w:cs="Arial" w:eastAsia="Arial" w:hAnsi="Arial"/>
                <w:color w:val="C8D9E6"/>
                <w:sz w:val="15"/>
                <w:szCs w:val="15"/>
              </w:rPr>
              <w:t xml:space="preserve">Max penalty for security</w:t>
            </w:r>
          </w:p>
          <w:p>
            <w:pPr>
              <w:spacing w:after="20"/>
              <w:jc w:val="center"/>
            </w:pPr>
            <w:r>
              <w:rPr>
                <w:rFonts w:ascii="Arial" w:cs="Arial" w:eastAsia="Arial" w:hAnsi="Arial"/>
                <w:color w:val="C8D9E6"/>
                <w:sz w:val="15"/>
                <w:szCs w:val="15"/>
              </w:rPr>
              <w:t xml:space="preserve">safeguard failures</w:t>
            </w:r>
          </w:p>
        </w:tc>
        <w:tc>
          <w:tcPr>
            <w:tcW w:type="dxa" w:w="3212"/>
            <w:tcBorders>
              <w:top w:val="single" w:color="567C8D" w:sz="4"/>
              <w:left w:val="none" w:color="FFFFFF" w:sz="0"/>
              <w:bottom w:val="none" w:color="FFFFFF" w:sz="0"/>
              <w:right w:val="none" w:color="FFFFFF" w:sz="0"/>
            </w:tcBorders>
            <w:shd w:fill="1A2633" w:val="clear"/>
            <w:tcMar>
              <w:top w:type="dxa" w:w="200"/>
              <w:left w:type="dxa" w:w="200"/>
              <w:bottom w:type="dxa" w:w="200"/>
              <w:right w:type="dxa" w:w="200"/>
            </w:tcMar>
            <w:vAlign w:val="center"/>
          </w:tcPr>
          <w:p>
            <w:pPr>
              <w:spacing w:after="60"/>
              <w:jc w:val="center"/>
            </w:pPr>
            <w:r>
              <w:rPr>
                <w:rFonts w:ascii="Arial" w:cs="Arial" w:eastAsia="Arial" w:hAnsi="Arial"/>
                <w:b/>
                <w:bCs/>
                <w:color w:val="FFFFFF"/>
                <w:sz w:val="40"/>
                <w:szCs w:val="40"/>
              </w:rPr>
              <w:t xml:space="preserve">Rs.200 Crore</w:t>
            </w:r>
          </w:p>
          <w:p>
            <w:pPr>
              <w:spacing w:after="20"/>
              <w:jc w:val="center"/>
            </w:pPr>
            <w:r>
              <w:rPr>
                <w:rFonts w:ascii="Arial" w:cs="Arial" w:eastAsia="Arial" w:hAnsi="Arial"/>
                <w:color w:val="C8D9E6"/>
                <w:sz w:val="15"/>
                <w:szCs w:val="15"/>
              </w:rPr>
              <w:t xml:space="preserve">Max penalty for children's</w:t>
            </w:r>
          </w:p>
          <w:p>
            <w:pPr>
              <w:spacing w:after="20"/>
              <w:jc w:val="center"/>
            </w:pPr>
            <w:r>
              <w:rPr>
                <w:rFonts w:ascii="Arial" w:cs="Arial" w:eastAsia="Arial" w:hAnsi="Arial"/>
                <w:color w:val="C8D9E6"/>
                <w:sz w:val="15"/>
                <w:szCs w:val="15"/>
              </w:rPr>
              <w:t xml:space="preserve">data protection violations</w:t>
            </w:r>
          </w:p>
        </w:tc>
        <w:tc>
          <w:tcPr>
            <w:tcW w:type="dxa" w:w="3212"/>
            <w:tcBorders>
              <w:top w:val="single" w:color="567C8D" w:sz="4"/>
              <w:left w:val="none" w:color="FFFFFF" w:sz="0"/>
              <w:bottom w:val="none" w:color="FFFFFF" w:sz="0"/>
              <w:right w:val="none" w:color="FFFFFF" w:sz="0"/>
            </w:tcBorders>
            <w:shd w:fill="1A2633" w:val="clear"/>
            <w:tcMar>
              <w:top w:type="dxa" w:w="200"/>
              <w:left w:type="dxa" w:w="200"/>
              <w:bottom w:type="dxa" w:w="200"/>
              <w:right w:type="dxa" w:w="200"/>
            </w:tcMar>
            <w:vAlign w:val="center"/>
          </w:tcPr>
          <w:p>
            <w:pPr>
              <w:spacing w:after="60"/>
              <w:jc w:val="center"/>
            </w:pPr>
            <w:r>
              <w:rPr>
                <w:rFonts w:ascii="Arial" w:cs="Arial" w:eastAsia="Arial" w:hAnsi="Arial"/>
                <w:b/>
                <w:bCs/>
                <w:color w:val="FFFFFF"/>
                <w:sz w:val="40"/>
                <w:szCs w:val="40"/>
              </w:rPr>
              <w:t xml:space="preserve">72 Hours</w:t>
            </w:r>
          </w:p>
          <w:p>
            <w:pPr>
              <w:spacing w:after="20"/>
              <w:jc w:val="center"/>
            </w:pPr>
            <w:r>
              <w:rPr>
                <w:rFonts w:ascii="Arial" w:cs="Arial" w:eastAsia="Arial" w:hAnsi="Arial"/>
                <w:color w:val="C8D9E6"/>
                <w:sz w:val="15"/>
                <w:szCs w:val="15"/>
              </w:rPr>
              <w:t xml:space="preserve">Mandatory breach reporting</w:t>
            </w:r>
          </w:p>
          <w:p>
            <w:pPr>
              <w:spacing w:after="20"/>
              <w:jc w:val="center"/>
            </w:pPr>
            <w:r>
              <w:rPr>
                <w:rFonts w:ascii="Arial" w:cs="Arial" w:eastAsia="Arial" w:hAnsi="Arial"/>
                <w:color w:val="C8D9E6"/>
                <w:sz w:val="15"/>
                <w:szCs w:val="15"/>
              </w:rPr>
              <w:t xml:space="preserve">window to Data Protection Board</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67C8D" w:sz="4"/>
              <w:left w:val="none" w:color="FFFFFF" w:sz="0"/>
              <w:bottom w:val="none" w:color="FFFFFF" w:sz="0"/>
              <w:right w:val="none" w:color="FFFFFF" w:sz="0"/>
            </w:tcBorders>
            <w:shd w:fill="2F4156" w:val="clear"/>
            <w:tcMar>
              <w:top w:type="dxa" w:w="200"/>
              <w:left w:type="dxa" w:w="360"/>
              <w:bottom w:type="dxa" w:w="200"/>
              <w:right w:type="dxa" w:w="360"/>
            </w:tcMar>
          </w:tcPr>
          <w:p>
            <w:pPr>
              <w:spacing w:after="60"/>
            </w:pPr>
            <w:r>
              <w:rPr>
                <w:rFonts w:ascii="Arial" w:cs="Arial" w:eastAsia="Arial" w:hAnsi="Arial"/>
                <w:b/>
                <w:bCs/>
                <w:color w:val="FFFFFF"/>
                <w:sz w:val="22"/>
                <w:szCs w:val="22"/>
              </w:rPr>
              <w:t xml:space="preserve">Prepared by  WHITEROOM</w:t>
            </w:r>
          </w:p>
          <w:p>
            <w:pPr>
              <w:spacing w:after="40"/>
            </w:pPr>
            <w:r>
              <w:rPr>
                <w:rFonts w:ascii="Arial" w:cs="Arial" w:eastAsia="Arial" w:hAnsi="Arial"/>
                <w:color w:val="C8D9E6"/>
                <w:sz w:val="17"/>
                <w:szCs w:val="17"/>
              </w:rPr>
              <w:t xml:space="preserve">India's privacy-first school management platform  ·  DPDP Act 2023 compliant</w:t>
            </w:r>
          </w:p>
          <w:p>
            <w:pPr>
              <w:spacing w:after="0"/>
            </w:pPr>
            <w:r>
              <w:rPr>
                <w:rFonts w:ascii="Arial" w:cs="Arial" w:eastAsia="Arial" w:hAnsi="Arial"/>
                <w:color w:val="8A9BAB"/>
                <w:sz w:val="16"/>
                <w:szCs w:val="16"/>
              </w:rPr>
              <w:t xml:space="preserve">whiteroom.co.in  ·  For school leadership and compliance officers</w:t>
            </w:r>
          </w:p>
        </w:tc>
      </w:tr>
    </w:tbl>
    <w:p>
      <w:r>
        <w:br w:type="page"/>
      </w:r>
    </w:p>
    <w:p>
      <w:pPr>
        <w:pBdr>
          <w:bottom w:val="single" w:color="567C8D" w:sz="8" w:space="4"/>
        </w:pBdr>
        <w:spacing w:after="80" w:before="320"/>
      </w:pPr>
      <w:r>
        <w:rPr>
          <w:rFonts w:ascii="Arial" w:cs="Arial" w:eastAsia="Arial" w:hAnsi="Arial"/>
          <w:b/>
          <w:bCs/>
          <w:color w:val="567C8D"/>
          <w:sz w:val="16"/>
          <w:szCs w:val="16"/>
        </w:rPr>
        <w:t xml:space="preserve">EXECUTIVE SUMMARY</w:t>
      </w:r>
    </w:p>
    <w:p>
      <w:pPr>
        <w:pStyle w:val="Heading1"/>
        <w:spacing w:after="160" w:before="120"/>
      </w:pPr>
      <w:r>
        <w:rPr>
          <w:rFonts w:ascii="Arial" w:cs="Arial" w:eastAsia="Arial" w:hAnsi="Arial"/>
          <w:b/>
          <w:bCs/>
          <w:color w:val="2F4156"/>
          <w:sz w:val="36"/>
          <w:szCs w:val="36"/>
        </w:rPr>
        <w:t xml:space="preserve">The Legal Turning Point for Indian Schools</w:t>
      </w:r>
    </w:p>
    <w:p>
      <w:pPr>
        <w:spacing w:after="140" w:before="0" w:line="276"/>
        <w:jc w:val="both"/>
      </w:pPr>
      <w:r>
        <w:rPr>
          <w:rFonts w:ascii="Arial" w:cs="Arial" w:eastAsia="Arial" w:hAnsi="Arial"/>
          <w:color w:val="1A2633"/>
          <w:sz w:val="19"/>
          <w:szCs w:val="19"/>
        </w:rPr>
        <w:t xml:space="preserve">The Digital Personal Data Protection (DPDP) Act, 2023, and the DPDP Rules operationalized on November 13, 2025, have fundamentally altered how Indian educational institutions must handle digital communication. Under this framework, schools are legally classified as </w:t>
      </w:r>
      <w:r>
        <w:rPr>
          <w:rFonts w:ascii="Arial" w:cs="Arial" w:eastAsia="Arial" w:hAnsi="Arial"/>
          <w:b/>
          <w:bCs/>
          <w:color w:val="2F4156"/>
          <w:sz w:val="20"/>
          <w:szCs w:val="20"/>
        </w:rPr>
        <w:t xml:space="preserve">Data Fiduciaries</w:t>
      </w:r>
      <w:r>
        <w:rPr>
          <w:rFonts w:ascii="Arial" w:cs="Arial" w:eastAsia="Arial" w:hAnsi="Arial"/>
          <w:color w:val="1A2633"/>
          <w:sz w:val="19"/>
          <w:szCs w:val="19"/>
        </w:rPr>
        <w:t xml:space="preserve"> — bearing full statutory accountability for every piece of personal data they collect, process, and share.</w:t>
      </w:r>
    </w:p>
    <w:p>
      <w:pPr>
        <w:spacing w:after="140" w:before="0" w:line="276"/>
        <w:jc w:val="both"/>
      </w:pPr>
      <w:r>
        <w:rPr>
          <w:rFonts w:ascii="Arial" w:cs="Arial" w:eastAsia="Arial" w:hAnsi="Arial"/>
          <w:color w:val="1A2633"/>
          <w:sz w:val="19"/>
          <w:szCs w:val="19"/>
        </w:rPr>
        <w:t xml:space="preserve">This report delivers a rigorous legal and technical analysis of why consumer WhatsApp groups — used by the vast majority of Indian schools for parent communication — constitute a </w:t>
      </w:r>
      <w:r>
        <w:rPr>
          <w:rFonts w:ascii="Arial" w:cs="Arial" w:eastAsia="Arial" w:hAnsi="Arial"/>
          <w:b/>
          <w:bCs/>
          <w:color w:val="C0392B"/>
          <w:sz w:val="20"/>
          <w:szCs w:val="20"/>
        </w:rPr>
        <w:t xml:space="preserve">severe, multi-dimensional violation</w:t>
      </w:r>
      <w:r>
        <w:rPr>
          <w:rFonts w:ascii="Arial" w:cs="Arial" w:eastAsia="Arial" w:hAnsi="Arial"/>
          <w:color w:val="1A2633"/>
          <w:sz w:val="19"/>
          <w:szCs w:val="19"/>
        </w:rPr>
        <w:t xml:space="preserve"> of Indian law. Penalties reach up to </w:t>
      </w:r>
      <w:r>
        <w:rPr>
          <w:rFonts w:ascii="Arial" w:cs="Arial" w:eastAsia="Arial" w:hAnsi="Arial"/>
          <w:b/>
          <w:bCs/>
          <w:color w:val="C0392B"/>
          <w:sz w:val="20"/>
          <w:szCs w:val="20"/>
        </w:rPr>
        <w:t xml:space="preserve">Rs.250 crore</w:t>
      </w:r>
      <w:r>
        <w:rPr>
          <w:rFonts w:ascii="Arial" w:cs="Arial" w:eastAsia="Arial" w:hAnsi="Arial"/>
          <w:color w:val="1A2633"/>
          <w:sz w:val="19"/>
          <w:szCs w:val="19"/>
        </w:rPr>
        <w:t xml:space="preserve"> for security safeguard failures, and </w:t>
      </w:r>
      <w:r>
        <w:rPr>
          <w:rFonts w:ascii="Arial" w:cs="Arial" w:eastAsia="Arial" w:hAnsi="Arial"/>
          <w:b/>
          <w:bCs/>
          <w:color w:val="C0392B"/>
          <w:sz w:val="20"/>
          <w:szCs w:val="20"/>
        </w:rPr>
        <w:t xml:space="preserve">Rs.200 crore</w:t>
      </w:r>
      <w:r>
        <w:rPr>
          <w:rFonts w:ascii="Arial" w:cs="Arial" w:eastAsia="Arial" w:hAnsi="Arial"/>
          <w:color w:val="1A2633"/>
          <w:sz w:val="19"/>
          <w:szCs w:val="19"/>
        </w:rPr>
        <w:t xml:space="preserve"> specifically for violations involving children's data.</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567C8D"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7F9FB" w:val="clear"/>
            <w:tcMar>
              <w:top w:type="dxa" w:w="120"/>
              <w:left w:type="dxa" w:w="180"/>
              <w:bottom w:type="dxa" w:w="120"/>
              <w:right w:type="dxa" w:w="180"/>
            </w:tcMar>
          </w:tcPr>
          <w:p>
            <w:pPr>
              <w:spacing w:after="100"/>
            </w:pPr>
            <w:r>
              <w:rPr>
                <w:rFonts w:ascii="Arial" w:cs="Arial" w:eastAsia="Arial" w:hAnsi="Arial"/>
                <w:b/>
                <w:bCs/>
                <w:color w:val="567C8D"/>
                <w:sz w:val="17"/>
                <w:szCs w:val="17"/>
              </w:rPr>
              <w:t xml:space="preserve">KEY FINDINGS</w:t>
            </w:r>
          </w:p>
          <w:p>
            <w:pPr>
              <w:pStyle w:val="ListParagraph"/>
              <w:numPr>
                <w:ilvl w:val="0"/>
                <w:numId w:val="2"/>
              </w:numPr>
              <w:spacing w:after="60"/>
            </w:pPr>
            <w:r>
              <w:rPr>
                <w:rFonts w:ascii="Arial" w:cs="Arial" w:eastAsia="Arial" w:hAnsi="Arial"/>
                <w:color w:val="1A2633"/>
                <w:sz w:val="18"/>
                <w:szCs w:val="18"/>
              </w:rPr>
              <w:t xml:space="preserve">Consumer WhatsApp groups fail 7 out of 7 DPDP Act compliance requirements.</w:t>
            </w:r>
          </w:p>
          <w:p>
            <w:pPr>
              <w:pStyle w:val="ListParagraph"/>
              <w:numPr>
                <w:ilvl w:val="0"/>
                <w:numId w:val="2"/>
              </w:numPr>
              <w:spacing w:after="60"/>
            </w:pPr>
            <w:r>
              <w:rPr>
                <w:rFonts w:ascii="Arial" w:cs="Arial" w:eastAsia="Arial" w:hAnsi="Arial"/>
                <w:color w:val="1A2633"/>
                <w:sz w:val="18"/>
                <w:szCs w:val="18"/>
              </w:rPr>
              <w:t xml:space="preserve">Sharing a student's name or photo without verified parental consent violates Section 9 and attracts penalties up to Rs.200 crore.</w:t>
            </w:r>
          </w:p>
          <w:p>
            <w:pPr>
              <w:pStyle w:val="ListParagraph"/>
              <w:numPr>
                <w:ilvl w:val="0"/>
                <w:numId w:val="2"/>
              </w:numPr>
              <w:spacing w:after="60"/>
            </w:pPr>
            <w:r>
              <w:rPr>
                <w:rFonts w:ascii="Arial" w:cs="Arial" w:eastAsia="Arial" w:hAnsi="Arial"/>
                <w:color w:val="1A2633"/>
                <w:sz w:val="18"/>
                <w:szCs w:val="18"/>
              </w:rPr>
              <w:t xml:space="preserve">Schools cannot fulfill the right to data erasure while data sits on hundreds of parents' personal devices.</w:t>
            </w:r>
          </w:p>
          <w:p>
            <w:pPr>
              <w:pStyle w:val="ListParagraph"/>
              <w:numPr>
                <w:ilvl w:val="0"/>
                <w:numId w:val="2"/>
              </w:numPr>
              <w:spacing w:after="60"/>
            </w:pPr>
            <w:r>
              <w:rPr>
                <w:rFonts w:ascii="Arial" w:cs="Arial" w:eastAsia="Arial" w:hAnsi="Arial"/>
                <w:color w:val="1A2633"/>
                <w:sz w:val="18"/>
                <w:szCs w:val="18"/>
              </w:rPr>
              <w:t xml:space="preserve">A 72-hour breach notification mandate is structurally impossible to fulfill on WhatsApp.</w:t>
            </w:r>
          </w:p>
          <w:p>
            <w:pPr>
              <w:pStyle w:val="ListParagraph"/>
              <w:numPr>
                <w:ilvl w:val="0"/>
                <w:numId w:val="2"/>
              </w:numPr>
              <w:spacing w:after="60"/>
            </w:pPr>
            <w:r>
              <w:rPr>
                <w:rFonts w:ascii="Arial" w:cs="Arial" w:eastAsia="Arial" w:hAnsi="Arial"/>
                <w:color w:val="1A2633"/>
                <w:sz w:val="18"/>
                <w:szCs w:val="18"/>
              </w:rPr>
              <w:t xml:space="preserve">The DPDP Act does not require proof of actual harm — failure to implement safeguards alone is sufficient for punitive action.</w:t>
            </w:r>
          </w:p>
        </w:tc>
      </w:tr>
    </w:tbl>
    <w:p>
      <w:pPr>
        <w:spacing w:after="0" w:before="120"/>
      </w:pPr>
    </w:p>
    <w:p>
      <w:pPr>
        <w:pStyle w:val="Heading2"/>
        <w:spacing w:after="120" w:before="280"/>
      </w:pPr>
      <w:r>
        <w:rPr>
          <w:rFonts w:ascii="Arial" w:cs="Arial" w:eastAsia="Arial" w:hAnsi="Arial"/>
          <w:b/>
          <w:bCs/>
          <w:color w:val="2F4156"/>
          <w:sz w:val="26"/>
          <w:szCs w:val="26"/>
        </w:rPr>
        <w:t xml:space="preserve">Who This Affects</w:t>
      </w:r>
    </w:p>
    <w:p>
      <w:pPr>
        <w:spacing w:after="140" w:before="0" w:line="276"/>
        <w:jc w:val="both"/>
      </w:pPr>
      <w:r>
        <w:rPr>
          <w:rFonts w:ascii="Arial" w:cs="Arial" w:eastAsia="Arial" w:hAnsi="Arial"/>
          <w:color w:val="1A2633"/>
          <w:sz w:val="19"/>
          <w:szCs w:val="19"/>
        </w:rPr>
        <w:t xml:space="preserve">Every K-12 school, coaching center, and EdTech platform operating in India is affected. With India's 1.5 million schools almost universally relying on consumer WhatsApp for parent communication, this represents one of the largest compliance gaps in the country's education sector.</w:t>
      </w:r>
    </w:p>
    <w:p>
      <w:r>
        <w:br w:type="page"/>
      </w:r>
    </w:p>
    <w:p>
      <w:pPr>
        <w:pBdr>
          <w:bottom w:val="single" w:color="567C8D" w:sz="8" w:space="4"/>
        </w:pBdr>
        <w:spacing w:after="80" w:before="320"/>
      </w:pPr>
      <w:r>
        <w:rPr>
          <w:rFonts w:ascii="Arial" w:cs="Arial" w:eastAsia="Arial" w:hAnsi="Arial"/>
          <w:b/>
          <w:bCs/>
          <w:color w:val="567C8D"/>
          <w:sz w:val="16"/>
          <w:szCs w:val="16"/>
        </w:rPr>
        <w:t xml:space="preserve">LEGAL FRAMEWORK</w:t>
      </w:r>
    </w:p>
    <w:p>
      <w:pPr>
        <w:pStyle w:val="Heading1"/>
        <w:spacing w:after="160" w:before="120"/>
      </w:pPr>
      <w:r>
        <w:rPr>
          <w:rFonts w:ascii="Arial" w:cs="Arial" w:eastAsia="Arial" w:hAnsi="Arial"/>
          <w:b/>
          <w:bCs/>
          <w:color w:val="2F4156"/>
          <w:sz w:val="36"/>
          <w:szCs w:val="36"/>
        </w:rPr>
        <w:t xml:space="preserve">How the DPDP Act Applies to Schools</w:t>
      </w:r>
    </w:p>
    <w:p>
      <w:pPr>
        <w:spacing w:after="140" w:before="0" w:line="276"/>
        <w:jc w:val="both"/>
      </w:pPr>
      <w:r>
        <w:rPr>
          <w:rFonts w:ascii="Arial" w:cs="Arial" w:eastAsia="Arial" w:hAnsi="Arial"/>
          <w:color w:val="1A2633"/>
          <w:sz w:val="19"/>
          <w:szCs w:val="19"/>
        </w:rPr>
        <w:t xml:space="preserve">The DPDP Act establishes a tiered system of regulatory entities. Understanding how schools fit within this architecture is essential to understanding their legal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c>
          <w:tcPr>
            <w:tcW w:type="dxa" w:w="24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REGULATORY ENTITY</w:t>
            </w:r>
          </w:p>
        </w:tc>
        <w:tc>
          <w:tcPr>
            <w:tcW w:type="dxa" w:w="35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DEFINITION</w:t>
            </w:r>
          </w:p>
        </w:tc>
        <w:tc>
          <w:tcPr>
            <w:tcW w:type="dxa" w:w="3738"/>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IN SCHOOLS</w:t>
            </w:r>
          </w:p>
        </w:tc>
      </w:tr>
      <w:tr>
        <w:tc>
          <w:tcPr>
            <w:tcW w:type="dxa" w:w="24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Data Principal</w:t>
            </w:r>
          </w:p>
        </w:tc>
        <w:tc>
          <w:tcPr>
            <w:tcW w:type="dxa" w:w="35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Individual to whom personal data relates</w:t>
            </w:r>
          </w:p>
        </w:tc>
        <w:tc>
          <w:tcPr>
            <w:tcW w:type="dxa" w:w="37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Students (if under 18, represented by parents), teachers, staff</w:t>
            </w:r>
          </w:p>
        </w:tc>
      </w:tr>
      <w:tr>
        <w:tc>
          <w:tcPr>
            <w:tcW w:type="dxa" w:w="24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Data Fiduciary</w:t>
            </w:r>
          </w:p>
        </w:tc>
        <w:tc>
          <w:tcPr>
            <w:tcW w:type="dxa" w:w="35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Entity determining the purpose and means of processing</w:t>
            </w:r>
          </w:p>
        </w:tc>
        <w:tc>
          <w:tcPr>
            <w:tcW w:type="dxa" w:w="37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Schools, coaching centers, EdTech platforms — bears full legal accountability</w:t>
            </w:r>
          </w:p>
        </w:tc>
      </w:tr>
      <w:tr>
        <w:tc>
          <w:tcPr>
            <w:tcW w:type="dxa" w:w="24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Data Processor</w:t>
            </w:r>
          </w:p>
        </w:tc>
        <w:tc>
          <w:tcPr>
            <w:tcW w:type="dxa" w:w="35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Entity processing data on behalf of the Fiduciary</w:t>
            </w:r>
          </w:p>
        </w:tc>
        <w:tc>
          <w:tcPr>
            <w:tcW w:type="dxa" w:w="37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Cloud providers, ERP vendors, messaging platforms including Meta/WhatsApp</w:t>
            </w:r>
          </w:p>
        </w:tc>
      </w:tr>
      <w:tr>
        <w:tc>
          <w:tcPr>
            <w:tcW w:type="dxa" w:w="24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Consent Manager</w:t>
            </w:r>
          </w:p>
        </w:tc>
        <w:tc>
          <w:tcPr>
            <w:tcW w:type="dxa" w:w="35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Regulated platform for centralized consent management</w:t>
            </w:r>
          </w:p>
        </w:tc>
        <w:tc>
          <w:tcPr>
            <w:tcW w:type="dxa" w:w="37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Registered intermediaries enabling parents to track, grant, and withdraw consent</w:t>
            </w:r>
          </w:p>
        </w:tc>
      </w:tr>
    </w:tbl>
    <w:p>
      <w:pPr>
        <w:spacing w:after="0" w:before="120"/>
      </w:pPr>
    </w:p>
    <w:p>
      <w:pPr>
        <w:pStyle w:val="Heading2"/>
        <w:spacing w:after="120" w:before="280"/>
      </w:pPr>
      <w:r>
        <w:rPr>
          <w:rFonts w:ascii="Arial" w:cs="Arial" w:eastAsia="Arial" w:hAnsi="Arial"/>
          <w:b/>
          <w:bCs/>
          <w:color w:val="2F4156"/>
          <w:sz w:val="26"/>
          <w:szCs w:val="26"/>
        </w:rPr>
        <w:t xml:space="preserve">The Heightened Threshold for Children's Data</w:t>
      </w:r>
    </w:p>
    <w:p>
      <w:pPr>
        <w:spacing w:after="140" w:before="0" w:line="276"/>
        <w:jc w:val="both"/>
      </w:pPr>
      <w:r>
        <w:rPr>
          <w:rFonts w:ascii="Arial" w:cs="Arial" w:eastAsia="Arial" w:hAnsi="Arial"/>
          <w:color w:val="1A2633"/>
          <w:sz w:val="19"/>
          <w:szCs w:val="19"/>
        </w:rPr>
        <w:t xml:space="preserve">Section 9 of the DPDP Act is the most consequential provision for schools. India has adopted a conservative definition: </w:t>
      </w:r>
      <w:r>
        <w:rPr>
          <w:rFonts w:ascii="Arial" w:cs="Arial" w:eastAsia="Arial" w:hAnsi="Arial"/>
          <w:b/>
          <w:bCs/>
          <w:color w:val="2F4156"/>
          <w:sz w:val="20"/>
          <w:szCs w:val="20"/>
        </w:rPr>
        <w:t xml:space="preserve">any individual under 18 is classified as a child.</w:t>
      </w:r>
      <w:r>
        <w:rPr>
          <w:rFonts w:ascii="Arial" w:cs="Arial" w:eastAsia="Arial" w:hAnsi="Arial"/>
          <w:color w:val="1A2633"/>
          <w:sz w:val="19"/>
          <w:szCs w:val="19"/>
        </w:rPr>
        <w:t xml:space="preserve"> This is significantly stricter than GDPR (which allows consent from age 13–16) or the US COPPA (which applies only under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100"/>
            </w:pPr>
            <w:r>
              <w:rPr>
                <w:rFonts w:ascii="Arial" w:cs="Arial" w:eastAsia="Arial" w:hAnsi="Arial"/>
                <w:b/>
                <w:bCs/>
                <w:color w:val="567C8D"/>
                <w:sz w:val="17"/>
                <w:szCs w:val="17"/>
              </w:rPr>
              <w:t xml:space="preserve">SECTION 9 OBLIGATIONS</w:t>
            </w:r>
          </w:p>
          <w:p>
            <w:pPr>
              <w:pStyle w:val="ListParagraph"/>
              <w:numPr>
                <w:ilvl w:val="0"/>
                <w:numId w:val="2"/>
              </w:numPr>
              <w:spacing w:after="60"/>
            </w:pPr>
            <w:r>
              <w:rPr>
                <w:rFonts w:ascii="Arial" w:cs="Arial" w:eastAsia="Arial" w:hAnsi="Arial"/>
                <w:color w:val="1A2633"/>
                <w:sz w:val="18"/>
                <w:szCs w:val="18"/>
              </w:rPr>
              <w:t xml:space="preserve">Section 9(1): Verifiable consent from a parent or lawful guardian must be obtained before processing any personal data of a child.</w:t>
            </w:r>
          </w:p>
          <w:p>
            <w:pPr>
              <w:pStyle w:val="ListParagraph"/>
              <w:numPr>
                <w:ilvl w:val="0"/>
                <w:numId w:val="2"/>
              </w:numPr>
              <w:spacing w:after="60"/>
            </w:pPr>
            <w:r>
              <w:rPr>
                <w:rFonts w:ascii="Arial" w:cs="Arial" w:eastAsia="Arial" w:hAnsi="Arial"/>
                <w:color w:val="1A2633"/>
                <w:sz w:val="18"/>
                <w:szCs w:val="18"/>
              </w:rPr>
              <w:t xml:space="preserve">Section 9(2): Explicitly prohibits processing likely to cause detrimental effect on child well-being — including addictive design, FOMO-engineering via notifications, and age-inappropriate content.</w:t>
            </w:r>
          </w:p>
          <w:p>
            <w:pPr>
              <w:pStyle w:val="ListParagraph"/>
              <w:numPr>
                <w:ilvl w:val="0"/>
                <w:numId w:val="2"/>
              </w:numPr>
              <w:spacing w:after="60"/>
            </w:pPr>
            <w:r>
              <w:rPr>
                <w:rFonts w:ascii="Arial" w:cs="Arial" w:eastAsia="Arial" w:hAnsi="Arial"/>
                <w:color w:val="1A2633"/>
                <w:sz w:val="18"/>
                <w:szCs w:val="18"/>
              </w:rPr>
              <w:t xml:space="preserve">Section 9(3): Definitive ban on tracking, behavioral monitoring, and targeted advertising directed at children.</w:t>
            </w:r>
          </w:p>
          <w:p>
            <w:pPr>
              <w:pStyle w:val="ListParagraph"/>
              <w:numPr>
                <w:ilvl w:val="0"/>
                <w:numId w:val="2"/>
              </w:numPr>
              <w:spacing w:after="60"/>
            </w:pPr>
            <w:r>
              <w:rPr>
                <w:rFonts w:ascii="Arial" w:cs="Arial" w:eastAsia="Arial" w:hAnsi="Arial"/>
                <w:color w:val="1A2633"/>
                <w:sz w:val="18"/>
                <w:szCs w:val="18"/>
              </w:rPr>
              <w:t xml:space="preserve">Rule 10: Verifiable consent requires Aadhaar-based OTP, Video KYC, or Digital Locker verification — not a generic admission form signature.</w:t>
            </w:r>
          </w:p>
        </w:tc>
      </w:tr>
    </w:tbl>
    <w:p>
      <w:r>
        <w:br w:type="page"/>
      </w:r>
    </w:p>
    <w:p>
      <w:pPr>
        <w:pBdr>
          <w:bottom w:val="single" w:color="567C8D" w:sz="8" w:space="4"/>
        </w:pBdr>
        <w:spacing w:after="80" w:before="320"/>
      </w:pPr>
      <w:r>
        <w:rPr>
          <w:rFonts w:ascii="Arial" w:cs="Arial" w:eastAsia="Arial" w:hAnsi="Arial"/>
          <w:b/>
          <w:bCs/>
          <w:color w:val="567C8D"/>
          <w:sz w:val="16"/>
          <w:szCs w:val="16"/>
        </w:rPr>
        <w:t xml:space="preserve">THE COMPLIANCE FAILURES</w:t>
      </w:r>
    </w:p>
    <w:p>
      <w:pPr>
        <w:pStyle w:val="Heading1"/>
        <w:spacing w:after="160" w:before="120"/>
      </w:pPr>
      <w:r>
        <w:rPr>
          <w:rFonts w:ascii="Arial" w:cs="Arial" w:eastAsia="Arial" w:hAnsi="Arial"/>
          <w:b/>
          <w:bCs/>
          <w:color w:val="2F4156"/>
          <w:sz w:val="36"/>
          <w:szCs w:val="36"/>
        </w:rPr>
        <w:t xml:space="preserve">7 Ways WhatsApp Groups Violate the DPDP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80"/>
            </w:pPr>
            <w:r>
              <w:rPr>
                <w:rFonts w:ascii="Arial" w:cs="Arial" w:eastAsia="Arial" w:hAnsi="Arial"/>
                <w:b/>
                <w:bCs/>
                <w:color w:val="2F4156"/>
                <w:sz w:val="20"/>
                <w:szCs w:val="20"/>
              </w:rPr>
              <w:t xml:space="preserve">1. Unauthorized Disclosure of Personal Data</w:t>
            </w:r>
          </w:p>
          <w:p>
            <w:pPr>
              <w:spacing w:after="80"/>
              <w:jc w:val="both"/>
            </w:pPr>
            <w:r>
              <w:rPr>
                <w:rFonts w:ascii="Arial" w:cs="Arial" w:eastAsia="Arial" w:hAnsi="Arial"/>
                <w:color w:val="1A2633"/>
                <w:sz w:val="18"/>
                <w:szCs w:val="18"/>
              </w:rPr>
              <w:t xml:space="preserve">When a school adds a parent to a WhatsApp group, the platform immediately exposes their mobile number, profile picture, and display name to every other member. A group can have up to 1,024 members — meaning one administrative action results in the unauthorized disclosure of personally identifiable information to over a thousand unrelated parties. The school has zero control over how this data is saved, scraped, or redistributed.</w:t>
            </w:r>
          </w:p>
          <w:p>
            <w:pPr>
              <w:spacing w:after="0"/>
            </w:pPr>
            <w:r>
              <w:rPr>
                <w:rFonts w:ascii="Arial" w:cs="Arial" w:eastAsia="Arial" w:hAnsi="Arial"/>
                <w:b/>
                <w:bCs/>
                <w:color w:val="C0392B"/>
                <w:sz w:val="16"/>
                <w:szCs w:val="16"/>
              </w:rPr>
              <w:t xml:space="preserve">Violated Provision: Section 8 — Data Minimization</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80"/>
            </w:pPr>
            <w:r>
              <w:rPr>
                <w:rFonts w:ascii="Arial" w:cs="Arial" w:eastAsia="Arial" w:hAnsi="Arial"/>
                <w:b/>
                <w:bCs/>
                <w:color w:val="2F4156"/>
                <w:sz w:val="20"/>
                <w:szCs w:val="20"/>
              </w:rPr>
              <w:t xml:space="preserve">2. No Itemized Notice or Specific Consent</w:t>
            </w:r>
          </w:p>
          <w:p>
            <w:pPr>
              <w:spacing w:after="80"/>
              <w:jc w:val="both"/>
            </w:pPr>
            <w:r>
              <w:rPr>
                <w:rFonts w:ascii="Arial" w:cs="Arial" w:eastAsia="Arial" w:hAnsi="Arial"/>
                <w:color w:val="1A2633"/>
                <w:sz w:val="18"/>
                <w:szCs w:val="18"/>
              </w:rPr>
              <w:t xml:space="preserve">Sections 5 and 6 require consent that is free, specific, informed, unconditional, and unambiguous. Adding a parent to a WhatsApp group is a unilateral administrative action — no compliant notice is delivered, no affirmative opt-in recorded. Bundled admission consent cannot legally cover communication in uncontrolled peer-to-peer networks.</w:t>
            </w:r>
          </w:p>
          <w:p>
            <w:pPr>
              <w:spacing w:after="0"/>
            </w:pPr>
            <w:r>
              <w:rPr>
                <w:rFonts w:ascii="Arial" w:cs="Arial" w:eastAsia="Arial" w:hAnsi="Arial"/>
                <w:b/>
                <w:bCs/>
                <w:color w:val="C0392B"/>
                <w:sz w:val="16"/>
                <w:szCs w:val="16"/>
              </w:rPr>
              <w:t xml:space="preserve">Violated Provision: Sections 5 &amp; 6 + Rule 3</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80"/>
            </w:pPr>
            <w:r>
              <w:rPr>
                <w:rFonts w:ascii="Arial" w:cs="Arial" w:eastAsia="Arial" w:hAnsi="Arial"/>
                <w:b/>
                <w:bCs/>
                <w:color w:val="2F4156"/>
                <w:sz w:val="20"/>
                <w:szCs w:val="20"/>
              </w:rPr>
              <w:t xml:space="preserve">3. Impossible Verifiable Parental Consent</w:t>
            </w:r>
          </w:p>
          <w:p>
            <w:pPr>
              <w:spacing w:after="80"/>
              <w:jc w:val="both"/>
            </w:pPr>
            <w:r>
              <w:rPr>
                <w:rFonts w:ascii="Arial" w:cs="Arial" w:eastAsia="Arial" w:hAnsi="Arial"/>
                <w:color w:val="1A2633"/>
                <w:sz w:val="18"/>
                <w:szCs w:val="18"/>
              </w:rPr>
              <w:t xml:space="preserve">Rule 10 requires cryptographic verification of parental identity and status. WhatsApp does not verify user identity, age, or parental relationship. A phone number provides zero proof that the recipient is the legal guardian of a specific child. Sharing attendance alerts or report cards into this medium is a direct breach of Section 9.</w:t>
            </w:r>
          </w:p>
          <w:p>
            <w:pPr>
              <w:spacing w:after="0"/>
            </w:pPr>
            <w:r>
              <w:rPr>
                <w:rFonts w:ascii="Arial" w:cs="Arial" w:eastAsia="Arial" w:hAnsi="Arial"/>
                <w:b/>
                <w:bCs/>
                <w:color w:val="C0392B"/>
                <w:sz w:val="16"/>
                <w:szCs w:val="16"/>
              </w:rPr>
              <w:t xml:space="preserve">Violated Provision: Section 9 + Rule 10</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80"/>
            </w:pPr>
            <w:r>
              <w:rPr>
                <w:rFonts w:ascii="Arial" w:cs="Arial" w:eastAsia="Arial" w:hAnsi="Arial"/>
                <w:b/>
                <w:bCs/>
                <w:color w:val="2F4156"/>
                <w:sz w:val="20"/>
                <w:szCs w:val="20"/>
              </w:rPr>
              <w:t xml:space="preserve">4. No Security Safeguards or Access Control</w:t>
            </w:r>
          </w:p>
          <w:p>
            <w:pPr>
              <w:spacing w:after="80"/>
              <w:jc w:val="both"/>
            </w:pPr>
            <w:r>
              <w:rPr>
                <w:rFonts w:ascii="Arial" w:cs="Arial" w:eastAsia="Arial" w:hAnsi="Arial"/>
                <w:color w:val="1A2633"/>
                <w:sz w:val="18"/>
                <w:szCs w:val="18"/>
              </w:rPr>
              <w:t xml:space="preserve">While WhatsApp encrypts data in transit, once delivered it is decrypted and stored on every participant's personal device. Any member can forward, screenshot, or export the entire chat without the school's knowledge. No audit trail exists. No evidentiary record can be produced for regulatory inquiry.</w:t>
            </w:r>
          </w:p>
          <w:p>
            <w:pPr>
              <w:spacing w:after="0"/>
            </w:pPr>
            <w:r>
              <w:rPr>
                <w:rFonts w:ascii="Arial" w:cs="Arial" w:eastAsia="Arial" w:hAnsi="Arial"/>
                <w:b/>
                <w:bCs/>
                <w:color w:val="C0392B"/>
                <w:sz w:val="16"/>
                <w:szCs w:val="16"/>
              </w:rPr>
              <w:t xml:space="preserve">Violated Provision: Section 8(5)</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80"/>
            </w:pPr>
            <w:r>
              <w:rPr>
                <w:rFonts w:ascii="Arial" w:cs="Arial" w:eastAsia="Arial" w:hAnsi="Arial"/>
                <w:b/>
                <w:bCs/>
                <w:color w:val="2F4156"/>
                <w:sz w:val="20"/>
                <w:szCs w:val="20"/>
              </w:rPr>
              <w:t xml:space="preserve">5. Breach Notification is Structurally Impossible</w:t>
            </w:r>
          </w:p>
          <w:p>
            <w:pPr>
              <w:spacing w:after="80"/>
              <w:jc w:val="both"/>
            </w:pPr>
            <w:r>
              <w:rPr>
                <w:rFonts w:ascii="Arial" w:cs="Arial" w:eastAsia="Arial" w:hAnsi="Arial"/>
                <w:color w:val="1A2633"/>
                <w:sz w:val="18"/>
                <w:szCs w:val="18"/>
              </w:rPr>
              <w:t xml:space="preserve">Rule 7 mandates reporting any personal data breach to the Data Protection Board within 72 hours. Detecting a breach in a WhatsApp group — such as a parent forwarding a class roster externally — is technically impossible. The school has no monitoring capability and therefore cannot comply with the reporting mandate.</w:t>
            </w:r>
          </w:p>
          <w:p>
            <w:pPr>
              <w:spacing w:after="0"/>
            </w:pPr>
            <w:r>
              <w:rPr>
                <w:rFonts w:ascii="Arial" w:cs="Arial" w:eastAsia="Arial" w:hAnsi="Arial"/>
                <w:b/>
                <w:bCs/>
                <w:color w:val="C0392B"/>
                <w:sz w:val="16"/>
                <w:szCs w:val="16"/>
              </w:rPr>
              <w:t xml:space="preserve">Violated Provision: Rule 7 — 72-Hour Reporting</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80"/>
            </w:pPr>
            <w:r>
              <w:rPr>
                <w:rFonts w:ascii="Arial" w:cs="Arial" w:eastAsia="Arial" w:hAnsi="Arial"/>
                <w:b/>
                <w:bCs/>
                <w:color w:val="2F4156"/>
                <w:sz w:val="20"/>
                <w:szCs w:val="20"/>
              </w:rPr>
              <w:t xml:space="preserve">6. Right to Erasure Cannot Be Honored</w:t>
            </w:r>
          </w:p>
          <w:p>
            <w:pPr>
              <w:spacing w:after="80"/>
              <w:jc w:val="both"/>
            </w:pPr>
            <w:r>
              <w:rPr>
                <w:rFonts w:ascii="Arial" w:cs="Arial" w:eastAsia="Arial" w:hAnsi="Arial"/>
                <w:color w:val="1A2633"/>
                <w:sz w:val="18"/>
                <w:szCs w:val="18"/>
              </w:rPr>
              <w:t xml:space="preserve">Section 8(7) requires erasing personal data once purpose is fulfilled or consent is withdrawn. Any data shared in a school WhatsApp group permanently resides on every participant's smartphone. The school has no remote-wipe capability. Once shared, the school is in perpetual non-compliance.</w:t>
            </w:r>
          </w:p>
          <w:p>
            <w:pPr>
              <w:spacing w:after="0"/>
            </w:pPr>
            <w:r>
              <w:rPr>
                <w:rFonts w:ascii="Arial" w:cs="Arial" w:eastAsia="Arial" w:hAnsi="Arial"/>
                <w:b/>
                <w:bCs/>
                <w:color w:val="C0392B"/>
                <w:sz w:val="16"/>
                <w:szCs w:val="16"/>
              </w:rPr>
              <w:t xml:space="preserve">Violated Provision: Section 8(7) — Storage Limitation</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80"/>
            </w:pPr>
            <w:r>
              <w:rPr>
                <w:rFonts w:ascii="Arial" w:cs="Arial" w:eastAsia="Arial" w:hAnsi="Arial"/>
                <w:b/>
                <w:bCs/>
                <w:color w:val="2F4156"/>
                <w:sz w:val="20"/>
                <w:szCs w:val="20"/>
              </w:rPr>
              <w:t xml:space="preserve">7. No Audit Trail for Regulatory Defense</w:t>
            </w:r>
          </w:p>
          <w:p>
            <w:pPr>
              <w:spacing w:after="80"/>
              <w:jc w:val="both"/>
            </w:pPr>
            <w:r>
              <w:rPr>
                <w:rFonts w:ascii="Arial" w:cs="Arial" w:eastAsia="Arial" w:hAnsi="Arial"/>
                <w:color w:val="1A2633"/>
                <w:sz w:val="18"/>
                <w:szCs w:val="18"/>
              </w:rPr>
              <w:t xml:space="preserve">In the event of a Data Protection Board inquiry, schools must produce evidence of who accessed what data, when, and for what purpose. Consumer WhatsApp groups maintain no logs, no access records, and no consent documentation. This leaves institutions legally defenseless.</w:t>
            </w:r>
          </w:p>
          <w:p>
            <w:pPr>
              <w:spacing w:after="0"/>
            </w:pPr>
            <w:r>
              <w:rPr>
                <w:rFonts w:ascii="Arial" w:cs="Arial" w:eastAsia="Arial" w:hAnsi="Arial"/>
                <w:b/>
                <w:bCs/>
                <w:color w:val="C0392B"/>
                <w:sz w:val="16"/>
                <w:szCs w:val="16"/>
              </w:rPr>
              <w:t xml:space="preserve">Violated Provision: Section 8 — Accountability</w:t>
            </w:r>
          </w:p>
        </w:tc>
      </w:tr>
    </w:tbl>
    <w:p>
      <w:pPr>
        <w:spacing w:after="0" w:before="80"/>
      </w:pPr>
    </w:p>
    <w:p>
      <w:r>
        <w:br w:type="page"/>
      </w:r>
    </w:p>
    <w:p>
      <w:pPr>
        <w:pBdr>
          <w:bottom w:val="single" w:color="567C8D" w:sz="8" w:space="4"/>
        </w:pBdr>
        <w:spacing w:after="80" w:before="320"/>
      </w:pPr>
      <w:r>
        <w:rPr>
          <w:rFonts w:ascii="Arial" w:cs="Arial" w:eastAsia="Arial" w:hAnsi="Arial"/>
          <w:b/>
          <w:bCs/>
          <w:color w:val="567C8D"/>
          <w:sz w:val="16"/>
          <w:szCs w:val="16"/>
        </w:rPr>
        <w:t xml:space="preserve">COMPLIANCE SCORECARD</w:t>
      </w:r>
    </w:p>
    <w:p>
      <w:pPr>
        <w:pStyle w:val="Heading1"/>
        <w:spacing w:after="160" w:before="120"/>
      </w:pPr>
      <w:r>
        <w:rPr>
          <w:rFonts w:ascii="Arial" w:cs="Arial" w:eastAsia="Arial" w:hAnsi="Arial"/>
          <w:b/>
          <w:bCs/>
          <w:color w:val="2F4156"/>
          <w:sz w:val="36"/>
          <w:szCs w:val="36"/>
        </w:rPr>
        <w:t xml:space="preserve">WhatsApp Groups vs. DPDP Act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3238"/>
      </w:tblGrid>
      <w:tr>
        <w:tc>
          <w:tcPr>
            <w:tcW w:type="dxa" w:w="44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DPDP MANDATE</w:t>
            </w:r>
          </w:p>
        </w:tc>
        <w:tc>
          <w:tcPr>
            <w:tcW w:type="dxa" w:w="20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LEGAL PROVISION</w:t>
            </w:r>
          </w:p>
        </w:tc>
        <w:tc>
          <w:tcPr>
            <w:tcW w:type="dxa" w:w="3238"/>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WHATSAPP STATUS</w:t>
            </w:r>
          </w:p>
        </w:tc>
      </w:tr>
      <w:tr>
        <w:tc>
          <w:tcPr>
            <w:tcW w:type="dxa" w:w="44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Itemized Privacy Notice</w:t>
            </w:r>
          </w:p>
        </w:tc>
        <w:tc>
          <w:tcPr>
            <w:tcW w:type="dxa" w:w="20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Rule 3</w:t>
            </w:r>
          </w:p>
        </w:tc>
        <w:tc>
          <w:tcPr>
            <w:tcW w:type="dxa" w:w="32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r>
      <w:tr>
        <w:tc>
          <w:tcPr>
            <w:tcW w:type="dxa" w:w="44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Data Minimization</w:t>
            </w:r>
          </w:p>
        </w:tc>
        <w:tc>
          <w:tcPr>
            <w:tcW w:type="dxa" w:w="20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Section 8</w:t>
            </w:r>
          </w:p>
        </w:tc>
        <w:tc>
          <w:tcPr>
            <w:tcW w:type="dxa" w:w="32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r>
      <w:tr>
        <w:tc>
          <w:tcPr>
            <w:tcW w:type="dxa" w:w="44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Verifiable Parental Consent</w:t>
            </w:r>
          </w:p>
        </w:tc>
        <w:tc>
          <w:tcPr>
            <w:tcW w:type="dxa" w:w="20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Section 9 + Rule 10</w:t>
            </w:r>
          </w:p>
        </w:tc>
        <w:tc>
          <w:tcPr>
            <w:tcW w:type="dxa" w:w="32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r>
      <w:tr>
        <w:tc>
          <w:tcPr>
            <w:tcW w:type="dxa" w:w="44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Security Safeguards (RBAC, DLP)</w:t>
            </w:r>
          </w:p>
        </w:tc>
        <w:tc>
          <w:tcPr>
            <w:tcW w:type="dxa" w:w="20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Section 8(5)</w:t>
            </w:r>
          </w:p>
        </w:tc>
        <w:tc>
          <w:tcPr>
            <w:tcW w:type="dxa" w:w="32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r>
      <w:tr>
        <w:tc>
          <w:tcPr>
            <w:tcW w:type="dxa" w:w="44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Right to Erasure</w:t>
            </w:r>
          </w:p>
        </w:tc>
        <w:tc>
          <w:tcPr>
            <w:tcW w:type="dxa" w:w="20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Section 8(7)</w:t>
            </w:r>
          </w:p>
        </w:tc>
        <w:tc>
          <w:tcPr>
            <w:tcW w:type="dxa" w:w="32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r>
      <w:tr>
        <w:tc>
          <w:tcPr>
            <w:tcW w:type="dxa" w:w="44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Breach Notification (72-hour)</w:t>
            </w:r>
          </w:p>
        </w:tc>
        <w:tc>
          <w:tcPr>
            <w:tcW w:type="dxa" w:w="20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Rule 7</w:t>
            </w:r>
          </w:p>
        </w:tc>
        <w:tc>
          <w:tcPr>
            <w:tcW w:type="dxa" w:w="32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r>
      <w:tr>
        <w:tc>
          <w:tcPr>
            <w:tcW w:type="dxa" w:w="44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Audit Trails and Access Logs</w:t>
            </w:r>
          </w:p>
        </w:tc>
        <w:tc>
          <w:tcPr>
            <w:tcW w:type="dxa" w:w="20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Section 8</w:t>
            </w:r>
          </w:p>
        </w:tc>
        <w:tc>
          <w:tcPr>
            <w:tcW w:type="dxa" w:w="32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r>
    </w:tbl>
    <w:p>
      <w:pPr>
        <w:spacing w:after="0" w:before="200"/>
      </w:pPr>
    </w:p>
    <w:p>
      <w:pPr>
        <w:pStyle w:val="Heading2"/>
        <w:spacing w:after="120" w:before="280"/>
      </w:pPr>
      <w:r>
        <w:rPr>
          <w:rFonts w:ascii="Arial" w:cs="Arial" w:eastAsia="Arial" w:hAnsi="Arial"/>
          <w:b/>
          <w:bCs/>
          <w:color w:val="2F4156"/>
          <w:sz w:val="26"/>
          <w:szCs w:val="26"/>
        </w:rPr>
        <w:t xml:space="preserve">Statutory Penalties: The Financial Cost of Inaction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838"/>
      </w:tblGrid>
      <w:tr>
        <w:tc>
          <w:tcPr>
            <w:tcW w:type="dxa" w:w="36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VIOLATION TYPE</w:t>
            </w:r>
          </w:p>
        </w:tc>
        <w:tc>
          <w:tcPr>
            <w:tcW w:type="dxa" w:w="22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MAX PENALTY</w:t>
            </w:r>
          </w:p>
        </w:tc>
        <w:tc>
          <w:tcPr>
            <w:tcW w:type="dxa" w:w="3838"/>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TRIGGER</w:t>
            </w:r>
          </w:p>
        </w:tc>
      </w:tr>
      <w:tr>
        <w:tc>
          <w:tcPr>
            <w:tcW w:type="dxa" w:w="36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Failure to implement reasonable security safeguards</w:t>
            </w:r>
          </w:p>
        </w:tc>
        <w:tc>
          <w:tcPr>
            <w:tcW w:type="dxa" w:w="22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Rs.250 Crore</w:t>
            </w:r>
          </w:p>
        </w:tc>
        <w:tc>
          <w:tcPr>
            <w:tcW w:type="dxa" w:w="38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Exposing parent/student data in uncontrolled group environments</w:t>
            </w:r>
          </w:p>
        </w:tc>
      </w:tr>
      <w:tr>
        <w:tc>
          <w:tcPr>
            <w:tcW w:type="dxa" w:w="36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Violation of children's data protections (Section 9)</w:t>
            </w:r>
          </w:p>
        </w:tc>
        <w:tc>
          <w:tcPr>
            <w:tcW w:type="dxa" w:w="22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Rs.200 Crore</w:t>
            </w:r>
          </w:p>
        </w:tc>
        <w:tc>
          <w:tcPr>
            <w:tcW w:type="dxa" w:w="38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Unauthorized tracking, profiling, or processing without verifiable parental consent</w:t>
            </w:r>
          </w:p>
        </w:tc>
      </w:tr>
      <w:tr>
        <w:tc>
          <w:tcPr>
            <w:tcW w:type="dxa" w:w="36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Failure to notify breach within 72 hours</w:t>
            </w:r>
          </w:p>
        </w:tc>
        <w:tc>
          <w:tcPr>
            <w:tcW w:type="dxa" w:w="22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Rs.200 Crore</w:t>
            </w:r>
          </w:p>
        </w:tc>
        <w:tc>
          <w:tcPr>
            <w:tcW w:type="dxa" w:w="38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Not reporting unauthorized data forwarding to Data Protection Board</w:t>
            </w:r>
          </w:p>
        </w:tc>
      </w:tr>
      <w:tr>
        <w:tc>
          <w:tcPr>
            <w:tcW w:type="dxa" w:w="36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Ignoring erasure or consent withdrawal requests</w:t>
            </w:r>
          </w:p>
        </w:tc>
        <w:tc>
          <w:tcPr>
            <w:tcW w:type="dxa" w:w="22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Rs.50 Crore</w:t>
            </w:r>
          </w:p>
        </w:tc>
        <w:tc>
          <w:tcPr>
            <w:tcW w:type="dxa" w:w="38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Data persisting on external devices after parent deletion request</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EF9F9" w:val="clear"/>
            <w:tcMar>
              <w:top w:type="dxa" w:w="120"/>
              <w:left w:type="dxa" w:w="180"/>
              <w:bottom w:type="dxa" w:w="120"/>
              <w:right w:type="dxa" w:w="180"/>
            </w:tcMar>
          </w:tcPr>
          <w:p>
            <w:pPr>
              <w:spacing w:after="0"/>
              <w:jc w:val="both"/>
            </w:pPr>
            <w:r>
              <w:rPr>
                <w:rFonts w:ascii="Arial" w:cs="Arial" w:eastAsia="Arial" w:hAnsi="Arial"/>
                <w:b/>
                <w:bCs/>
                <w:color w:val="2F4156"/>
                <w:sz w:val="18"/>
                <w:szCs w:val="18"/>
              </w:rPr>
              <w:t xml:space="preserve">Important: </w:t>
            </w:r>
            <w:r>
              <w:rPr>
                <w:rFonts w:ascii="Arial" w:cs="Arial" w:eastAsia="Arial" w:hAnsi="Arial"/>
                <w:color w:val="1A2633"/>
                <w:sz w:val="18"/>
                <w:szCs w:val="18"/>
              </w:rPr>
              <w:t xml:space="preserve">The DPDP Act does not require the Data Principal to prove actual harm. Failure to implement mandated structural safeguards is sufficient grounds for the Data Protection Board to initiate punitive action.</w:t>
            </w:r>
          </w:p>
        </w:tc>
      </w:tr>
    </w:tbl>
    <w:p>
      <w:r>
        <w:br w:type="page"/>
      </w:r>
    </w:p>
    <w:p>
      <w:pPr>
        <w:pBdr>
          <w:bottom w:val="single" w:color="567C8D" w:sz="8" w:space="4"/>
        </w:pBdr>
        <w:spacing w:after="80" w:before="320"/>
      </w:pPr>
      <w:r>
        <w:rPr>
          <w:rFonts w:ascii="Arial" w:cs="Arial" w:eastAsia="Arial" w:hAnsi="Arial"/>
          <w:b/>
          <w:bCs/>
          <w:color w:val="567C8D"/>
          <w:sz w:val="16"/>
          <w:szCs w:val="16"/>
        </w:rPr>
        <w:t xml:space="preserve">BEYOND COMPLIANCE</w:t>
      </w:r>
    </w:p>
    <w:p>
      <w:pPr>
        <w:pStyle w:val="Heading1"/>
        <w:spacing w:after="160" w:before="120"/>
      </w:pPr>
      <w:r>
        <w:rPr>
          <w:rFonts w:ascii="Arial" w:cs="Arial" w:eastAsia="Arial" w:hAnsi="Arial"/>
          <w:b/>
          <w:bCs/>
          <w:color w:val="2F4156"/>
          <w:sz w:val="36"/>
          <w:szCs w:val="36"/>
        </w:rPr>
        <w:t xml:space="preserve">Cyber Fraud, Child Safety and Operational Risks</w:t>
      </w:r>
    </w:p>
    <w:p>
      <w:pPr>
        <w:pStyle w:val="Heading2"/>
        <w:spacing w:after="120" w:before="280"/>
      </w:pPr>
      <w:r>
        <w:rPr>
          <w:rFonts w:ascii="Arial" w:cs="Arial" w:eastAsia="Arial" w:hAnsi="Arial"/>
          <w:b/>
          <w:bCs/>
          <w:color w:val="2F4156"/>
          <w:sz w:val="26"/>
          <w:szCs w:val="26"/>
        </w:rPr>
        <w:t xml:space="preserve">Financial Fraud via Cloned School Groups</w:t>
      </w:r>
    </w:p>
    <w:p>
      <w:pPr>
        <w:spacing w:after="140" w:before="0" w:line="276"/>
        <w:jc w:val="both"/>
      </w:pPr>
      <w:r>
        <w:rPr>
          <w:rFonts w:ascii="Arial" w:cs="Arial" w:eastAsia="Arial" w:hAnsi="Arial"/>
          <w:color w:val="1A2633"/>
          <w:sz w:val="19"/>
          <w:szCs w:val="19"/>
        </w:rPr>
        <w:t xml:space="preserve">Cybercriminals harvest parent phone numbers from school databases or WhatsApp groups themselves, then create cloned groups using the school's official logo and authoritative display names. Within these environments, fraudsters demand immediate "examination fees" or "sports kit payments" via UPI links, supported by fake payment confirmations to trigger herd behavior among anxious parents.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567C8D"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7F9FB" w:val="clear"/>
            <w:tcMar>
              <w:top w:type="dxa" w:w="120"/>
              <w:left w:type="dxa" w:w="180"/>
              <w:bottom w:type="dxa" w:w="120"/>
              <w:right w:type="dxa" w:w="180"/>
            </w:tcMar>
          </w:tcPr>
          <w:p>
            <w:pPr>
              <w:spacing w:after="100"/>
            </w:pPr>
            <w:r>
              <w:rPr>
                <w:rFonts w:ascii="Arial" w:cs="Arial" w:eastAsia="Arial" w:hAnsi="Arial"/>
                <w:b/>
                <w:bCs/>
                <w:color w:val="567C8D"/>
                <w:sz w:val="17"/>
                <w:szCs w:val="17"/>
              </w:rPr>
              <w:t xml:space="preserve">CRIMINAL LIABILITY UNDER BNS 2023</w:t>
            </w:r>
          </w:p>
          <w:p>
            <w:pPr>
              <w:pStyle w:val="ListParagraph"/>
              <w:numPr>
                <w:ilvl w:val="0"/>
                <w:numId w:val="2"/>
              </w:numPr>
              <w:spacing w:after="60"/>
            </w:pPr>
            <w:r>
              <w:rPr>
                <w:rFonts w:ascii="Arial" w:cs="Arial" w:eastAsia="Arial" w:hAnsi="Arial"/>
                <w:color w:val="1A2633"/>
                <w:sz w:val="18"/>
                <w:szCs w:val="18"/>
              </w:rPr>
              <w:t xml:space="preserve">BNS Section 318(4) — Cheating and dishonestly inducing delivery of property: up to 7 years imprisonment.</w:t>
            </w:r>
          </w:p>
          <w:p>
            <w:pPr>
              <w:pStyle w:val="ListParagraph"/>
              <w:numPr>
                <w:ilvl w:val="0"/>
                <w:numId w:val="2"/>
              </w:numPr>
              <w:spacing w:after="60"/>
            </w:pPr>
            <w:r>
              <w:rPr>
                <w:rFonts w:ascii="Arial" w:cs="Arial" w:eastAsia="Arial" w:hAnsi="Arial"/>
                <w:color w:val="1A2633"/>
                <w:sz w:val="18"/>
                <w:szCs w:val="18"/>
              </w:rPr>
              <w:t xml:space="preserve">BNS Section 319 — Cheating by personation: up to 5 years imprisonment.</w:t>
            </w:r>
          </w:p>
          <w:p>
            <w:pPr>
              <w:pStyle w:val="ListParagraph"/>
              <w:numPr>
                <w:ilvl w:val="0"/>
                <w:numId w:val="2"/>
              </w:numPr>
              <w:spacing w:after="60"/>
            </w:pPr>
            <w:r>
              <w:rPr>
                <w:rFonts w:ascii="Arial" w:cs="Arial" w:eastAsia="Arial" w:hAnsi="Arial"/>
                <w:color w:val="1A2633"/>
                <w:sz w:val="18"/>
                <w:szCs w:val="18"/>
              </w:rPr>
              <w:t xml:space="preserve">BNS Section 353 — Statements conducing to public mischief (false kidnapping/bomb threat rumors).</w:t>
            </w:r>
          </w:p>
          <w:p>
            <w:pPr>
              <w:pStyle w:val="ListParagraph"/>
              <w:numPr>
                <w:ilvl w:val="0"/>
                <w:numId w:val="2"/>
              </w:numPr>
              <w:spacing w:after="60"/>
            </w:pPr>
            <w:r>
              <w:rPr>
                <w:rFonts w:ascii="Arial" w:cs="Arial" w:eastAsia="Arial" w:hAnsi="Arial"/>
                <w:color w:val="1A2633"/>
                <w:sz w:val="18"/>
                <w:szCs w:val="18"/>
              </w:rPr>
              <w:t xml:space="preserve">IT Act Sections 66C and 66D — Identity theft and cheating by personation using computer resources.</w:t>
            </w:r>
          </w:p>
          <w:p>
            <w:pPr>
              <w:pStyle w:val="ListParagraph"/>
              <w:numPr>
                <w:ilvl w:val="0"/>
                <w:numId w:val="2"/>
              </w:numPr>
              <w:spacing w:after="60"/>
            </w:pPr>
            <w:r>
              <w:rPr>
                <w:rFonts w:ascii="Arial" w:cs="Arial" w:eastAsia="Arial" w:hAnsi="Arial"/>
                <w:color w:val="1A2633"/>
                <w:sz w:val="18"/>
                <w:szCs w:val="18"/>
              </w:rPr>
              <w:t xml:space="preserve">Institutions that mandate unverified WhatsApp groups may face vicarious liability under the Consumer Protection Act 2019.</w:t>
            </w:r>
          </w:p>
        </w:tc>
      </w:tr>
    </w:tbl>
    <w:p>
      <w:pPr>
        <w:pStyle w:val="Heading2"/>
        <w:spacing w:after="120" w:before="280"/>
      </w:pPr>
      <w:r>
        <w:rPr>
          <w:rFonts w:ascii="Arial" w:cs="Arial" w:eastAsia="Arial" w:hAnsi="Arial"/>
          <w:b/>
          <w:bCs/>
          <w:color w:val="2F4156"/>
          <w:sz w:val="26"/>
          <w:szCs w:val="26"/>
        </w:rPr>
        <w:t xml:space="preserve">Child Safeguarding and NCPCR Guidelines</w:t>
      </w:r>
    </w:p>
    <w:p>
      <w:pPr>
        <w:spacing w:after="140" w:before="0" w:line="276"/>
        <w:jc w:val="both"/>
      </w:pPr>
      <w:r>
        <w:rPr>
          <w:rFonts w:ascii="Arial" w:cs="Arial" w:eastAsia="Arial" w:hAnsi="Arial"/>
          <w:color w:val="1A2633"/>
          <w:sz w:val="19"/>
          <w:szCs w:val="19"/>
        </w:rPr>
        <w:t xml:space="preserve">The National Commission for Protection of Child Rights (NCPCR) has published clear guidelines on digital exposure risks for minors. When schools share photographs of children in school uniforms on WhatsApp groups, those images are frequently forwarded to extended family and community groups — placing the digital identity and location of a minor effectively in the public domain. This creates exploitation vulnerabilities governed by the POCSO Act, 2012 (Sections 11 and 13) and IT Act Sections 67, 67A, and 67B.</w:t>
      </w:r>
    </w:p>
    <w:p>
      <w:pPr>
        <w:pStyle w:val="Heading2"/>
        <w:spacing w:after="120" w:before="280"/>
      </w:pPr>
      <w:r>
        <w:rPr>
          <w:rFonts w:ascii="Arial" w:cs="Arial" w:eastAsia="Arial" w:hAnsi="Arial"/>
          <w:b/>
          <w:bCs/>
          <w:color w:val="2F4156"/>
          <w:sz w:val="26"/>
          <w:szCs w:val="26"/>
        </w:rPr>
        <w:t xml:space="preserve">Operational Breakdown and Communication Integrity</w:t>
      </w:r>
    </w:p>
    <w:p>
      <w:pPr>
        <w:spacing w:after="140" w:before="0" w:line="276"/>
        <w:jc w:val="both"/>
      </w:pPr>
      <w:r>
        <w:rPr>
          <w:rFonts w:ascii="Arial" w:cs="Arial" w:eastAsia="Arial" w:hAnsi="Arial"/>
          <w:color w:val="1A2633"/>
          <w:sz w:val="19"/>
          <w:szCs w:val="19"/>
        </w:rPr>
        <w:t xml:space="preserve">Critical institutional announcements, emergency protocols, and academic updates are routinely buried under casual conversations and memes. CBSE has explicitly warned against using social media platforms like WhatsApp for examination-related material. Without delivery logs, schools cannot prove that critical safety information reached the intended recipient — entirely eroding institutional record-keeping capacity.</w:t>
      </w:r>
    </w:p>
    <w:p>
      <w:r>
        <w:br w:type="page"/>
      </w:r>
    </w:p>
    <w:p>
      <w:pPr>
        <w:pBdr>
          <w:bottom w:val="single" w:color="567C8D" w:sz="8" w:space="4"/>
        </w:pBdr>
        <w:spacing w:after="80" w:before="320"/>
      </w:pPr>
      <w:r>
        <w:rPr>
          <w:rFonts w:ascii="Arial" w:cs="Arial" w:eastAsia="Arial" w:hAnsi="Arial"/>
          <w:b/>
          <w:bCs/>
          <w:color w:val="567C8D"/>
          <w:sz w:val="16"/>
          <w:szCs w:val="16"/>
        </w:rPr>
        <w:t xml:space="preserve">THE COMPLIANT PATH FORWARD</w:t>
      </w:r>
    </w:p>
    <w:p>
      <w:pPr>
        <w:pStyle w:val="Heading1"/>
        <w:spacing w:after="160" w:before="120"/>
      </w:pPr>
      <w:r>
        <w:rPr>
          <w:rFonts w:ascii="Arial" w:cs="Arial" w:eastAsia="Arial" w:hAnsi="Arial"/>
          <w:b/>
          <w:bCs/>
          <w:color w:val="2F4156"/>
          <w:sz w:val="36"/>
          <w:szCs w:val="36"/>
        </w:rPr>
        <w:t xml:space="preserve">What Schools Must Do to Stay Legal</w:t>
      </w:r>
    </w:p>
    <w:p>
      <w:pPr>
        <w:spacing w:after="140" w:before="0" w:line="276"/>
        <w:jc w:val="both"/>
      </w:pPr>
      <w:r>
        <w:rPr>
          <w:rFonts w:ascii="Arial" w:cs="Arial" w:eastAsia="Arial" w:hAnsi="Arial"/>
          <w:color w:val="1A2633"/>
          <w:sz w:val="19"/>
          <w:szCs w:val="19"/>
        </w:rPr>
        <w:t xml:space="preserve">The DPDP Act does not prohibit WhatsApp as a technology — it prohibits the uncontrolled processing of data inherent in consumer group chats. Compliance requires structural migration to platforms built with privacy-by-design architecture.</w:t>
      </w:r>
    </w:p>
    <w:p>
      <w:pPr>
        <w:spacing w:after="80" w:before="200"/>
      </w:pPr>
      <w:r>
        <w:rPr>
          <w:rFonts w:ascii="Arial" w:cs="Arial" w:eastAsia="Arial" w:hAnsi="Arial"/>
          <w:b/>
          <w:bCs/>
          <w:color w:val="567C8D"/>
          <w:sz w:val="21"/>
          <w:szCs w:val="21"/>
        </w:rPr>
        <w:t xml:space="preserve">Comparison: Consumer WhatsApp vs. Compliant School Management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3238"/>
      </w:tblGrid>
      <w:tr>
        <w:tc>
          <w:tcPr>
            <w:tcW w:type="dxa" w:w="35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CAPABILITY</w:t>
            </w:r>
          </w:p>
        </w:tc>
        <w:tc>
          <w:tcPr>
            <w:tcW w:type="dxa" w:w="2900"/>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CONSUMER WHATSAPP GROUP</w:t>
            </w:r>
          </w:p>
        </w:tc>
        <w:tc>
          <w:tcPr>
            <w:tcW w:type="dxa" w:w="3238"/>
            <w:tcBorders>
              <w:top w:val="single" w:color="2F4156" w:sz="4"/>
              <w:left w:val="single" w:color="2F4156" w:sz="4"/>
              <w:bottom w:val="single" w:color="2F4156" w:sz="4"/>
              <w:right w:val="single" w:color="2F4156" w:sz="4"/>
            </w:tcBorders>
            <w:shd w:fill="2F4156" w:val="clear"/>
            <w:tcMar>
              <w:top w:type="dxa" w:w="80"/>
              <w:left w:type="dxa" w:w="120"/>
              <w:bottom w:type="dxa" w:w="80"/>
              <w:right w:type="dxa" w:w="120"/>
            </w:tcMar>
            <w:vAlign w:val="center"/>
          </w:tcPr>
          <w:p>
            <w:r>
              <w:rPr>
                <w:rFonts w:ascii="Arial" w:cs="Arial" w:eastAsia="Arial" w:hAnsi="Arial"/>
                <w:b/>
                <w:bCs/>
                <w:color w:val="FFFFFF"/>
                <w:sz w:val="17"/>
                <w:szCs w:val="17"/>
              </w:rPr>
              <w:t xml:space="preserve">WHITEROOM / COMPLIANT PLATFORM</w:t>
            </w:r>
          </w:p>
        </w:tc>
      </w:tr>
      <w:tr>
        <w:tc>
          <w:tcPr>
            <w:tcW w:type="dxa" w:w="35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Communication Architecture</w:t>
            </w:r>
          </w:p>
        </w:tc>
        <w:tc>
          <w:tcPr>
            <w:tcW w:type="dxa" w:w="29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Many-to-many: peer visibility mandatory</w:t>
            </w:r>
          </w:p>
        </w:tc>
        <w:tc>
          <w:tcPr>
            <w:tcW w:type="dxa" w:w="32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1E7E5E"/>
                <w:sz w:val="17"/>
                <w:szCs w:val="17"/>
              </w:rPr>
              <w:t xml:space="preserve">One-to-one broadcast: no peer visibility</w:t>
            </w:r>
          </w:p>
        </w:tc>
      </w:tr>
      <w:tr>
        <w:tc>
          <w:tcPr>
            <w:tcW w:type="dxa" w:w="35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Phone Number Privacy</w:t>
            </w:r>
          </w:p>
        </w:tc>
        <w:tc>
          <w:tcPr>
            <w:tcW w:type="dxa" w:w="29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Exposed to up to 1,024 members</w:t>
            </w:r>
          </w:p>
        </w:tc>
        <w:tc>
          <w:tcPr>
            <w:tcW w:type="dxa" w:w="32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1E7E5E"/>
                <w:sz w:val="17"/>
                <w:szCs w:val="17"/>
              </w:rPr>
              <w:t xml:space="preserve">Completely hidden from all participants</w:t>
            </w:r>
          </w:p>
        </w:tc>
      </w:tr>
      <w:tr>
        <w:tc>
          <w:tcPr>
            <w:tcW w:type="dxa" w:w="35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Parental Consent Management</w:t>
            </w:r>
          </w:p>
        </w:tc>
        <w:tc>
          <w:tcPr>
            <w:tcW w:type="dxa" w:w="29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None — admin forces additions</w:t>
            </w:r>
          </w:p>
        </w:tc>
        <w:tc>
          <w:tcPr>
            <w:tcW w:type="dxa" w:w="32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1E7E5E"/>
                <w:sz w:val="17"/>
                <w:szCs w:val="17"/>
              </w:rPr>
              <w:t xml:space="preserve">DPDP-logged opt-ins with Aadhaar verification</w:t>
            </w:r>
          </w:p>
        </w:tc>
      </w:tr>
      <w:tr>
        <w:tc>
          <w:tcPr>
            <w:tcW w:type="dxa" w:w="35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Audit Trail and Access Logs</w:t>
            </w:r>
          </w:p>
        </w:tc>
        <w:tc>
          <w:tcPr>
            <w:tcW w:type="dxa" w:w="29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None — no evidentiary record</w:t>
            </w:r>
          </w:p>
        </w:tc>
        <w:tc>
          <w:tcPr>
            <w:tcW w:type="dxa" w:w="32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1E7E5E"/>
                <w:sz w:val="17"/>
                <w:szCs w:val="17"/>
              </w:rPr>
              <w:t xml:space="preserve">Timestamped logs of all access and delivery</w:t>
            </w:r>
          </w:p>
        </w:tc>
      </w:tr>
      <w:tr>
        <w:tc>
          <w:tcPr>
            <w:tcW w:type="dxa" w:w="35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Right to Erasure</w:t>
            </w:r>
          </w:p>
        </w:tc>
        <w:tc>
          <w:tcPr>
            <w:tcW w:type="dxa" w:w="29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Impossible — data on all personal devices</w:t>
            </w:r>
          </w:p>
        </w:tc>
        <w:tc>
          <w:tcPr>
            <w:tcW w:type="dxa" w:w="32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1E7E5E"/>
                <w:sz w:val="17"/>
                <w:szCs w:val="17"/>
              </w:rPr>
              <w:t xml:space="preserve">Centralized deletion on parental request</w:t>
            </w:r>
          </w:p>
        </w:tc>
      </w:tr>
      <w:tr>
        <w:tc>
          <w:tcPr>
            <w:tcW w:type="dxa" w:w="35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Breach Detection and Reporting</w:t>
            </w:r>
          </w:p>
        </w:tc>
        <w:tc>
          <w:tcPr>
            <w:tcW w:type="dxa" w:w="2900"/>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C0392B"/>
                <w:sz w:val="17"/>
                <w:szCs w:val="17"/>
              </w:rPr>
              <w:t xml:space="preserve">Structurally impossible to detect</w:t>
            </w:r>
          </w:p>
        </w:tc>
        <w:tc>
          <w:tcPr>
            <w:tcW w:type="dxa" w:w="3238"/>
            <w:tcBorders>
              <w:top w:val="single" w:color="DDE8EF" w:sz="4"/>
              <w:left w:val="single" w:color="DDE8EF" w:sz="4"/>
              <w:bottom w:val="single" w:color="DDE8EF" w:sz="4"/>
              <w:right w:val="single" w:color="DDE8EF" w:sz="4"/>
            </w:tcBorders>
            <w:shd w:fill="F7F9FB" w:val="clear"/>
            <w:tcMar>
              <w:top w:type="dxa" w:w="80"/>
              <w:left w:type="dxa" w:w="120"/>
              <w:bottom w:type="dxa" w:w="80"/>
              <w:right w:type="dxa" w:w="120"/>
            </w:tcMar>
            <w:vAlign w:val="center"/>
          </w:tcPr>
          <w:p>
            <w:r>
              <w:rPr>
                <w:rFonts w:ascii="Arial" w:cs="Arial" w:eastAsia="Arial" w:hAnsi="Arial"/>
                <w:b/>
                <w:bCs/>
                <w:color w:val="1E7E5E"/>
                <w:sz w:val="17"/>
                <w:szCs w:val="17"/>
              </w:rPr>
              <w:t xml:space="preserve">Real-time monitoring and 72-hour reporting</w:t>
            </w:r>
          </w:p>
        </w:tc>
      </w:tr>
      <w:tr>
        <w:tc>
          <w:tcPr>
            <w:tcW w:type="dxa" w:w="35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val="false"/>
                <w:bCs w:val="false"/>
                <w:color w:val="1A2633"/>
                <w:sz w:val="17"/>
                <w:szCs w:val="17"/>
              </w:rPr>
              <w:t xml:space="preserve">DPDP Compliance Status</w:t>
            </w:r>
          </w:p>
        </w:tc>
        <w:tc>
          <w:tcPr>
            <w:tcW w:type="dxa" w:w="2900"/>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NON-COMPLIANT</w:t>
            </w:r>
          </w:p>
        </w:tc>
        <w:tc>
          <w:tcPr>
            <w:tcW w:type="dxa" w:w="3238"/>
            <w:tcBorders>
              <w:top w:val="single" w:color="DDE8EF" w:sz="4"/>
              <w:left w:val="single" w:color="DDE8EF" w:sz="4"/>
              <w:bottom w:val="single" w:color="DDE8EF" w:sz="4"/>
              <w:right w:val="single" w:color="DDE8EF" w:sz="4"/>
            </w:tcBorders>
            <w:shd w:fill="FFFFFF" w:val="clear"/>
            <w:tcMar>
              <w:top w:type="dxa" w:w="80"/>
              <w:left w:type="dxa" w:w="120"/>
              <w:bottom w:type="dxa" w:w="80"/>
              <w:right w:type="dxa" w:w="120"/>
            </w:tcMar>
            <w:vAlign w:val="center"/>
          </w:tcPr>
          <w:p>
            <w:r>
              <w:rPr>
                <w:rFonts w:ascii="Arial" w:cs="Arial" w:eastAsia="Arial" w:hAnsi="Arial"/>
                <w:b/>
                <w:bCs/>
                <w:color w:val="1E7E5E"/>
                <w:sz w:val="17"/>
                <w:szCs w:val="17"/>
              </w:rPr>
              <w:t xml:space="preserve">COMPLIANT</w:t>
            </w:r>
          </w:p>
        </w:tc>
      </w:tr>
    </w:tbl>
    <w:p>
      <w:pPr>
        <w:spacing w:after="0" w:before="200"/>
      </w:pPr>
    </w:p>
    <w:p>
      <w:pPr>
        <w:pStyle w:val="Heading2"/>
        <w:spacing w:after="120" w:before="280"/>
      </w:pPr>
      <w:r>
        <w:rPr>
          <w:rFonts w:ascii="Arial" w:cs="Arial" w:eastAsia="Arial" w:hAnsi="Arial"/>
          <w:b/>
          <w:bCs/>
          <w:color w:val="2F4156"/>
          <w:sz w:val="26"/>
          <w:szCs w:val="26"/>
        </w:rPr>
        <w:t xml:space="preserve">4-Step Compliance Roadmap for Schools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1E7E5E"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0FBF6" w:val="clear"/>
            <w:tcMar>
              <w:top w:type="dxa" w:w="120"/>
              <w:left w:type="dxa" w:w="180"/>
              <w:bottom w:type="dxa" w:w="120"/>
              <w:right w:type="dxa" w:w="180"/>
            </w:tcMar>
          </w:tcPr>
          <w:p>
            <w:pPr>
              <w:spacing w:after="80"/>
            </w:pPr>
            <w:r>
              <w:rPr>
                <w:rFonts w:ascii="Arial" w:cs="Arial" w:eastAsia="Arial" w:hAnsi="Arial"/>
                <w:b/>
                <w:bCs/>
                <w:color w:val="2F4156"/>
                <w:sz w:val="19"/>
                <w:szCs w:val="19"/>
              </w:rPr>
              <w:t xml:space="preserve">Step 1: Data Discovery and Gap Assessment</w:t>
            </w:r>
          </w:p>
          <w:p>
            <w:pPr>
              <w:spacing w:after="0"/>
              <w:jc w:val="both"/>
            </w:pPr>
            <w:r>
              <w:rPr>
                <w:rFonts w:ascii="Arial" w:cs="Arial" w:eastAsia="Arial" w:hAnsi="Arial"/>
                <w:color w:val="1A2633"/>
                <w:sz w:val="18"/>
                <w:szCs w:val="18"/>
              </w:rPr>
              <w:t xml:space="preserve">Conduct a Record of Processing Activities (RoPA) audit across all communication channels. WhatsApp groups and shared Google Drive folders will invariably appear as uncontrolled environments requiring immediate deprecation.</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1E7E5E"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0FBF6" w:val="clear"/>
            <w:tcMar>
              <w:top w:type="dxa" w:w="120"/>
              <w:left w:type="dxa" w:w="180"/>
              <w:bottom w:type="dxa" w:w="120"/>
              <w:right w:type="dxa" w:w="180"/>
            </w:tcMar>
          </w:tcPr>
          <w:p>
            <w:pPr>
              <w:spacing w:after="80"/>
            </w:pPr>
            <w:r>
              <w:rPr>
                <w:rFonts w:ascii="Arial" w:cs="Arial" w:eastAsia="Arial" w:hAnsi="Arial"/>
                <w:b/>
                <w:bCs/>
                <w:color w:val="2F4156"/>
                <w:sz w:val="19"/>
                <w:szCs w:val="19"/>
              </w:rPr>
              <w:t xml:space="preserve">Step 2: Implement Verifiable Consent Layers</w:t>
            </w:r>
          </w:p>
          <w:p>
            <w:pPr>
              <w:spacing w:after="0"/>
              <w:jc w:val="both"/>
            </w:pPr>
            <w:r>
              <w:rPr>
                <w:rFonts w:ascii="Arial" w:cs="Arial" w:eastAsia="Arial" w:hAnsi="Arial"/>
                <w:color w:val="1A2633"/>
                <w:sz w:val="18"/>
                <w:szCs w:val="18"/>
              </w:rPr>
              <w:t xml:space="preserve">Redesign admission processes to completely decouple bundled consent. Deploy digital consent management with itemized notices in multiple languages, using Aadhaar OTP or Video KYC for parental identity verification.</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1E7E5E"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0FBF6" w:val="clear"/>
            <w:tcMar>
              <w:top w:type="dxa" w:w="120"/>
              <w:left w:type="dxa" w:w="180"/>
              <w:bottom w:type="dxa" w:w="120"/>
              <w:right w:type="dxa" w:w="180"/>
            </w:tcMar>
          </w:tcPr>
          <w:p>
            <w:pPr>
              <w:spacing w:after="80"/>
            </w:pPr>
            <w:r>
              <w:rPr>
                <w:rFonts w:ascii="Arial" w:cs="Arial" w:eastAsia="Arial" w:hAnsi="Arial"/>
                <w:b/>
                <w:bCs/>
                <w:color w:val="2F4156"/>
                <w:sz w:val="19"/>
                <w:szCs w:val="19"/>
              </w:rPr>
              <w:t xml:space="preserve">Step 3: Migrate to an Integrated School Management System</w:t>
            </w:r>
          </w:p>
          <w:p>
            <w:pPr>
              <w:spacing w:after="0"/>
              <w:jc w:val="both"/>
            </w:pPr>
            <w:r>
              <w:rPr>
                <w:rFonts w:ascii="Arial" w:cs="Arial" w:eastAsia="Arial" w:hAnsi="Arial"/>
                <w:color w:val="1A2633"/>
                <w:sz w:val="18"/>
                <w:szCs w:val="18"/>
              </w:rPr>
              <w:t xml:space="preserve">All communication, fee processing, and academic tracking must be centralized in a secure, role-based access controlled (RBAC) platform with automated audit logs and DPDP-compliant data processing agreements.</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438"/>
      </w:tblGrid>
      <w:tr>
        <w:tc>
          <w:tcPr>
            <w:tcW w:type="dxa" w:w="200"/>
            <w:tcBorders>
              <w:top w:val="none" w:color="FFFFFF" w:sz="0"/>
              <w:left w:val="none" w:color="FFFFFF" w:sz="0"/>
              <w:bottom w:val="none" w:color="FFFFFF" w:sz="0"/>
              <w:right w:val="none" w:color="FFFFFF" w:sz="0"/>
            </w:tcBorders>
            <w:shd w:fill="1E7E5E" w:val="clear"/>
            <w:tcMar>
              <w:top w:type="dxa" w:w="0"/>
              <w:left w:type="dxa" w:w="0"/>
              <w:bottom w:type="dxa" w:w="0"/>
              <w:right w:type="dxa" w:w="0"/>
            </w:tcMar>
          </w:tcPr>
          <w:p/>
        </w:tc>
        <w:tc>
          <w:tcPr>
            <w:tcW w:type="dxa" w:w="9438"/>
            <w:tcBorders>
              <w:top w:val="none" w:color="FFFFFF" w:sz="0"/>
              <w:left w:val="none" w:color="FFFFFF" w:sz="0"/>
              <w:bottom w:val="none" w:color="FFFFFF" w:sz="0"/>
              <w:right w:val="none" w:color="FFFFFF" w:sz="0"/>
            </w:tcBorders>
            <w:shd w:fill="F0FBF6" w:val="clear"/>
            <w:tcMar>
              <w:top w:type="dxa" w:w="120"/>
              <w:left w:type="dxa" w:w="180"/>
              <w:bottom w:type="dxa" w:w="120"/>
              <w:right w:type="dxa" w:w="180"/>
            </w:tcMar>
          </w:tcPr>
          <w:p>
            <w:pPr>
              <w:spacing w:after="80"/>
            </w:pPr>
            <w:r>
              <w:rPr>
                <w:rFonts w:ascii="Arial" w:cs="Arial" w:eastAsia="Arial" w:hAnsi="Arial"/>
                <w:b/>
                <w:bCs/>
                <w:color w:val="2F4156"/>
                <w:sz w:val="19"/>
                <w:szCs w:val="19"/>
              </w:rPr>
              <w:t xml:space="preserve">Step 4: Appoint a Consent Compliance Officer</w:t>
            </w:r>
          </w:p>
          <w:p>
            <w:pPr>
              <w:spacing w:after="0"/>
              <w:jc w:val="both"/>
            </w:pPr>
            <w:r>
              <w:rPr>
                <w:rFonts w:ascii="Arial" w:cs="Arial" w:eastAsia="Arial" w:hAnsi="Arial"/>
                <w:color w:val="1A2633"/>
                <w:sz w:val="18"/>
                <w:szCs w:val="18"/>
              </w:rPr>
              <w:t xml:space="preserve">Designate an internal officer or contract DPO-as-a-Service to oversee grievance redressal, manage breach notifications, and enforce ongoing privacy training for all staff.</w:t>
            </w:r>
          </w:p>
        </w:tc>
      </w:tr>
    </w:tbl>
    <w:p>
      <w:pPr>
        <w:spacing w:after="0" w:before="8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F4156" w:val="clear"/>
            <w:tcMar>
              <w:top w:type="dxa" w:w="360"/>
              <w:left w:type="dxa" w:w="360"/>
              <w:bottom w:type="dxa" w:w="360"/>
              <w:right w:type="dxa" w:w="360"/>
            </w:tcMar>
          </w:tcPr>
          <w:p>
            <w:pPr>
              <w:spacing w:after="60"/>
              <w:jc w:val="center"/>
            </w:pPr>
            <w:r>
              <w:rPr>
                <w:rFonts w:ascii="Arial" w:cs="Arial" w:eastAsia="Arial" w:hAnsi="Arial"/>
                <w:b/>
                <w:bCs/>
                <w:color w:val="C8D9E6"/>
                <w:sz w:val="16"/>
                <w:szCs w:val="16"/>
              </w:rPr>
              <w:t xml:space="preserve">INTRODUCING</w:t>
            </w:r>
          </w:p>
          <w:p>
            <w:pPr>
              <w:spacing w:after="80"/>
              <w:jc w:val="center"/>
            </w:pPr>
            <w:r>
              <w:rPr>
                <w:rFonts w:ascii="Arial" w:cs="Arial" w:eastAsia="Arial" w:hAnsi="Arial"/>
                <w:b/>
                <w:bCs/>
                <w:color w:val="FFFFFF"/>
                <w:sz w:val="52"/>
                <w:szCs w:val="52"/>
              </w:rPr>
              <w:t xml:space="preserve">WHITEROOM</w:t>
            </w:r>
          </w:p>
          <w:p>
            <w:pPr>
              <w:spacing w:after="40"/>
              <w:jc w:val="center"/>
            </w:pPr>
            <w:r>
              <w:rPr>
                <w:rFonts w:ascii="Arial" w:cs="Arial" w:eastAsia="Arial" w:hAnsi="Arial"/>
                <w:color w:val="C8D9E6"/>
                <w:sz w:val="20"/>
                <w:szCs w:val="20"/>
              </w:rPr>
              <w:t xml:space="preserve">India's only privacy-first school management platform</w:t>
            </w:r>
          </w:p>
          <w:p>
            <w:pPr>
              <w:spacing w:after="200"/>
              <w:jc w:val="center"/>
            </w:pPr>
            <w:r>
              <w:rPr>
                <w:rFonts w:ascii="Arial" w:cs="Arial" w:eastAsia="Arial" w:hAnsi="Arial"/>
                <w:color w:val="C8D9E6"/>
                <w:sz w:val="20"/>
                <w:szCs w:val="20"/>
              </w:rPr>
              <w:t xml:space="preserve">built ground-up for DPDP Act 2023 compliance.</w:t>
            </w:r>
          </w:p>
          <w:p>
            <w:pPr>
              <w:spacing w:after="60"/>
              <w:jc w:val="center"/>
            </w:pPr>
            <w:r>
              <w:rPr>
                <w:rFonts w:ascii="Arial" w:cs="Arial" w:eastAsia="Arial" w:hAnsi="Arial"/>
                <w:color w:val="FFFFFF"/>
                <w:sz w:val="18"/>
                <w:szCs w:val="18"/>
              </w:rPr>
              <w:t xml:space="preserve">✓  DPDP-logged verifiable parental consent (Aadhaar OTP)</w:t>
            </w:r>
          </w:p>
          <w:p>
            <w:pPr>
              <w:spacing w:after="60"/>
              <w:jc w:val="center"/>
            </w:pPr>
            <w:r>
              <w:rPr>
                <w:rFonts w:ascii="Arial" w:cs="Arial" w:eastAsia="Arial" w:hAnsi="Arial"/>
                <w:color w:val="FFFFFF"/>
                <w:sz w:val="18"/>
                <w:szCs w:val="18"/>
              </w:rPr>
              <w:t xml:space="preserve">✓  Attendance with T+0 / T+5 / T+60 FCM push notifications</w:t>
            </w:r>
          </w:p>
          <w:p>
            <w:pPr>
              <w:spacing w:after="60"/>
              <w:jc w:val="center"/>
            </w:pPr>
            <w:r>
              <w:rPr>
                <w:rFonts w:ascii="Arial" w:cs="Arial" w:eastAsia="Arial" w:hAnsi="Arial"/>
                <w:color w:val="FFFFFF"/>
                <w:sz w:val="18"/>
                <w:szCs w:val="18"/>
              </w:rPr>
              <w:t xml:space="preserve">✓  One-to-one parent communication — zero peer data exposure</w:t>
            </w:r>
          </w:p>
          <w:p>
            <w:pPr>
              <w:spacing w:after="60"/>
              <w:jc w:val="center"/>
            </w:pPr>
            <w:r>
              <w:rPr>
                <w:rFonts w:ascii="Arial" w:cs="Arial" w:eastAsia="Arial" w:hAnsi="Arial"/>
                <w:color w:val="FFFFFF"/>
                <w:sz w:val="18"/>
                <w:szCs w:val="18"/>
              </w:rPr>
              <w:t xml:space="preserve">✓  Complete audit trails and role-based access control</w:t>
            </w:r>
          </w:p>
          <w:p>
            <w:pPr>
              <w:spacing w:after="60"/>
              <w:jc w:val="center"/>
            </w:pPr>
            <w:r>
              <w:rPr>
                <w:rFonts w:ascii="Arial" w:cs="Arial" w:eastAsia="Arial" w:hAnsi="Arial"/>
                <w:color w:val="FFFFFF"/>
                <w:sz w:val="18"/>
                <w:szCs w:val="18"/>
              </w:rPr>
              <w:t xml:space="preserve">✓  Data erasure workflows honoring Section 8(7) rights</w:t>
            </w:r>
          </w:p>
          <w:p>
            <w:pPr>
              <w:spacing w:after="60"/>
              <w:jc w:val="center"/>
            </w:pPr>
            <w:r>
              <w:rPr>
                <w:rFonts w:ascii="Arial" w:cs="Arial" w:eastAsia="Arial" w:hAnsi="Arial"/>
                <w:color w:val="FFFFFF"/>
                <w:sz w:val="18"/>
                <w:szCs w:val="18"/>
              </w:rPr>
              <w:t xml:space="preserve">✓  72-hour breach detection and reporting infrastructure</w:t>
            </w:r>
          </w:p>
          <w:p>
            <w:pPr>
              <w:spacing w:after="60"/>
              <w:jc w:val="center"/>
            </w:pPr>
            <w:r>
              <w:rPr>
                <w:rFonts w:ascii="Arial" w:cs="Arial" w:eastAsia="Arial" w:hAnsi="Arial"/>
                <w:color w:val="FFFFFF"/>
                <w:sz w:val="18"/>
                <w:szCs w:val="18"/>
              </w:rPr>
              <w:t xml:space="preserve">✓  Multi-tenant architecture with Row Level Security</w:t>
            </w:r>
          </w:p>
          <w:p>
            <w:pPr>
              <w:spacing w:after="0"/>
            </w:pP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567C8D" w:sz="4"/>
              <w:left w:val="none" w:color="FFFFFF" w:sz="0"/>
              <w:bottom w:val="none" w:color="FFFFFF" w:sz="0"/>
              <w:right w:val="none" w:color="FFFFFF" w:sz="0"/>
            </w:tcBorders>
            <w:shd w:fill="1A2633" w:val="clear"/>
            <w:tcMar>
              <w:top w:type="dxa" w:w="180"/>
              <w:left w:type="dxa" w:w="180"/>
              <w:bottom w:type="dxa" w:w="180"/>
              <w:right w:type="dxa" w:w="180"/>
            </w:tcMar>
            <w:vAlign w:val="center"/>
          </w:tcPr>
          <w:p>
            <w:pPr>
              <w:spacing w:after="60"/>
              <w:jc w:val="center"/>
            </w:pPr>
            <w:r>
              <w:rPr>
                <w:rFonts w:ascii="Arial" w:cs="Arial" w:eastAsia="Arial" w:hAnsi="Arial"/>
                <w:b/>
                <w:bCs/>
                <w:color w:val="FFFFFF"/>
                <w:sz w:val="38"/>
                <w:szCs w:val="38"/>
              </w:rPr>
              <w:t xml:space="preserve">5,300+</w:t>
            </w:r>
          </w:p>
          <w:p>
            <w:pPr>
              <w:spacing w:after="0"/>
              <w:jc w:val="center"/>
            </w:pPr>
            <w:r>
              <w:rPr>
                <w:rFonts w:ascii="Arial" w:cs="Arial" w:eastAsia="Arial" w:hAnsi="Arial"/>
                <w:color w:val="C8D9E6"/>
                <w:sz w:val="16"/>
                <w:szCs w:val="16"/>
              </w:rPr>
              <w:t xml:space="preserve">Students Pre-Booked</w:t>
            </w:r>
          </w:p>
        </w:tc>
        <w:tc>
          <w:tcPr>
            <w:tcW w:type="dxa" w:w="3212"/>
            <w:tcBorders>
              <w:top w:val="single" w:color="567C8D" w:sz="4"/>
              <w:left w:val="none" w:color="FFFFFF" w:sz="0"/>
              <w:bottom w:val="none" w:color="FFFFFF" w:sz="0"/>
              <w:right w:val="none" w:color="FFFFFF" w:sz="0"/>
            </w:tcBorders>
            <w:shd w:fill="1A2633" w:val="clear"/>
            <w:tcMar>
              <w:top w:type="dxa" w:w="180"/>
              <w:left w:type="dxa" w:w="180"/>
              <w:bottom w:type="dxa" w:w="180"/>
              <w:right w:type="dxa" w:w="180"/>
            </w:tcMar>
            <w:vAlign w:val="center"/>
          </w:tcPr>
          <w:p>
            <w:pPr>
              <w:spacing w:after="60"/>
              <w:jc w:val="center"/>
            </w:pPr>
            <w:r>
              <w:rPr>
                <w:rFonts w:ascii="Arial" w:cs="Arial" w:eastAsia="Arial" w:hAnsi="Arial"/>
                <w:b/>
                <w:bCs/>
                <w:color w:val="FFFFFF"/>
                <w:sz w:val="38"/>
                <w:szCs w:val="38"/>
              </w:rPr>
              <w:t xml:space="preserve">5</w:t>
            </w:r>
          </w:p>
          <w:p>
            <w:pPr>
              <w:spacing w:after="0"/>
              <w:jc w:val="center"/>
            </w:pPr>
            <w:r>
              <w:rPr>
                <w:rFonts w:ascii="Arial" w:cs="Arial" w:eastAsia="Arial" w:hAnsi="Arial"/>
                <w:color w:val="C8D9E6"/>
                <w:sz w:val="16"/>
                <w:szCs w:val="16"/>
              </w:rPr>
              <w:t xml:space="preserve">Pilot Institutions</w:t>
            </w:r>
          </w:p>
        </w:tc>
        <w:tc>
          <w:tcPr>
            <w:tcW w:type="dxa" w:w="3212"/>
            <w:tcBorders>
              <w:top w:val="single" w:color="567C8D" w:sz="4"/>
              <w:left w:val="none" w:color="FFFFFF" w:sz="0"/>
              <w:bottom w:val="none" w:color="FFFFFF" w:sz="0"/>
              <w:right w:val="none" w:color="FFFFFF" w:sz="0"/>
            </w:tcBorders>
            <w:shd w:fill="1A2633" w:val="clear"/>
            <w:tcMar>
              <w:top w:type="dxa" w:w="180"/>
              <w:left w:type="dxa" w:w="180"/>
              <w:bottom w:type="dxa" w:w="180"/>
              <w:right w:type="dxa" w:w="180"/>
            </w:tcMar>
            <w:vAlign w:val="center"/>
          </w:tcPr>
          <w:p>
            <w:pPr>
              <w:spacing w:after="60"/>
              <w:jc w:val="center"/>
            </w:pPr>
            <w:r>
              <w:rPr>
                <w:rFonts w:ascii="Arial" w:cs="Arial" w:eastAsia="Arial" w:hAnsi="Arial"/>
                <w:b/>
                <w:bCs/>
                <w:color w:val="FFFFFF"/>
                <w:sz w:val="38"/>
                <w:szCs w:val="38"/>
              </w:rPr>
              <w:t xml:space="preserve">Aug 2026</w:t>
            </w:r>
          </w:p>
          <w:p>
            <w:pPr>
              <w:spacing w:after="0"/>
              <w:jc w:val="center"/>
            </w:pPr>
            <w:r>
              <w:rPr>
                <w:rFonts w:ascii="Arial" w:cs="Arial" w:eastAsia="Arial" w:hAnsi="Arial"/>
                <w:color w:val="C8D9E6"/>
                <w:sz w:val="16"/>
                <w:szCs w:val="16"/>
              </w:rPr>
              <w:t xml:space="preserve">Pilot Launch</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567C8D" w:val="clear"/>
            <w:tcMar>
              <w:top w:type="dxa" w:w="200"/>
              <w:left w:type="dxa" w:w="360"/>
              <w:bottom w:type="dxa" w:w="200"/>
              <w:right w:type="dxa" w:w="360"/>
            </w:tcMar>
          </w:tcPr>
          <w:p>
            <w:pPr>
              <w:spacing w:after="60"/>
              <w:jc w:val="center"/>
            </w:pPr>
            <w:r>
              <w:rPr>
                <w:rFonts w:ascii="Arial" w:cs="Arial" w:eastAsia="Arial" w:hAnsi="Arial"/>
                <w:b/>
                <w:bCs/>
                <w:color w:val="FFFFFF"/>
                <w:sz w:val="28"/>
                <w:szCs w:val="28"/>
              </w:rPr>
              <w:t xml:space="preserve">Schedule a Demo</w:t>
            </w:r>
          </w:p>
          <w:p>
            <w:pPr>
              <w:spacing w:after="0"/>
              <w:jc w:val="center"/>
            </w:pPr>
            <w:r>
              <w:rPr>
                <w:rFonts w:ascii="Arial" w:cs="Arial" w:eastAsia="Arial" w:hAnsi="Arial"/>
                <w:color w:val="FFFFFF"/>
                <w:sz w:val="20"/>
                <w:szCs w:val="20"/>
              </w:rPr>
              <w:t xml:space="preserve">whiteroom.co.in</w:t>
            </w:r>
          </w:p>
        </w:tc>
      </w:tr>
    </w:tbl>
    <w:p>
      <w:pPr>
        <w:spacing w:after="0" w:before="120"/>
      </w:pPr>
    </w:p>
    <w:p>
      <w:pPr>
        <w:spacing w:after="0"/>
        <w:jc w:val="center"/>
      </w:pPr>
      <w:r>
        <w:rPr>
          <w:rFonts w:ascii="Arial" w:cs="Arial" w:eastAsia="Arial" w:hAnsi="Arial"/>
          <w:i/>
          <w:iCs/>
          <w:color w:val="8A9BAB"/>
          <w:sz w:val="15"/>
          <w:szCs w:val="15"/>
        </w:rPr>
        <w:t xml:space="preserve">This report is prepared for educational purposes. Penalty figures sourced from DPDP Act 2023 and DPDP Rules 2025.  © 2026 Whiteroom.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8EF" w:sz="4" w:space="4"/>
      </w:pBdr>
      <w:jc w:val="center"/>
    </w:pPr>
    <w:r>
      <w:rPr>
        <w:rFonts w:ascii="Arial" w:cs="Arial" w:eastAsia="Arial" w:hAnsi="Arial"/>
        <w:i/>
        <w:iCs/>
        <w:color w:val="8A9BAB"/>
        <w:sz w:val="14"/>
        <w:szCs w:val="14"/>
      </w:rPr>
      <w:t xml:space="preserve">CONFIDENTIAL · For school leadership and compliance officers · whiteroom.co.in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8EF" w:sz="6" w:space="4"/>
      </w:pBdr>
      <w:tabs>
        <w:tab w:val="right" w:pos="9026"/>
      </w:tabs>
    </w:pPr>
    <w:r>
      <w:rPr>
        <w:rFonts w:ascii="Arial" w:cs="Arial" w:eastAsia="Arial" w:hAnsi="Arial"/>
        <w:b/>
        <w:bCs/>
        <w:color w:val="567C8D"/>
        <w:sz w:val="15"/>
        <w:szCs w:val="15"/>
      </w:rPr>
      <w:t xml:space="preserve">WHITEROOM  ·  DPDP COMPLIANCE REPORT</w:t>
    </w:r>
    <w:r>
      <w:rPr>
        <w:rFonts w:ascii="Arial" w:cs="Arial" w:eastAsia="Arial" w:hAnsi="Arial"/>
      </w:rPr>
      <w:t xml:space="preserve">	</w:t>
    </w:r>
    <w:r>
      <w:rPr>
        <w:rFonts w:ascii="Arial" w:cs="Arial" w:eastAsia="Arial" w:hAnsi="Arial"/>
        <w:color w:val="8A9BAB"/>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6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2F415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F41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2026-06-26T06:07:14.298Z</dcterms:created>
  <dcterms:modified xsi:type="dcterms:W3CDTF">2026-06-26T06:07:14.298Z</dcterms:modified>
</cp:coreProperties>
</file>

<file path=docProps/custom.xml><?xml version="1.0" encoding="utf-8"?>
<Properties xmlns="http://schemas.openxmlformats.org/officeDocument/2006/custom-properties" xmlns:vt="http://schemas.openxmlformats.org/officeDocument/2006/docPropsVTypes"/>
</file>