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onsolas" w:hAnsi="Consolas"/>
          <w:b/>
          <w:i w:val="0"/>
          <w:color w:val="1D4ED8"/>
          <w:sz w:val="17"/>
        </w:rPr>
        <w:t>DEMO SCRIPT · WORK DOCUMENT</w:t>
      </w:r>
    </w:p>
    <w:p>
      <w:pPr>
        <w:spacing w:before="40" w:after="160"/>
      </w:pPr>
      <w:r>
        <w:rPr>
          <w:rFonts w:ascii="Calibri" w:hAnsi="Calibri"/>
          <w:b/>
          <w:i w:val="0"/>
          <w:color w:val="101828"/>
          <w:sz w:val="44"/>
        </w:rPr>
        <w:t>RADONaix Assure+ — Guided Walkthrough</w:t>
      </w:r>
    </w:p>
    <w:p>
      <w:pPr>
        <w:spacing w:before="0" w:after="200"/>
      </w:pPr>
      <w:r>
        <w:rPr>
          <w:rFonts w:ascii="Calibri" w:hAnsi="Calibri"/>
          <w:b w:val="0"/>
          <w:i w:val="0"/>
          <w:color w:val="475067"/>
          <w:sz w:val="22"/>
        </w:rPr>
        <w:t>A ten-minute demo that follows one delinquent customer and the agent collecting on her, touching every module. Every figure in this document is pulled from the platform's single dataset, so the numbers reconcile from screen to screen — that consistency is itself part of the story.</w:t>
      </w:r>
    </w:p>
    <w:p>
      <w:pPr>
        <w:spacing w:before="0" w:after="80"/>
      </w:pPr>
      <w:r>
        <w:rPr>
          <w:rFonts w:ascii="Calibri" w:hAnsi="Calibri"/>
          <w:b w:val="0"/>
          <w:i w:val="0"/>
          <w:color w:val="667085"/>
          <w:sz w:val="18"/>
        </w:rPr>
        <w:t xml:space="preserve">Product </w:t>
      </w:r>
      <w:r>
        <w:rPr>
          <w:rFonts w:ascii="Consolas" w:hAnsi="Consolas"/>
          <w:b/>
          <w:i w:val="0"/>
          <w:color w:val="101828"/>
          <w:sz w:val="18"/>
        </w:rPr>
        <w:t>RADONaix Assure+</w:t>
      </w:r>
      <w:r>
        <w:rPr>
          <w:rFonts w:ascii="Calibri" w:hAnsi="Calibri"/>
          <w:b w:val="0"/>
          <w:i w:val="0"/>
          <w:color w:val="667085"/>
          <w:sz w:val="18"/>
        </w:rPr>
        <w:t xml:space="preserve">      Domain </w:t>
      </w:r>
      <w:r>
        <w:rPr>
          <w:rFonts w:ascii="Consolas" w:hAnsi="Consolas"/>
          <w:b/>
          <w:i w:val="0"/>
          <w:color w:val="101828"/>
          <w:sz w:val="18"/>
        </w:rPr>
        <w:t>Telecom Collections</w:t>
      </w:r>
      <w:r>
        <w:rPr>
          <w:rFonts w:ascii="Calibri" w:hAnsi="Calibri"/>
          <w:b w:val="0"/>
          <w:i w:val="0"/>
          <w:color w:val="667085"/>
          <w:sz w:val="18"/>
        </w:rPr>
        <w:t xml:space="preserve">      Book </w:t>
      </w:r>
      <w:r>
        <w:rPr>
          <w:rFonts w:ascii="Consolas" w:hAnsi="Consolas"/>
          <w:b/>
          <w:i w:val="0"/>
          <w:color w:val="101828"/>
          <w:sz w:val="18"/>
        </w:rPr>
        <w:t>480 accounts · $3.85M</w:t>
      </w:r>
      <w:r>
        <w:rPr>
          <w:rFonts w:ascii="Calibri" w:hAnsi="Calibri"/>
          <w:b w:val="0"/>
          <w:i w:val="0"/>
          <w:color w:val="667085"/>
          <w:sz w:val="18"/>
        </w:rPr>
        <w:t xml:space="preserve">      Runtime </w:t>
      </w:r>
      <w:r>
        <w:rPr>
          <w:rFonts w:ascii="Consolas" w:hAnsi="Consolas"/>
          <w:b/>
          <w:i w:val="0"/>
          <w:color w:val="101828"/>
          <w:sz w:val="18"/>
        </w:rPr>
        <w:t>~10 min</w:t>
      </w:r>
    </w:p>
    <w:p>
      <w:pPr>
        <w:spacing w:before="280" w:after="40"/>
      </w:pPr>
      <w:r>
        <w:rPr>
          <w:rFonts w:ascii="Consolas" w:hAnsi="Consolas"/>
          <w:b/>
          <w:i w:val="0"/>
          <w:color w:val="1D4ED8"/>
          <w:sz w:val="17"/>
        </w:rPr>
        <w:t>CAST</w:t>
      </w:r>
    </w:p>
    <w:p>
      <w:pPr>
        <w:spacing w:before="320" w:after="60"/>
        <w:pBdr>
          <w:bottom w:val="single" w:sz="8" w:space="6" w:color="E4E9F1"/>
        </w:pBdr>
      </w:pPr>
      <w:r>
        <w:rPr>
          <w:rFonts w:ascii="Calibri" w:hAnsi="Calibri"/>
          <w:b/>
          <w:i w:val="0"/>
          <w:color w:val="101828"/>
          <w:sz w:val="30"/>
        </w:rPr>
        <w:t>Two people, one thread</w:t>
      </w:r>
    </w:p>
    <w:p>
      <w:pPr>
        <w:spacing w:before="0" w:after="120"/>
      </w:pPr>
      <w:r>
        <w:rPr>
          <w:rFonts w:ascii="Calibri" w:hAnsi="Calibri"/>
          <w:b w:val="0"/>
          <w:i w:val="0"/>
          <w:color w:val="101828"/>
          <w:sz w:val="21"/>
        </w:rPr>
        <w:t>The demo works because the customer and the agent are connected in the data — she is one of his cases.</w:t>
      </w:r>
    </w:p>
    <w:tbl>
      <w:tblPr>
        <w:tblW w:type="auto" w:w="0"/>
        <w:jc w:val="center"/>
        <w:tblLayout w:type="autofit"/>
        <w:tblLook w:firstColumn="1" w:firstRow="1" w:lastColumn="0" w:lastRow="0" w:noHBand="0" w:noVBand="1" w:val="04A0"/>
      </w:tblPr>
      <w:tblGrid>
        <w:gridCol w:w="4752"/>
        <w:gridCol w:w="4752"/>
      </w:tblGrid>
      <w:tr>
        <w:tc>
          <w:tcPr>
            <w:tcW w:type="dxa" w:w="4752"/>
            <w:shd w:val="clear" w:fill="F1F4F9"/>
          </w:tcPr>
          <w:p>
            <w:pPr>
              <w:spacing w:after="40"/>
            </w:pPr>
            <w:r>
              <w:rPr>
                <w:rFonts w:ascii="Consolas" w:hAnsi="Consolas"/>
                <w:b/>
                <w:i w:val="0"/>
                <w:color w:val="667085"/>
                <w:sz w:val="16"/>
              </w:rPr>
              <w:t>THE CUSTOMER</w:t>
            </w:r>
          </w:p>
          <w:p>
            <w:pPr>
              <w:spacing w:after="120"/>
            </w:pPr>
            <w:r>
              <w:rPr>
                <w:rFonts w:ascii="Calibri" w:hAnsi="Calibri"/>
                <w:b/>
                <w:i w:val="0"/>
                <w:color w:val="101828"/>
                <w:sz w:val="26"/>
              </w:rPr>
              <w:t>Aisha Darwish</w:t>
            </w:r>
            <w:r>
              <w:rPr>
                <w:rFonts w:ascii="Consolas" w:hAnsi="Consolas"/>
                <w:b w:val="0"/>
                <w:i w:val="0"/>
                <w:color w:val="667085"/>
                <w:sz w:val="18"/>
              </w:rPr>
              <w:t xml:space="preserve">   CUST-CON-298</w:t>
            </w:r>
          </w:p>
          <w:p>
            <w:pPr>
              <w:spacing w:after="20"/>
            </w:pPr>
            <w:r>
              <w:rPr>
                <w:rFonts w:ascii="Calibri" w:hAnsi="Calibri"/>
                <w:b w:val="0"/>
                <w:i w:val="0"/>
                <w:color w:val="667085"/>
                <w:sz w:val="19"/>
              </w:rPr>
              <w:t xml:space="preserve">Segment   </w:t>
            </w:r>
            <w:r>
              <w:rPr>
                <w:rFonts w:ascii="Consolas" w:hAnsi="Consolas"/>
                <w:b w:val="0"/>
                <w:i w:val="0"/>
                <w:color w:val="101828"/>
                <w:sz w:val="19"/>
              </w:rPr>
              <w:t>Consumer · Device Financing</w:t>
            </w:r>
          </w:p>
          <w:p>
            <w:pPr>
              <w:spacing w:after="20"/>
            </w:pPr>
            <w:r>
              <w:rPr>
                <w:rFonts w:ascii="Calibri" w:hAnsi="Calibri"/>
                <w:b w:val="0"/>
                <w:i w:val="0"/>
                <w:color w:val="667085"/>
                <w:sz w:val="19"/>
              </w:rPr>
              <w:t xml:space="preserve">Outstanding   </w:t>
            </w:r>
            <w:r>
              <w:rPr>
                <w:rFonts w:ascii="Consolas" w:hAnsi="Consolas"/>
                <w:b/>
                <w:i w:val="0"/>
                <w:color w:val="101828"/>
                <w:sz w:val="19"/>
              </w:rPr>
              <w:t>$3,727</w:t>
            </w:r>
          </w:p>
          <w:p>
            <w:pPr>
              <w:spacing w:after="20"/>
            </w:pPr>
            <w:r>
              <w:rPr>
                <w:rFonts w:ascii="Calibri" w:hAnsi="Calibri"/>
                <w:b w:val="0"/>
                <w:i w:val="0"/>
                <w:color w:val="667085"/>
                <w:sz w:val="19"/>
              </w:rPr>
              <w:t xml:space="preserve">Days past due   </w:t>
            </w:r>
            <w:r>
              <w:rPr>
                <w:rFonts w:ascii="Consolas" w:hAnsi="Consolas"/>
                <w:b/>
                <w:i w:val="0"/>
                <w:color w:val="DC2626"/>
                <w:sz w:val="19"/>
              </w:rPr>
              <w:t>194  (90+ DPD)</w:t>
            </w:r>
          </w:p>
          <w:p>
            <w:pPr>
              <w:spacing w:after="20"/>
            </w:pPr>
            <w:r>
              <w:rPr>
                <w:rFonts w:ascii="Calibri" w:hAnsi="Calibri"/>
                <w:b w:val="0"/>
                <w:i w:val="0"/>
                <w:color w:val="667085"/>
                <w:sz w:val="19"/>
              </w:rPr>
              <w:t xml:space="preserve">Risk score   </w:t>
            </w:r>
            <w:r>
              <w:rPr>
                <w:rFonts w:ascii="Consolas" w:hAnsi="Consolas"/>
                <w:b/>
                <w:i w:val="0"/>
                <w:color w:val="DC2626"/>
                <w:sz w:val="19"/>
              </w:rPr>
              <w:t>95 / 100  Critical</w:t>
            </w:r>
          </w:p>
          <w:p>
            <w:pPr>
              <w:spacing w:after="20"/>
            </w:pPr>
            <w:r>
              <w:rPr>
                <w:rFonts w:ascii="Calibri" w:hAnsi="Calibri"/>
                <w:b w:val="0"/>
                <w:i w:val="0"/>
                <w:color w:val="667085"/>
                <w:sz w:val="19"/>
              </w:rPr>
              <w:t xml:space="preserve">Contactability   </w:t>
            </w:r>
            <w:r>
              <w:rPr>
                <w:rFonts w:ascii="Consolas" w:hAnsi="Consolas"/>
                <w:b w:val="0"/>
                <w:i w:val="0"/>
                <w:color w:val="101828"/>
                <w:sz w:val="19"/>
              </w:rPr>
              <w:t>41%</w:t>
            </w:r>
          </w:p>
          <w:p>
            <w:pPr>
              <w:spacing w:after="20"/>
            </w:pPr>
            <w:r>
              <w:rPr>
                <w:rFonts w:ascii="Calibri" w:hAnsi="Calibri"/>
                <w:b w:val="0"/>
                <w:i w:val="0"/>
                <w:color w:val="667085"/>
                <w:sz w:val="19"/>
              </w:rPr>
              <w:t xml:space="preserve">Signals   </w:t>
            </w:r>
            <w:r>
              <w:rPr>
                <w:rFonts w:ascii="Consolas" w:hAnsi="Consolas"/>
                <w:b w:val="0"/>
                <w:i w:val="0"/>
                <w:color w:val="B45309"/>
                <w:sz w:val="19"/>
              </w:rPr>
              <w:t>1 broken PTP · dispute past SLA</w:t>
            </w:r>
          </w:p>
        </w:tc>
        <w:tc>
          <w:tcPr>
            <w:tcW w:type="dxa" w:w="4752"/>
            <w:shd w:val="clear" w:fill="FFFFFF"/>
          </w:tcPr>
          <w:p>
            <w:pPr>
              <w:spacing w:after="40"/>
            </w:pPr>
            <w:r>
              <w:rPr>
                <w:rFonts w:ascii="Consolas" w:hAnsi="Consolas"/>
                <w:b/>
                <w:i w:val="0"/>
                <w:color w:val="667085"/>
                <w:sz w:val="16"/>
              </w:rPr>
              <w:t>THE AGENT</w:t>
            </w:r>
          </w:p>
          <w:p>
            <w:pPr>
              <w:spacing w:after="120"/>
            </w:pPr>
            <w:r>
              <w:rPr>
                <w:rFonts w:ascii="Calibri" w:hAnsi="Calibri"/>
                <w:b/>
                <w:i w:val="0"/>
                <w:color w:val="101828"/>
                <w:sz w:val="26"/>
              </w:rPr>
              <w:t>Robert Kim</w:t>
            </w:r>
            <w:r>
              <w:rPr>
                <w:rFonts w:ascii="Consolas" w:hAnsi="Consolas"/>
                <w:b w:val="0"/>
                <w:i w:val="0"/>
                <w:color w:val="667085"/>
                <w:sz w:val="18"/>
              </w:rPr>
              <w:t xml:space="preserve">   AGENT-005 · Collections</w:t>
            </w:r>
          </w:p>
          <w:p>
            <w:pPr>
              <w:spacing w:after="20"/>
            </w:pPr>
            <w:r>
              <w:rPr>
                <w:rFonts w:ascii="Calibri" w:hAnsi="Calibri"/>
                <w:b w:val="0"/>
                <w:i w:val="0"/>
                <w:color w:val="667085"/>
                <w:sz w:val="19"/>
              </w:rPr>
              <w:t xml:space="preserve">Live cases   </w:t>
            </w:r>
            <w:r>
              <w:rPr>
                <w:rFonts w:ascii="Consolas" w:hAnsi="Consolas"/>
                <w:b w:val="0"/>
                <w:i w:val="0"/>
                <w:color w:val="101828"/>
                <w:sz w:val="19"/>
              </w:rPr>
              <w:t>40 delinquent</w:t>
            </w:r>
          </w:p>
          <w:p>
            <w:pPr>
              <w:spacing w:after="20"/>
            </w:pPr>
            <w:r>
              <w:rPr>
                <w:rFonts w:ascii="Calibri" w:hAnsi="Calibri"/>
                <w:b w:val="0"/>
                <w:i w:val="0"/>
                <w:color w:val="667085"/>
                <w:sz w:val="19"/>
              </w:rPr>
              <w:t xml:space="preserve">Book exposure   </w:t>
            </w:r>
            <w:r>
              <w:rPr>
                <w:rFonts w:ascii="Consolas" w:hAnsi="Consolas"/>
                <w:b/>
                <w:i w:val="0"/>
                <w:color w:val="101828"/>
                <w:sz w:val="19"/>
              </w:rPr>
              <w:t>$494K</w:t>
            </w:r>
          </w:p>
          <w:p>
            <w:pPr>
              <w:spacing w:after="20"/>
            </w:pPr>
            <w:r>
              <w:rPr>
                <w:rFonts w:ascii="Calibri" w:hAnsi="Calibri"/>
                <w:b w:val="0"/>
                <w:i w:val="0"/>
                <w:color w:val="667085"/>
                <w:sz w:val="19"/>
              </w:rPr>
              <w:t xml:space="preserve">Collected (cycle)   </w:t>
            </w:r>
            <w:r>
              <w:rPr>
                <w:rFonts w:ascii="Consolas" w:hAnsi="Consolas"/>
                <w:b w:val="0"/>
                <w:i w:val="0"/>
                <w:color w:val="101828"/>
                <w:sz w:val="19"/>
              </w:rPr>
              <w:t>$53K</w:t>
            </w:r>
          </w:p>
          <w:p>
            <w:pPr>
              <w:spacing w:after="20"/>
            </w:pPr>
            <w:r>
              <w:rPr>
                <w:rFonts w:ascii="Calibri" w:hAnsi="Calibri"/>
                <w:b w:val="0"/>
                <w:i w:val="0"/>
                <w:color w:val="667085"/>
                <w:sz w:val="19"/>
              </w:rPr>
              <w:t xml:space="preserve">PTP kept rate   </w:t>
            </w:r>
            <w:r>
              <w:rPr>
                <w:rFonts w:ascii="Consolas" w:hAnsi="Consolas"/>
                <w:b w:val="0"/>
                <w:i w:val="0"/>
                <w:color w:val="101828"/>
                <w:sz w:val="19"/>
              </w:rPr>
              <w:t>59%  (23 of 39)</w:t>
            </w:r>
          </w:p>
          <w:p>
            <w:pPr>
              <w:spacing w:after="20"/>
            </w:pPr>
            <w:r>
              <w:rPr>
                <w:rFonts w:ascii="Calibri" w:hAnsi="Calibri"/>
                <w:b w:val="0"/>
                <w:i w:val="0"/>
                <w:color w:val="667085"/>
                <w:sz w:val="19"/>
              </w:rPr>
              <w:t xml:space="preserve">Open disputes   </w:t>
            </w:r>
            <w:r>
              <w:rPr>
                <w:rFonts w:ascii="Consolas" w:hAnsi="Consolas"/>
                <w:b w:val="0"/>
                <w:i w:val="0"/>
                <w:color w:val="101828"/>
                <w:sz w:val="19"/>
              </w:rPr>
              <w:t>4</w:t>
            </w:r>
          </w:p>
          <w:p>
            <w:pPr>
              <w:spacing w:after="20"/>
            </w:pPr>
            <w:r>
              <w:rPr>
                <w:rFonts w:ascii="Calibri" w:hAnsi="Calibri"/>
                <w:b w:val="0"/>
                <w:i w:val="0"/>
                <w:color w:val="667085"/>
                <w:sz w:val="19"/>
              </w:rPr>
              <w:t xml:space="preserve">In pre-legal   </w:t>
            </w:r>
            <w:r>
              <w:rPr>
                <w:rFonts w:ascii="Consolas" w:hAnsi="Consolas"/>
                <w:b w:val="0"/>
                <w:i w:val="0"/>
                <w:color w:val="101828"/>
                <w:sz w:val="19"/>
              </w:rPr>
              <w:t>10 accounts</w:t>
            </w:r>
          </w:p>
        </w:tc>
      </w:tr>
    </w:tbl>
    <w:p>
      <w:pPr>
        <w:spacing w:before="160" w:after="120"/>
      </w:pPr>
      <w:r>
        <w:rPr>
          <w:rFonts w:ascii="Calibri" w:hAnsi="Calibri"/>
          <w:b/>
          <w:i w:val="0"/>
          <w:color w:val="1D4ED8"/>
          <w:sz w:val="21"/>
        </w:rPr>
        <w:t xml:space="preserve">The connecting thread:  </w:t>
      </w:r>
      <w:r>
        <w:rPr>
          <w:rFonts w:ascii="Calibri" w:hAnsi="Calibri"/>
          <w:b w:val="0"/>
          <w:i w:val="0"/>
          <w:color w:val="101828"/>
          <w:sz w:val="21"/>
        </w:rPr>
        <w:t>Aisha Darwish is assigned to Robert Kim. When the customer journey ends at her 360° profile, you switch hats — open Robert's book in the Operations Hub and she is right there in his queue. Same person, same $3,727, seen from the collector's side.</w:t>
      </w:r>
    </w:p>
    <w:p>
      <w:pPr>
        <w:spacing w:before="280" w:after="40"/>
      </w:pPr>
      <w:r>
        <w:rPr>
          <w:rFonts w:ascii="Consolas" w:hAnsi="Consolas"/>
          <w:b/>
          <w:i w:val="0"/>
          <w:color w:val="1D4ED8"/>
          <w:sz w:val="17"/>
        </w:rPr>
        <w:t>SETUP</w:t>
      </w:r>
    </w:p>
    <w:p>
      <w:pPr>
        <w:spacing w:before="320" w:after="60"/>
        <w:pBdr>
          <w:bottom w:val="single" w:sz="8" w:space="6" w:color="E4E9F1"/>
        </w:pBdr>
      </w:pPr>
      <w:r>
        <w:rPr>
          <w:rFonts w:ascii="Calibri" w:hAnsi="Calibri"/>
          <w:b/>
          <w:i w:val="0"/>
          <w:color w:val="101828"/>
          <w:sz w:val="30"/>
        </w:rPr>
        <w:t>Before you click</w:t>
      </w:r>
    </w:p>
    <w:p>
      <w:pPr>
        <w:pStyle w:val="ListBullet"/>
        <w:spacing w:after="60"/>
      </w:pPr>
      <w:r>
        <w:rPr>
          <w:rFonts w:ascii="Calibri" w:hAnsi="Calibri"/>
          <w:b/>
          <w:i w:val="0"/>
          <w:color w:val="101828"/>
          <w:sz w:val="21"/>
        </w:rPr>
        <w:t xml:space="preserve">Sign in </w:t>
      </w:r>
      <w:r>
        <w:rPr>
          <w:rFonts w:ascii="Calibri" w:hAnsi="Calibri"/>
          <w:b w:val="0"/>
          <w:i w:val="0"/>
          <w:color w:val="101828"/>
          <w:sz w:val="21"/>
        </w:rPr>
        <w:t xml:space="preserve">as </w:t>
      </w:r>
      <w:r>
        <w:rPr>
          <w:rFonts w:ascii="Consolas" w:hAnsi="Consolas"/>
          <w:b w:val="0"/>
          <w:i w:val="0"/>
          <w:color w:val="101828"/>
          <w:sz w:val="21"/>
        </w:rPr>
        <w:t>admin@gmail.com</w:t>
      </w:r>
      <w:r>
        <w:rPr>
          <w:rFonts w:ascii="Calibri" w:hAnsi="Calibri"/>
          <w:b w:val="0"/>
          <w:i w:val="0"/>
          <w:color w:val="101828"/>
          <w:sz w:val="21"/>
        </w:rPr>
        <w:t xml:space="preserve"> — this account sees every module.</w:t>
      </w:r>
    </w:p>
    <w:p>
      <w:pPr>
        <w:pStyle w:val="ListBullet"/>
        <w:spacing w:after="60"/>
      </w:pPr>
      <w:r>
        <w:rPr>
          <w:rFonts w:ascii="Calibri" w:hAnsi="Calibri"/>
          <w:b/>
          <w:i w:val="0"/>
          <w:color w:val="101828"/>
          <w:sz w:val="21"/>
        </w:rPr>
        <w:t xml:space="preserve">Set the Customer Scope </w:t>
      </w:r>
      <w:r>
        <w:rPr>
          <w:rFonts w:ascii="Calibri" w:hAnsi="Calibri"/>
          <w:b w:val="0"/>
          <w:i w:val="0"/>
          <w:color w:val="101828"/>
          <w:sz w:val="21"/>
        </w:rPr>
        <w:t xml:space="preserve">(top-right of the header) to </w:t>
      </w:r>
      <w:r>
        <w:rPr>
          <w:rFonts w:ascii="Calibri" w:hAnsi="Calibri"/>
          <w:b/>
          <w:i w:val="0"/>
          <w:color w:val="101828"/>
          <w:sz w:val="21"/>
        </w:rPr>
        <w:t>All Customers</w:t>
      </w:r>
      <w:r>
        <w:rPr>
          <w:rFonts w:ascii="Calibri" w:hAnsi="Calibri"/>
          <w:b w:val="0"/>
          <w:i w:val="0"/>
          <w:color w:val="101828"/>
          <w:sz w:val="21"/>
        </w:rPr>
        <w:t xml:space="preserve"> for the portfolio view. Later flip it to </w:t>
      </w:r>
      <w:r>
        <w:rPr>
          <w:rFonts w:ascii="Calibri" w:hAnsi="Calibri"/>
          <w:b/>
          <w:i w:val="0"/>
          <w:color w:val="101828"/>
          <w:sz w:val="21"/>
        </w:rPr>
        <w:t>Enterprise</w:t>
      </w:r>
      <w:r>
        <w:rPr>
          <w:rFonts w:ascii="Calibri" w:hAnsi="Calibri"/>
          <w:b w:val="0"/>
          <w:i w:val="0"/>
          <w:color w:val="101828"/>
          <w:sz w:val="21"/>
        </w:rPr>
        <w:t xml:space="preserve"> to show the whole application re-scope in one click — every screen, Case Management included, forks to business accounts only.</w:t>
      </w:r>
    </w:p>
    <w:p>
      <w:pPr>
        <w:spacing w:before="280" w:after="40"/>
      </w:pPr>
      <w:r>
        <w:rPr>
          <w:rFonts w:ascii="Consolas" w:hAnsi="Consolas"/>
          <w:b/>
          <w:i w:val="0"/>
          <w:color w:val="1D4ED8"/>
          <w:sz w:val="17"/>
        </w:rPr>
        <w:t>PART A</w:t>
      </w:r>
    </w:p>
    <w:p>
      <w:pPr>
        <w:spacing w:before="320" w:after="60"/>
        <w:pBdr>
          <w:bottom w:val="single" w:sz="8" w:space="6" w:color="E4E9F1"/>
        </w:pBdr>
      </w:pPr>
      <w:r>
        <w:rPr>
          <w:rFonts w:ascii="Calibri" w:hAnsi="Calibri"/>
          <w:b/>
          <w:i w:val="0"/>
          <w:color w:val="101828"/>
          <w:sz w:val="30"/>
        </w:rPr>
        <w:t>The customer journey</w:t>
      </w:r>
    </w:p>
    <w:p>
      <w:pPr>
        <w:spacing w:before="0" w:after="120"/>
      </w:pPr>
      <w:r>
        <w:rPr>
          <w:rFonts w:ascii="Calibri" w:hAnsi="Calibri"/>
          <w:b w:val="0"/>
          <w:i w:val="0"/>
          <w:color w:val="667085"/>
          <w:sz w:val="21"/>
        </w:rPr>
        <w:t>Portfolio Pulseboard → Customer Pulseboard. Start wide, end on one account.</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val="clear" w:fill="FFFFFF"/>
          </w:tcPr>
          <w:p>
            <w:pPr>
              <w:spacing w:after="0"/>
            </w:pPr>
            <w:r>
              <w:rPr>
                <w:rFonts w:ascii="Calibri" w:hAnsi="Calibri"/>
                <w:b w:val="0"/>
                <w:i w:val="0"/>
                <w:color w:val="667085"/>
                <w:sz w:val="17"/>
              </w:rPr>
              <w:t>Total Outstanding</w:t>
            </w:r>
          </w:p>
          <w:p>
            <w:pPr>
              <w:spacing w:after="0"/>
            </w:pPr>
            <w:r>
              <w:rPr>
                <w:rFonts w:ascii="Consolas" w:hAnsi="Consolas"/>
                <w:b/>
                <w:i w:val="0"/>
                <w:color w:val="101828"/>
                <w:sz w:val="32"/>
              </w:rPr>
              <w:t>$3.85M</w:t>
            </w:r>
          </w:p>
        </w:tc>
        <w:tc>
          <w:tcPr>
            <w:tcW w:type="dxa" w:w="2376"/>
            <w:shd w:val="clear" w:fill="FBE9E9"/>
          </w:tcPr>
          <w:p>
            <w:pPr>
              <w:spacing w:after="0"/>
            </w:pPr>
            <w:r>
              <w:rPr>
                <w:rFonts w:ascii="Calibri" w:hAnsi="Calibri"/>
                <w:b w:val="0"/>
                <w:i w:val="0"/>
                <w:color w:val="667085"/>
                <w:sz w:val="17"/>
              </w:rPr>
              <w:t>90+ DPD Exposure</w:t>
            </w:r>
          </w:p>
          <w:p>
            <w:pPr>
              <w:spacing w:after="0"/>
            </w:pPr>
            <w:r>
              <w:rPr>
                <w:rFonts w:ascii="Consolas" w:hAnsi="Consolas"/>
                <w:b/>
                <w:i w:val="0"/>
                <w:color w:val="DC2626"/>
                <w:sz w:val="32"/>
              </w:rPr>
              <w:t>$824K</w:t>
            </w:r>
          </w:p>
        </w:tc>
        <w:tc>
          <w:tcPr>
            <w:tcW w:type="dxa" w:w="2376"/>
            <w:shd w:val="clear" w:fill="FFFFFF"/>
          </w:tcPr>
          <w:p>
            <w:pPr>
              <w:spacing w:after="0"/>
            </w:pPr>
            <w:r>
              <w:rPr>
                <w:rFonts w:ascii="Calibri" w:hAnsi="Calibri"/>
                <w:b w:val="0"/>
                <w:i w:val="0"/>
                <w:color w:val="667085"/>
                <w:sz w:val="17"/>
              </w:rPr>
              <w:t>Collected MTD</w:t>
            </w:r>
          </w:p>
          <w:p>
            <w:pPr>
              <w:spacing w:after="0"/>
            </w:pPr>
            <w:r>
              <w:rPr>
                <w:rFonts w:ascii="Consolas" w:hAnsi="Consolas"/>
                <w:b/>
                <w:i w:val="0"/>
                <w:color w:val="101828"/>
                <w:sz w:val="32"/>
              </w:rPr>
              <w:t>$802K</w:t>
            </w:r>
          </w:p>
        </w:tc>
        <w:tc>
          <w:tcPr>
            <w:tcW w:type="dxa" w:w="2376"/>
            <w:shd w:val="clear" w:fill="FFFFFF"/>
          </w:tcPr>
          <w:p>
            <w:pPr>
              <w:spacing w:after="0"/>
            </w:pPr>
            <w:r>
              <w:rPr>
                <w:rFonts w:ascii="Calibri" w:hAnsi="Calibri"/>
                <w:b w:val="0"/>
                <w:i w:val="0"/>
                <w:color w:val="667085"/>
                <w:sz w:val="17"/>
              </w:rPr>
              <w:t>Collection Effectiveness</w:t>
            </w:r>
          </w:p>
          <w:p>
            <w:pPr>
              <w:spacing w:after="0"/>
            </w:pPr>
            <w:r>
              <w:rPr>
                <w:rFonts w:ascii="Consolas" w:hAnsi="Consolas"/>
                <w:b/>
                <w:i w:val="0"/>
                <w:color w:val="101828"/>
                <w:sz w:val="32"/>
              </w:rPr>
              <w:t>84.2%</w:t>
            </w:r>
          </w:p>
        </w:tc>
      </w:tr>
      <w:tr>
        <w:tc>
          <w:tcPr>
            <w:tcW w:type="dxa" w:w="2376"/>
            <w:shd w:val="clear" w:fill="FFFFFF"/>
          </w:tcPr>
          <w:p>
            <w:r>
              <w:rPr>
                <w:rFonts w:ascii="Consolas" w:hAnsi="Consolas"/>
                <w:b w:val="0"/>
                <w:i w:val="0"/>
                <w:color w:val="667085"/>
                <w:sz w:val="16"/>
              </w:rPr>
              <w:t>down 5.3% MoM · 480 accts</w:t>
            </w:r>
          </w:p>
        </w:tc>
        <w:tc>
          <w:tcPr>
            <w:tcW w:type="dxa" w:w="2376"/>
            <w:shd w:val="clear" w:fill="FBE9E9"/>
          </w:tcPr>
          <w:p>
            <w:r>
              <w:rPr>
                <w:rFonts w:ascii="Consolas" w:hAnsi="Consolas"/>
                <w:b w:val="0"/>
                <w:i w:val="0"/>
                <w:color w:val="667085"/>
                <w:sz w:val="16"/>
              </w:rPr>
              <w:t>21.4% of book · 34 accts</w:t>
            </w:r>
          </w:p>
        </w:tc>
        <w:tc>
          <w:tcPr>
            <w:tcW w:type="dxa" w:w="2376"/>
            <w:shd w:val="clear" w:fill="FFFFFF"/>
          </w:tcPr>
          <w:p>
            <w:r>
              <w:rPr>
                <w:rFonts w:ascii="Consolas" w:hAnsi="Consolas"/>
                <w:b w:val="0"/>
                <w:i w:val="0"/>
                <w:color w:val="667085"/>
                <w:sz w:val="16"/>
              </w:rPr>
              <w:t>83.5% of target</w:t>
            </w:r>
          </w:p>
        </w:tc>
        <w:tc>
          <w:tcPr>
            <w:tcW w:type="dxa" w:w="2376"/>
            <w:shd w:val="clear" w:fill="FFFFFF"/>
          </w:tcPr>
          <w:p>
            <w:r>
              <w:rPr>
                <w:rFonts w:ascii="Consolas" w:hAnsi="Consolas"/>
                <w:b w:val="0"/>
                <w:i w:val="0"/>
                <w:color w:val="667085"/>
                <w:sz w:val="16"/>
              </w:rPr>
              <w:t>above 80% = healthy</w:t>
            </w:r>
          </w:p>
        </w:tc>
      </w:tr>
    </w:tbl>
    <w:p>
      <w:pPr>
        <w:spacing w:before="240" w:after="20"/>
      </w:pPr>
      <w:r>
        <w:rPr>
          <w:rFonts w:ascii="Consolas" w:hAnsi="Consolas"/>
          <w:b/>
          <w:i w:val="0"/>
          <w:color w:val="667085"/>
          <w:sz w:val="17"/>
        </w:rPr>
        <w:t>PORTFOLIO PULSEBOARD · PORTFOLIO DASHBOARD</w:t>
      </w:r>
    </w:p>
    <w:p>
      <w:pPr>
        <w:spacing w:before="200" w:after="40"/>
      </w:pPr>
      <w:r>
        <w:rPr>
          <w:rFonts w:ascii="Calibri" w:hAnsi="Calibri"/>
          <w:b/>
          <w:i w:val="0"/>
          <w:color w:val="101828"/>
          <w:sz w:val="23"/>
        </w:rPr>
        <w:t>1.  Open on the headline</w:t>
      </w:r>
    </w:p>
    <w:p>
      <w:pPr>
        <w:pStyle w:val="ListBullet"/>
        <w:spacing w:after="60"/>
      </w:pPr>
      <w:r>
        <w:rPr>
          <w:rFonts w:ascii="Calibri" w:hAnsi="Calibri"/>
          <w:b w:val="0"/>
          <w:i w:val="0"/>
          <w:color w:val="101828"/>
          <w:sz w:val="21"/>
        </w:rPr>
        <w:t xml:space="preserve">Four hero tiles: </w:t>
      </w:r>
      <w:r>
        <w:rPr>
          <w:rFonts w:ascii="Consolas" w:hAnsi="Consolas"/>
          <w:b/>
          <w:i w:val="0"/>
          <w:color w:val="1D4ED8"/>
          <w:sz w:val="21"/>
        </w:rPr>
        <w:t>$3.85M</w:t>
      </w:r>
      <w:r>
        <w:rPr>
          <w:rFonts w:ascii="Calibri" w:hAnsi="Calibri"/>
          <w:b w:val="0"/>
          <w:i w:val="0"/>
          <w:color w:val="101828"/>
          <w:sz w:val="21"/>
        </w:rPr>
        <w:t xml:space="preserve"> outstanding, </w:t>
      </w:r>
      <w:r>
        <w:rPr>
          <w:rFonts w:ascii="Consolas" w:hAnsi="Consolas"/>
          <w:b/>
          <w:i w:val="0"/>
          <w:color w:val="1D4ED8"/>
          <w:sz w:val="21"/>
        </w:rPr>
        <w:t>$824K</w:t>
      </w:r>
      <w:r>
        <w:rPr>
          <w:rFonts w:ascii="Calibri" w:hAnsi="Calibri"/>
          <w:b w:val="0"/>
          <w:i w:val="0"/>
          <w:color w:val="101828"/>
          <w:sz w:val="21"/>
        </w:rPr>
        <w:t xml:space="preserve"> in 90+, </w:t>
      </w:r>
      <w:r>
        <w:rPr>
          <w:rFonts w:ascii="Consolas" w:hAnsi="Consolas"/>
          <w:b/>
          <w:i w:val="0"/>
          <w:color w:val="1D4ED8"/>
          <w:sz w:val="21"/>
        </w:rPr>
        <w:t>$802K</w:t>
      </w:r>
      <w:r>
        <w:rPr>
          <w:rFonts w:ascii="Calibri" w:hAnsi="Calibri"/>
          <w:b w:val="0"/>
          <w:i w:val="0"/>
          <w:color w:val="101828"/>
          <w:sz w:val="21"/>
        </w:rPr>
        <w:t xml:space="preserve"> collected, CEI </w:t>
      </w:r>
      <w:r>
        <w:rPr>
          <w:rFonts w:ascii="Consolas" w:hAnsi="Consolas"/>
          <w:b/>
          <w:i w:val="0"/>
          <w:color w:val="1D4ED8"/>
          <w:sz w:val="21"/>
        </w:rPr>
        <w:t>84.2%</w:t>
      </w:r>
      <w:r>
        <w:rPr>
          <w:rFonts w:ascii="Calibri" w:hAnsi="Calibri"/>
          <w:b w:val="0"/>
          <w:i w:val="0"/>
          <w:color w:val="101828"/>
          <w:sz w:val="21"/>
        </w:rPr>
        <w:t>.</w:t>
      </w:r>
    </w:p>
    <w:p>
      <w:pPr>
        <w:pStyle w:val="ListBullet"/>
        <w:spacing w:after="60"/>
      </w:pPr>
      <w:r>
        <w:rPr>
          <w:rFonts w:ascii="Calibri" w:hAnsi="Calibri"/>
          <w:b w:val="0"/>
          <w:i w:val="0"/>
          <w:color w:val="101828"/>
          <w:sz w:val="21"/>
        </w:rPr>
        <w:t xml:space="preserve">Aging chart: the </w:t>
      </w:r>
      <w:r>
        <w:rPr>
          <w:rFonts w:ascii="Calibri" w:hAnsi="Calibri"/>
          <w:b/>
          <w:i w:val="0"/>
          <w:color w:val="101828"/>
          <w:sz w:val="21"/>
        </w:rPr>
        <w:t>90+ bar is red</w:t>
      </w:r>
      <w:r>
        <w:rPr>
          <w:rFonts w:ascii="Calibri" w:hAnsi="Calibri"/>
          <w:b w:val="0"/>
          <w:i w:val="0"/>
          <w:color w:val="101828"/>
          <w:sz w:val="21"/>
        </w:rPr>
        <w:t xml:space="preserve"> — 21.4% of the money sits in 7.1% of accounts.</w:t>
      </w:r>
    </w:p>
    <w:p>
      <w:pPr>
        <w:pStyle w:val="ListBullet"/>
        <w:spacing w:after="60"/>
      </w:pPr>
      <w:r>
        <w:rPr>
          <w:rFonts w:ascii="Calibri" w:hAnsi="Calibri"/>
          <w:b w:val="0"/>
          <w:i w:val="0"/>
          <w:color w:val="101828"/>
          <w:sz w:val="21"/>
        </w:rPr>
        <w:t xml:space="preserve">Scroll to </w:t>
      </w:r>
      <w:r>
        <w:rPr>
          <w:rFonts w:ascii="Calibri" w:hAnsi="Calibri"/>
          <w:b/>
          <w:i w:val="0"/>
          <w:color w:val="101828"/>
          <w:sz w:val="21"/>
        </w:rPr>
        <w:t>Needs Attention</w:t>
      </w:r>
      <w:r>
        <w:rPr>
          <w:rFonts w:ascii="Calibri" w:hAnsi="Calibri"/>
          <w:b w:val="0"/>
          <w:i w:val="0"/>
          <w:color w:val="101828"/>
          <w:sz w:val="21"/>
        </w:rPr>
        <w:t>: three ranked cohorts, largest first.</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 xml:space="preserve">The book is shrinking and we're ahead of collection pace — but risk is </w:t>
      </w:r>
      <w:r>
        <w:rPr>
          <w:rFonts w:ascii="Calibri" w:hAnsi="Calibri"/>
          <w:b/>
          <w:i w:val="0"/>
          <w:color w:val="475067"/>
          <w:sz w:val="20"/>
        </w:rPr>
        <w:t>concentrating</w:t>
      </w:r>
      <w:r>
        <w:rPr>
          <w:rFonts w:ascii="Calibri" w:hAnsi="Calibri"/>
          <w:b w:val="0"/>
          <w:i w:val="0"/>
          <w:color w:val="475067"/>
          <w:sz w:val="20"/>
        </w:rPr>
        <w:t>. A fifth of the balance is in 90+, held by a handful of accounts. The dashboard hands the collector the three cohorts worth their morning.</w:t>
      </w:r>
    </w:p>
    <w:p>
      <w:pPr>
        <w:spacing w:before="200" w:after="40"/>
      </w:pPr>
      <w:r>
        <w:rPr>
          <w:rFonts w:ascii="Calibri" w:hAnsi="Calibri"/>
          <w:b/>
          <w:i w:val="0"/>
          <w:color w:val="101828"/>
          <w:sz w:val="23"/>
        </w:rPr>
        <w:t>2.  The three priority cohorts</w:t>
      </w:r>
    </w:p>
    <w:p>
      <w:pPr>
        <w:spacing w:before="0" w:after="80"/>
      </w:pPr>
      <w:r>
        <w:rPr>
          <w:rFonts w:ascii="Calibri" w:hAnsi="Calibri"/>
          <w:b w:val="0"/>
          <w:i w:val="0"/>
          <w:color w:val="667085"/>
          <w:sz w:val="20"/>
        </w:rPr>
        <w:t>From Needs Attention — click the top row to deep-link into Risk Analysis. Aisha is in this group.</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val="clear" w:fill="F1F4F9"/>
          </w:tcPr>
          <w:p>
            <w:r>
              <w:rPr>
                <w:rFonts w:ascii="Consolas" w:hAnsi="Consolas"/>
                <w:b/>
                <w:i w:val="0"/>
                <w:color w:val="667085"/>
                <w:sz w:val="16"/>
              </w:rPr>
              <w:t>COHORT</w:t>
            </w:r>
          </w:p>
        </w:tc>
        <w:tc>
          <w:tcPr>
            <w:tcW w:type="dxa" w:w="2376"/>
            <w:shd w:val="clear" w:fill="F1F4F9"/>
          </w:tcPr>
          <w:p>
            <w:r>
              <w:rPr>
                <w:rFonts w:ascii="Consolas" w:hAnsi="Consolas"/>
                <w:b/>
                <w:i w:val="0"/>
                <w:color w:val="667085"/>
                <w:sz w:val="16"/>
              </w:rPr>
              <w:t>VALUE AT RISK</w:t>
            </w:r>
          </w:p>
        </w:tc>
        <w:tc>
          <w:tcPr>
            <w:tcW w:type="dxa" w:w="2376"/>
            <w:shd w:val="clear" w:fill="F1F4F9"/>
          </w:tcPr>
          <w:p>
            <w:r>
              <w:rPr>
                <w:rFonts w:ascii="Consolas" w:hAnsi="Consolas"/>
                <w:b/>
                <w:i w:val="0"/>
                <w:color w:val="667085"/>
                <w:sz w:val="16"/>
              </w:rPr>
              <w:t>ACCOUNTS</w:t>
            </w:r>
          </w:p>
        </w:tc>
        <w:tc>
          <w:tcPr>
            <w:tcW w:type="dxa" w:w="2376"/>
            <w:shd w:val="clear" w:fill="F1F4F9"/>
          </w:tcPr>
          <w:p>
            <w:r>
              <w:rPr>
                <w:rFonts w:ascii="Consolas" w:hAnsi="Consolas"/>
                <w:b/>
                <w:i w:val="0"/>
                <w:color w:val="667085"/>
                <w:sz w:val="16"/>
              </w:rPr>
              <w:t>SEVERITY</w:t>
            </w:r>
          </w:p>
        </w:tc>
      </w:tr>
      <w:tr>
        <w:tc>
          <w:tcPr>
            <w:tcW w:type="dxa" w:w="2376"/>
          </w:tcPr>
          <w:p>
            <w:r>
              <w:rPr>
                <w:rFonts w:ascii="Calibri" w:hAnsi="Calibri"/>
                <w:b/>
                <w:i w:val="0"/>
                <w:color w:val="101828"/>
                <w:sz w:val="20"/>
              </w:rPr>
              <w:t>Aged high-value, no recent contact</w:t>
            </w:r>
          </w:p>
        </w:tc>
        <w:tc>
          <w:tcPr>
            <w:tcW w:type="dxa" w:w="2376"/>
          </w:tcPr>
          <w:p>
            <w:r>
              <w:rPr>
                <w:rFonts w:ascii="Consolas" w:hAnsi="Consolas"/>
                <w:b w:val="0"/>
                <w:i w:val="0"/>
                <w:color w:val="101828"/>
                <w:sz w:val="20"/>
              </w:rPr>
              <w:t>$752K</w:t>
            </w:r>
          </w:p>
        </w:tc>
        <w:tc>
          <w:tcPr>
            <w:tcW w:type="dxa" w:w="2376"/>
          </w:tcPr>
          <w:p>
            <w:r>
              <w:rPr>
                <w:rFonts w:ascii="Consolas" w:hAnsi="Consolas"/>
                <w:b w:val="0"/>
                <w:i w:val="0"/>
                <w:color w:val="101828"/>
                <w:sz w:val="20"/>
              </w:rPr>
              <w:t>21</w:t>
            </w:r>
          </w:p>
        </w:tc>
        <w:tc>
          <w:tcPr>
            <w:tcW w:type="dxa" w:w="2376"/>
          </w:tcPr>
          <w:p>
            <w:r>
              <w:rPr>
                <w:rFonts w:ascii="Calibri" w:hAnsi="Calibri"/>
                <w:b/>
                <w:i w:val="0"/>
                <w:color w:val="DC2626"/>
                <w:sz w:val="20"/>
              </w:rPr>
              <w:t>Critical</w:t>
            </w:r>
          </w:p>
        </w:tc>
      </w:tr>
      <w:tr>
        <w:tc>
          <w:tcPr>
            <w:tcW w:type="dxa" w:w="2376"/>
          </w:tcPr>
          <w:p>
            <w:r>
              <w:rPr>
                <w:rFonts w:ascii="Calibri" w:hAnsi="Calibri"/>
                <w:b/>
                <w:i w:val="0"/>
                <w:color w:val="101828"/>
                <w:sz w:val="20"/>
              </w:rPr>
              <w:t>Broken promises to pay</w:t>
            </w:r>
          </w:p>
        </w:tc>
        <w:tc>
          <w:tcPr>
            <w:tcW w:type="dxa" w:w="2376"/>
          </w:tcPr>
          <w:p>
            <w:r>
              <w:rPr>
                <w:rFonts w:ascii="Consolas" w:hAnsi="Consolas"/>
                <w:b w:val="0"/>
                <w:i w:val="0"/>
                <w:color w:val="101828"/>
                <w:sz w:val="20"/>
              </w:rPr>
              <w:t>$202K</w:t>
            </w:r>
          </w:p>
        </w:tc>
        <w:tc>
          <w:tcPr>
            <w:tcW w:type="dxa" w:w="2376"/>
          </w:tcPr>
          <w:p>
            <w:r>
              <w:rPr>
                <w:rFonts w:ascii="Consolas" w:hAnsi="Consolas"/>
                <w:b w:val="0"/>
                <w:i w:val="0"/>
                <w:color w:val="101828"/>
                <w:sz w:val="20"/>
              </w:rPr>
              <w:t>60</w:t>
            </w:r>
          </w:p>
        </w:tc>
        <w:tc>
          <w:tcPr>
            <w:tcW w:type="dxa" w:w="2376"/>
          </w:tcPr>
          <w:p>
            <w:r>
              <w:rPr>
                <w:rFonts w:ascii="Calibri" w:hAnsi="Calibri"/>
                <w:b/>
                <w:i w:val="0"/>
                <w:color w:val="B45309"/>
                <w:sz w:val="20"/>
              </w:rPr>
              <w:t>Warning</w:t>
            </w:r>
          </w:p>
        </w:tc>
      </w:tr>
      <w:tr>
        <w:tc>
          <w:tcPr>
            <w:tcW w:type="dxa" w:w="2376"/>
          </w:tcPr>
          <w:p>
            <w:r>
              <w:rPr>
                <w:rFonts w:ascii="Calibri" w:hAnsi="Calibri"/>
                <w:b/>
                <w:i w:val="0"/>
                <w:color w:val="101828"/>
                <w:sz w:val="20"/>
              </w:rPr>
              <w:t>Disputes past SLA</w:t>
            </w:r>
          </w:p>
        </w:tc>
        <w:tc>
          <w:tcPr>
            <w:tcW w:type="dxa" w:w="2376"/>
          </w:tcPr>
          <w:p>
            <w:r>
              <w:rPr>
                <w:rFonts w:ascii="Consolas" w:hAnsi="Consolas"/>
                <w:b w:val="0"/>
                <w:i w:val="0"/>
                <w:color w:val="101828"/>
                <w:sz w:val="20"/>
              </w:rPr>
              <w:t>$11K</w:t>
            </w:r>
          </w:p>
        </w:tc>
        <w:tc>
          <w:tcPr>
            <w:tcW w:type="dxa" w:w="2376"/>
          </w:tcPr>
          <w:p>
            <w:r>
              <w:rPr>
                <w:rFonts w:ascii="Consolas" w:hAnsi="Consolas"/>
                <w:b w:val="0"/>
                <w:i w:val="0"/>
                <w:color w:val="101828"/>
                <w:sz w:val="20"/>
              </w:rPr>
              <w:t>9</w:t>
            </w:r>
          </w:p>
        </w:tc>
        <w:tc>
          <w:tcPr>
            <w:tcW w:type="dxa" w:w="2376"/>
          </w:tcPr>
          <w:p>
            <w:r>
              <w:rPr>
                <w:rFonts w:ascii="Calibri" w:hAnsi="Calibri"/>
                <w:b/>
                <w:i w:val="0"/>
                <w:color w:val="B45309"/>
                <w:sz w:val="20"/>
              </w:rPr>
              <w:t>Warning</w:t>
            </w:r>
          </w:p>
        </w:tc>
      </w:tr>
    </w:tbl>
    <w:p>
      <w:pPr>
        <w:spacing w:before="240" w:after="20"/>
      </w:pPr>
      <w:r>
        <w:rPr>
          <w:rFonts w:ascii="Consolas" w:hAnsi="Consolas"/>
          <w:b/>
          <w:i w:val="0"/>
          <w:color w:val="667085"/>
          <w:sz w:val="17"/>
        </w:rPr>
        <w:t>CUSTOMER PULSEBOARD · RISK ANALYSIS</w:t>
      </w:r>
    </w:p>
    <w:p>
      <w:pPr>
        <w:spacing w:before="200" w:after="40"/>
      </w:pPr>
      <w:r>
        <w:rPr>
          <w:rFonts w:ascii="Calibri" w:hAnsi="Calibri"/>
          <w:b/>
          <w:i w:val="0"/>
          <w:color w:val="101828"/>
          <w:sz w:val="23"/>
        </w:rPr>
        <w:t>3.  Score the book, then find her</w:t>
      </w:r>
    </w:p>
    <w:p>
      <w:pPr>
        <w:pStyle w:val="ListBullet"/>
        <w:spacing w:after="60"/>
      </w:pPr>
      <w:r>
        <w:rPr>
          <w:rFonts w:ascii="Calibri" w:hAnsi="Calibri"/>
          <w:b w:val="0"/>
          <w:i w:val="0"/>
          <w:color w:val="101828"/>
          <w:sz w:val="21"/>
        </w:rPr>
        <w:t xml:space="preserve">Four bands — Low / Medium / High / </w:t>
      </w:r>
      <w:r>
        <w:rPr>
          <w:rFonts w:ascii="Calibri" w:hAnsi="Calibri"/>
          <w:b/>
          <w:i w:val="0"/>
          <w:color w:val="101828"/>
          <w:sz w:val="21"/>
        </w:rPr>
        <w:t>Critical</w:t>
      </w:r>
      <w:r>
        <w:rPr>
          <w:rFonts w:ascii="Calibri" w:hAnsi="Calibri"/>
          <w:b w:val="0"/>
          <w:i w:val="0"/>
          <w:color w:val="101828"/>
          <w:sz w:val="21"/>
        </w:rPr>
        <w:t xml:space="preserve"> — each a real count off the 0–100 score.</w:t>
      </w:r>
    </w:p>
    <w:p>
      <w:pPr>
        <w:pStyle w:val="ListBullet"/>
        <w:spacing w:after="60"/>
      </w:pPr>
      <w:r>
        <w:rPr>
          <w:rFonts w:ascii="Calibri" w:hAnsi="Calibri"/>
          <w:b w:val="0"/>
          <w:i w:val="0"/>
          <w:color w:val="101828"/>
          <w:sz w:val="21"/>
        </w:rPr>
        <w:t xml:space="preserve">Search </w:t>
      </w:r>
      <w:r>
        <w:rPr>
          <w:rFonts w:ascii="Calibri" w:hAnsi="Calibri"/>
          <w:b/>
          <w:i w:val="0"/>
          <w:color w:val="101828"/>
          <w:sz w:val="21"/>
        </w:rPr>
        <w:t>Aisha Darwish</w:t>
      </w:r>
      <w:r>
        <w:rPr>
          <w:rFonts w:ascii="Calibri" w:hAnsi="Calibri"/>
          <w:b w:val="0"/>
          <w:i w:val="0"/>
          <w:color w:val="101828"/>
          <w:sz w:val="21"/>
        </w:rPr>
        <w:t xml:space="preserve">: score </w:t>
      </w:r>
      <w:r>
        <w:rPr>
          <w:rFonts w:ascii="Consolas" w:hAnsi="Consolas"/>
          <w:b/>
          <w:i w:val="0"/>
          <w:color w:val="1D4ED8"/>
          <w:sz w:val="21"/>
        </w:rPr>
        <w:t>95/100</w:t>
      </w:r>
      <w:r>
        <w:rPr>
          <w:rFonts w:ascii="Calibri" w:hAnsi="Calibri"/>
          <w:b w:val="0"/>
          <w:i w:val="0"/>
          <w:color w:val="101828"/>
          <w:sz w:val="21"/>
        </w:rPr>
        <w:t>, bar deep red.</w:t>
      </w:r>
    </w:p>
    <w:p>
      <w:pPr>
        <w:pStyle w:val="ListBullet"/>
        <w:spacing w:after="60"/>
      </w:pPr>
      <w:r>
        <w:rPr>
          <w:rFonts w:ascii="Calibri" w:hAnsi="Calibri"/>
          <w:b w:val="0"/>
          <w:i w:val="0"/>
          <w:color w:val="101828"/>
          <w:sz w:val="21"/>
        </w:rPr>
        <w:t xml:space="preserve">Detail panel lists her </w:t>
      </w:r>
      <w:r>
        <w:rPr>
          <w:rFonts w:ascii="Calibri" w:hAnsi="Calibri"/>
          <w:b/>
          <w:i w:val="0"/>
          <w:color w:val="101828"/>
          <w:sz w:val="21"/>
        </w:rPr>
        <w:t>ranked risk drivers</w:t>
      </w:r>
      <w:r>
        <w:rPr>
          <w:rFonts w:ascii="Calibri" w:hAnsi="Calibri"/>
          <w:b w:val="0"/>
          <w:i w:val="0"/>
          <w:color w:val="101828"/>
          <w:sz w:val="21"/>
        </w:rPr>
        <w:t>, biggest contribution first.</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One scale, end to end. Her 95 isn't a label someone typed — it's built from 194 days past due, 41% contactability, a broken promise, and an open dispute.</w:t>
      </w:r>
    </w:p>
    <w:p>
      <w:pPr>
        <w:spacing w:before="240" w:after="20"/>
      </w:pPr>
      <w:r>
        <w:rPr>
          <w:rFonts w:ascii="Consolas" w:hAnsi="Consolas"/>
          <w:b/>
          <w:i w:val="0"/>
          <w:color w:val="667085"/>
          <w:sz w:val="17"/>
        </w:rPr>
        <w:t>CUSTOMER PULSEBOARD · RISK GRID ANALYTICS</w:t>
      </w:r>
    </w:p>
    <w:p>
      <w:pPr>
        <w:spacing w:before="200" w:after="40"/>
      </w:pPr>
      <w:r>
        <w:rPr>
          <w:rFonts w:ascii="Calibri" w:hAnsi="Calibri"/>
          <w:b/>
          <w:i w:val="0"/>
          <w:color w:val="101828"/>
          <w:sz w:val="23"/>
        </w:rPr>
        <w:t>4.  Where she sits on the grid</w:t>
      </w:r>
    </w:p>
    <w:p>
      <w:pPr>
        <w:pStyle w:val="ListBullet"/>
        <w:spacing w:after="60"/>
      </w:pPr>
      <w:r>
        <w:rPr>
          <w:rFonts w:ascii="Calibri" w:hAnsi="Calibri"/>
          <w:b w:val="0"/>
          <w:i w:val="0"/>
          <w:color w:val="101828"/>
          <w:sz w:val="21"/>
        </w:rPr>
        <w:t xml:space="preserve">Aging × risk heatmap; cell intensity = exposure. Aisha lands in the </w:t>
      </w:r>
      <w:r>
        <w:rPr>
          <w:rFonts w:ascii="Calibri" w:hAnsi="Calibri"/>
          <w:b/>
          <w:i w:val="0"/>
          <w:color w:val="101828"/>
          <w:sz w:val="21"/>
        </w:rPr>
        <w:t>90+ × Critical</w:t>
      </w:r>
      <w:r>
        <w:rPr>
          <w:rFonts w:ascii="Calibri" w:hAnsi="Calibri"/>
          <w:b w:val="0"/>
          <w:i w:val="0"/>
          <w:color w:val="101828"/>
          <w:sz w:val="21"/>
        </w:rPr>
        <w:t xml:space="preserve"> cell.</w:t>
      </w:r>
    </w:p>
    <w:p>
      <w:pPr>
        <w:pStyle w:val="ListBullet"/>
        <w:spacing w:after="60"/>
      </w:pPr>
      <w:r>
        <w:rPr>
          <w:rFonts w:ascii="Calibri" w:hAnsi="Calibri"/>
          <w:b w:val="0"/>
          <w:i w:val="0"/>
          <w:color w:val="101828"/>
          <w:sz w:val="21"/>
        </w:rPr>
        <w:t xml:space="preserve">Behavioural segmentation groups her under </w:t>
      </w:r>
      <w:r>
        <w:rPr>
          <w:rFonts w:ascii="Calibri" w:hAnsi="Calibri"/>
          <w:b/>
          <w:i w:val="0"/>
          <w:color w:val="101828"/>
          <w:sz w:val="21"/>
        </w:rPr>
        <w:t>Disputed / Blocked</w:t>
      </w:r>
      <w:r>
        <w:rPr>
          <w:rFonts w:ascii="Calibri" w:hAnsi="Calibri"/>
          <w:b w:val="0"/>
          <w:i w:val="0"/>
          <w:color w:val="101828"/>
          <w:sz w:val="21"/>
        </w:rPr>
        <w:t xml:space="preserve"> — dispute holds collection.</w:t>
      </w:r>
    </w:p>
    <w:p>
      <w:pPr>
        <w:pStyle w:val="ListBullet"/>
        <w:spacing w:after="60"/>
      </w:pPr>
      <w:r>
        <w:rPr>
          <w:rFonts w:ascii="Calibri" w:hAnsi="Calibri"/>
          <w:b w:val="0"/>
          <w:i w:val="0"/>
          <w:color w:val="101828"/>
          <w:sz w:val="21"/>
        </w:rPr>
        <w:t>Priority Targets ranks by exposure × risk × reachability, with the recommended play per account.</w:t>
      </w:r>
    </w:p>
    <w:p>
      <w:pPr>
        <w:spacing w:before="240" w:after="20"/>
      </w:pPr>
      <w:r>
        <w:rPr>
          <w:rFonts w:ascii="Consolas" w:hAnsi="Consolas"/>
          <w:b/>
          <w:i w:val="0"/>
          <w:color w:val="667085"/>
          <w:sz w:val="17"/>
        </w:rPr>
        <w:t>CUSTOMER PULSEBOARD · CUSTOMER 360 &amp; BORROWER 360</w:t>
      </w:r>
    </w:p>
    <w:p>
      <w:pPr>
        <w:spacing w:before="200" w:after="40"/>
      </w:pPr>
      <w:r>
        <w:rPr>
          <w:rFonts w:ascii="Calibri" w:hAnsi="Calibri"/>
          <w:b/>
          <w:i w:val="0"/>
          <w:color w:val="101828"/>
          <w:sz w:val="23"/>
        </w:rPr>
        <w:t>5.  The whole account in one view</w:t>
      </w:r>
    </w:p>
    <w:p>
      <w:pPr>
        <w:pStyle w:val="ListBullet"/>
        <w:spacing w:after="60"/>
      </w:pPr>
      <w:r>
        <w:rPr>
          <w:rFonts w:ascii="Calibri" w:hAnsi="Calibri"/>
          <w:b w:val="0"/>
          <w:i w:val="0"/>
          <w:color w:val="101828"/>
          <w:sz w:val="21"/>
        </w:rPr>
        <w:t xml:space="preserve">Header badges: </w:t>
      </w:r>
      <w:r>
        <w:rPr>
          <w:rFonts w:ascii="Calibri" w:hAnsi="Calibri"/>
          <w:b/>
          <w:i w:val="0"/>
          <w:color w:val="DC2626"/>
          <w:sz w:val="21"/>
        </w:rPr>
        <w:t>90+ Days · Critical 95/100</w:t>
      </w:r>
      <w:r>
        <w:rPr>
          <w:rFonts w:ascii="Calibri" w:hAnsi="Calibri"/>
          <w:b w:val="0"/>
          <w:i w:val="0"/>
          <w:color w:val="101828"/>
          <w:sz w:val="21"/>
        </w:rPr>
        <w:t xml:space="preserve"> — outstanding </w:t>
      </w:r>
      <w:r>
        <w:rPr>
          <w:rFonts w:ascii="Consolas" w:hAnsi="Consolas"/>
          <w:b/>
          <w:i w:val="0"/>
          <w:color w:val="1D4ED8"/>
          <w:sz w:val="21"/>
        </w:rPr>
        <w:t>$3,727</w:t>
      </w:r>
      <w:r>
        <w:rPr>
          <w:rFonts w:ascii="Calibri" w:hAnsi="Calibri"/>
          <w:b w:val="0"/>
          <w:i w:val="0"/>
          <w:color w:val="101828"/>
          <w:sz w:val="21"/>
        </w:rPr>
        <w:t>.</w:t>
      </w:r>
    </w:p>
    <w:p>
      <w:pPr>
        <w:pStyle w:val="ListBullet"/>
        <w:spacing w:after="60"/>
      </w:pPr>
      <w:r>
        <w:rPr>
          <w:rFonts w:ascii="Calibri" w:hAnsi="Calibri"/>
          <w:b w:val="0"/>
          <w:i w:val="0"/>
          <w:color w:val="101828"/>
          <w:sz w:val="21"/>
        </w:rPr>
        <w:t>Risk trend climbs over 6 months; payment history shows the missed run.</w:t>
      </w:r>
    </w:p>
    <w:p>
      <w:pPr>
        <w:pStyle w:val="ListBullet"/>
        <w:spacing w:after="60"/>
      </w:pPr>
      <w:r>
        <w:rPr>
          <w:rFonts w:ascii="Calibri" w:hAnsi="Calibri"/>
          <w:b w:val="0"/>
          <w:i w:val="0"/>
          <w:color w:val="101828"/>
          <w:sz w:val="21"/>
        </w:rPr>
        <w:t xml:space="preserve">Borrower 360 tabs — Invoices, Payments, Milestones, Communications, </w:t>
      </w:r>
      <w:r>
        <w:rPr>
          <w:rFonts w:ascii="Calibri" w:hAnsi="Calibri"/>
          <w:b/>
          <w:i w:val="0"/>
          <w:color w:val="101828"/>
          <w:sz w:val="21"/>
        </w:rPr>
        <w:t>Disputes</w:t>
      </w:r>
      <w:r>
        <w:rPr>
          <w:rFonts w:ascii="Calibri" w:hAnsi="Calibri"/>
          <w:b w:val="0"/>
          <w:i w:val="0"/>
          <w:color w:val="101828"/>
          <w:sz w:val="21"/>
        </w:rPr>
        <w:t xml:space="preserve">. The dispute reads </w:t>
      </w:r>
      <w:r>
        <w:rPr>
          <w:rFonts w:ascii="Calibri" w:hAnsi="Calibri"/>
          <w:b/>
          <w:i w:val="0"/>
          <w:color w:val="B45309"/>
          <w:sz w:val="21"/>
        </w:rPr>
        <w:t>Past SLA — Escalated</w:t>
      </w:r>
      <w:r>
        <w:rPr>
          <w:rFonts w:ascii="Calibri" w:hAnsi="Calibri"/>
          <w:b w:val="0"/>
          <w:i w:val="0"/>
          <w:color w:val="101828"/>
          <w:sz w:val="21"/>
        </w:rPr>
        <w:t xml:space="preserve">, </w:t>
      </w:r>
      <w:r>
        <w:rPr>
          <w:rFonts w:ascii="Consolas" w:hAnsi="Consolas"/>
          <w:b/>
          <w:i w:val="0"/>
          <w:color w:val="1D4ED8"/>
          <w:sz w:val="21"/>
        </w:rPr>
        <w:t>$932</w:t>
      </w:r>
      <w:r>
        <w:rPr>
          <w:rFonts w:ascii="Calibri" w:hAnsi="Calibri"/>
          <w:b w:val="0"/>
          <w:i w:val="0"/>
          <w:color w:val="101828"/>
          <w:sz w:val="21"/>
        </w:rPr>
        <w:t>.</w:t>
      </w:r>
    </w:p>
    <w:p>
      <w:pPr>
        <w:pStyle w:val="ListBullet"/>
        <w:spacing w:after="60"/>
      </w:pPr>
      <w:r>
        <w:rPr>
          <w:rFonts w:ascii="Calibri" w:hAnsi="Calibri"/>
          <w:b w:val="0"/>
          <w:i w:val="0"/>
          <w:color w:val="101828"/>
          <w:sz w:val="21"/>
        </w:rPr>
        <w:t xml:space="preserve">Assigned to </w:t>
      </w:r>
      <w:r>
        <w:rPr>
          <w:rFonts w:ascii="Calibri" w:hAnsi="Calibri"/>
          <w:b/>
          <w:i w:val="0"/>
          <w:color w:val="101828"/>
          <w:sz w:val="21"/>
        </w:rPr>
        <w:t>Robert Kim</w:t>
      </w:r>
      <w:r>
        <w:rPr>
          <w:rFonts w:ascii="Calibri" w:hAnsi="Calibri"/>
          <w:b w:val="0"/>
          <w:i w:val="0"/>
          <w:color w:val="101828"/>
          <w:sz w:val="21"/>
        </w:rPr>
        <w:t xml:space="preserve"> — your cue to switch hats.</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Everything a collector needs before dialling — exposure, why she's risky, what she's paid, the open dispute, and who owns her. That name, Robert Kim, is where Part B begins.</w:t>
      </w:r>
    </w:p>
    <w:p>
      <w:pPr>
        <w:spacing w:before="280" w:after="40"/>
      </w:pPr>
      <w:r>
        <w:rPr>
          <w:rFonts w:ascii="Consolas" w:hAnsi="Consolas"/>
          <w:b/>
          <w:i w:val="0"/>
          <w:color w:val="1D4ED8"/>
          <w:sz w:val="17"/>
        </w:rPr>
        <w:t>PART B</w:t>
      </w:r>
    </w:p>
    <w:p>
      <w:pPr>
        <w:spacing w:before="320" w:after="60"/>
        <w:pBdr>
          <w:bottom w:val="single" w:sz="8" w:space="6" w:color="E4E9F1"/>
        </w:pBdr>
      </w:pPr>
      <w:r>
        <w:rPr>
          <w:rFonts w:ascii="Calibri" w:hAnsi="Calibri"/>
          <w:b/>
          <w:i w:val="0"/>
          <w:color w:val="101828"/>
          <w:sz w:val="30"/>
        </w:rPr>
        <w:t>The agent workflow</w:t>
      </w:r>
    </w:p>
    <w:p>
      <w:pPr>
        <w:spacing w:before="0" w:after="120"/>
      </w:pPr>
      <w:r>
        <w:rPr>
          <w:rFonts w:ascii="Calibri" w:hAnsi="Calibri"/>
          <w:b w:val="0"/>
          <w:i w:val="0"/>
          <w:color w:val="667085"/>
          <w:sz w:val="21"/>
        </w:rPr>
        <w:t>Operations Hub. Same data, the collector's side of the desk.</w:t>
      </w:r>
    </w:p>
    <w:p>
      <w:pPr>
        <w:spacing w:before="240" w:after="20"/>
      </w:pPr>
      <w:r>
        <w:rPr>
          <w:rFonts w:ascii="Consolas" w:hAnsi="Consolas"/>
          <w:b/>
          <w:i w:val="0"/>
          <w:color w:val="667085"/>
          <w:sz w:val="17"/>
        </w:rPr>
        <w:t>OPERATIONS HUB · CASE MANAGEMENT</w:t>
      </w:r>
    </w:p>
    <w:p>
      <w:pPr>
        <w:spacing w:before="200" w:after="40"/>
      </w:pPr>
      <w:r>
        <w:rPr>
          <w:rFonts w:ascii="Calibri" w:hAnsi="Calibri"/>
          <w:b/>
          <w:i w:val="0"/>
          <w:color w:val="101828"/>
          <w:sz w:val="23"/>
        </w:rPr>
        <w:t>6.  Open Robert Kim's book</w:t>
      </w:r>
    </w:p>
    <w:p>
      <w:pPr>
        <w:pStyle w:val="ListBullet"/>
        <w:spacing w:after="60"/>
      </w:pPr>
      <w:r>
        <w:rPr>
          <w:rFonts w:ascii="Calibri" w:hAnsi="Calibri"/>
          <w:b w:val="0"/>
          <w:i w:val="0"/>
          <w:color w:val="101828"/>
          <w:sz w:val="21"/>
        </w:rPr>
        <w:t xml:space="preserve">Set </w:t>
      </w:r>
      <w:r>
        <w:rPr>
          <w:rFonts w:ascii="Calibri" w:hAnsi="Calibri"/>
          <w:b/>
          <w:i w:val="0"/>
          <w:color w:val="101828"/>
          <w:sz w:val="21"/>
        </w:rPr>
        <w:t>View by → Agent</w:t>
      </w:r>
      <w:r>
        <w:rPr>
          <w:rFonts w:ascii="Calibri" w:hAnsi="Calibri"/>
          <w:b w:val="0"/>
          <w:i w:val="0"/>
          <w:color w:val="101828"/>
          <w:sz w:val="21"/>
        </w:rPr>
        <w:t xml:space="preserve">, pick </w:t>
      </w:r>
      <w:r>
        <w:rPr>
          <w:rFonts w:ascii="Calibri" w:hAnsi="Calibri"/>
          <w:b/>
          <w:i w:val="0"/>
          <w:color w:val="101828"/>
          <w:sz w:val="21"/>
        </w:rPr>
        <w:t>Robert Kim</w:t>
      </w:r>
      <w:r>
        <w:rPr>
          <w:rFonts w:ascii="Calibri" w:hAnsi="Calibri"/>
          <w:b w:val="0"/>
          <w:i w:val="0"/>
          <w:color w:val="101828"/>
          <w:sz w:val="21"/>
        </w:rPr>
        <w:t xml:space="preserve"> (the roster is the real six agents).</w:t>
      </w:r>
    </w:p>
    <w:p>
      <w:pPr>
        <w:pStyle w:val="ListBullet"/>
        <w:spacing w:after="60"/>
      </w:pPr>
      <w:r>
        <w:rPr>
          <w:rFonts w:ascii="Calibri" w:hAnsi="Calibri"/>
          <w:b w:val="0"/>
          <w:i w:val="0"/>
          <w:color w:val="101828"/>
          <w:sz w:val="21"/>
        </w:rPr>
        <w:t>His card summarizes the load: PTPs · Cases · Disputes · Legal as badge counts.</w:t>
      </w:r>
    </w:p>
    <w:p>
      <w:pPr>
        <w:pStyle w:val="ListBullet"/>
        <w:spacing w:after="60"/>
      </w:pPr>
      <w:r>
        <w:rPr>
          <w:rFonts w:ascii="Calibri" w:hAnsi="Calibri"/>
          <w:b w:val="0"/>
          <w:i w:val="0"/>
          <w:color w:val="101828"/>
          <w:sz w:val="21"/>
        </w:rPr>
        <w:t>Expand the card — items lay out in four typed columns; Aisha's dispute and broken PTP are here.</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 xml:space="preserve">This is the same Aisha, now inside her collector's queue — one of Robert's </w:t>
      </w:r>
      <w:r>
        <w:rPr>
          <w:rFonts w:ascii="Calibri" w:hAnsi="Calibri"/>
          <w:b/>
          <w:i w:val="0"/>
          <w:color w:val="475067"/>
          <w:sz w:val="20"/>
        </w:rPr>
        <w:t>40 live cases</w:t>
      </w:r>
      <w:r>
        <w:rPr>
          <w:rFonts w:ascii="Calibri" w:hAnsi="Calibri"/>
          <w:b w:val="0"/>
          <w:i w:val="0"/>
          <w:color w:val="475067"/>
          <w:sz w:val="20"/>
        </w:rPr>
        <w:t>, $494K of exposure. Nothing was re-entered; the case view and the customer view read the same record.</w:t>
      </w:r>
    </w:p>
    <w:p>
      <w:pPr>
        <w:spacing w:before="240" w:after="20"/>
      </w:pPr>
      <w:r>
        <w:rPr>
          <w:rFonts w:ascii="Consolas" w:hAnsi="Consolas"/>
          <w:b/>
          <w:i w:val="0"/>
          <w:color w:val="667085"/>
          <w:sz w:val="17"/>
        </w:rPr>
        <w:t>OPERATIONS HUB · CASE MANAGEMENT VIEWS</w:t>
      </w:r>
    </w:p>
    <w:p>
      <w:pPr>
        <w:spacing w:before="200" w:after="40"/>
      </w:pPr>
      <w:r>
        <w:rPr>
          <w:rFonts w:ascii="Calibri" w:hAnsi="Calibri"/>
          <w:b/>
          <w:i w:val="0"/>
          <w:color w:val="101828"/>
          <w:sz w:val="23"/>
        </w:rPr>
        <w:t>7.  Three lenses on the same cases</w:t>
      </w:r>
    </w:p>
    <w:p>
      <w:pPr>
        <w:pStyle w:val="ListBullet"/>
        <w:spacing w:after="60"/>
      </w:pPr>
      <w:r>
        <w:rPr>
          <w:rFonts w:ascii="Calibri" w:hAnsi="Calibri"/>
          <w:b/>
          <w:i w:val="0"/>
          <w:color w:val="101828"/>
          <w:sz w:val="21"/>
        </w:rPr>
        <w:t>Customer view</w:t>
      </w:r>
      <w:r>
        <w:rPr>
          <w:rFonts w:ascii="Calibri" w:hAnsi="Calibri"/>
          <w:b w:val="0"/>
          <w:i w:val="0"/>
          <w:color w:val="101828"/>
          <w:sz w:val="21"/>
        </w:rPr>
        <w:t xml:space="preserve"> — expandable table: exposure, aging, DPD, risk, credit, agent.</w:t>
      </w:r>
    </w:p>
    <w:p>
      <w:pPr>
        <w:pStyle w:val="ListBullet"/>
        <w:spacing w:after="60"/>
      </w:pPr>
      <w:r>
        <w:rPr>
          <w:rFonts w:ascii="Calibri" w:hAnsi="Calibri"/>
          <w:b/>
          <w:i w:val="0"/>
          <w:color w:val="101828"/>
          <w:sz w:val="21"/>
        </w:rPr>
        <w:t>Cases view</w:t>
      </w:r>
      <w:r>
        <w:rPr>
          <w:rFonts w:ascii="Calibri" w:hAnsi="Calibri"/>
          <w:b w:val="0"/>
          <w:i w:val="0"/>
          <w:color w:val="101828"/>
          <w:sz w:val="21"/>
        </w:rPr>
        <w:t xml:space="preserve"> — card grid, Consumer and Enterprise sections, grid⇄table toggle.</w:t>
      </w:r>
    </w:p>
    <w:p>
      <w:pPr>
        <w:pStyle w:val="ListBullet"/>
        <w:spacing w:after="60"/>
      </w:pPr>
      <w:r>
        <w:rPr>
          <w:rFonts w:ascii="Calibri" w:hAnsi="Calibri"/>
          <w:b w:val="0"/>
          <w:i w:val="0"/>
          <w:color w:val="101828"/>
          <w:sz w:val="21"/>
        </w:rPr>
        <w:t>Each card's eye icon opens a drawer (Overview / Notes / To-Do); disputes, PTPs and legal open their own modals.</w:t>
      </w:r>
    </w:p>
    <w:p>
      <w:pPr>
        <w:spacing w:before="240" w:after="20"/>
      </w:pPr>
      <w:r>
        <w:rPr>
          <w:rFonts w:ascii="Consolas" w:hAnsi="Consolas"/>
          <w:b/>
          <w:i w:val="0"/>
          <w:color w:val="667085"/>
          <w:sz w:val="17"/>
        </w:rPr>
        <w:t>OPERATIONS HUB · AGENT DASHBOARD &amp; PERFORMANCE</w:t>
      </w:r>
    </w:p>
    <w:p>
      <w:pPr>
        <w:spacing w:before="200" w:after="40"/>
      </w:pPr>
      <w:r>
        <w:rPr>
          <w:rFonts w:ascii="Calibri" w:hAnsi="Calibri"/>
          <w:b/>
          <w:i w:val="0"/>
          <w:color w:val="101828"/>
          <w:sz w:val="23"/>
        </w:rPr>
        <w:t>8.  How the team is tracking</w:t>
      </w:r>
    </w:p>
    <w:p>
      <w:pPr>
        <w:pStyle w:val="ListBullet"/>
        <w:spacing w:after="60"/>
      </w:pPr>
      <w:r>
        <w:rPr>
          <w:rFonts w:ascii="Calibri" w:hAnsi="Calibri"/>
          <w:b/>
          <w:i w:val="0"/>
          <w:color w:val="101828"/>
          <w:sz w:val="21"/>
        </w:rPr>
        <w:t>Agent Dashboard</w:t>
      </w:r>
      <w:r>
        <w:rPr>
          <w:rFonts w:ascii="Calibri" w:hAnsi="Calibri"/>
          <w:b w:val="0"/>
          <w:i w:val="0"/>
          <w:color w:val="101828"/>
          <w:sz w:val="21"/>
        </w:rPr>
        <w:t>: target vs recovery, a case table driven by real assigned accounts.</w:t>
      </w:r>
    </w:p>
    <w:p>
      <w:pPr>
        <w:pStyle w:val="ListBullet"/>
        <w:spacing w:after="60"/>
      </w:pPr>
      <w:r>
        <w:rPr>
          <w:rFonts w:ascii="Calibri" w:hAnsi="Calibri"/>
          <w:b/>
          <w:i w:val="0"/>
          <w:color w:val="101828"/>
          <w:sz w:val="21"/>
        </w:rPr>
        <w:t>Agent Performance</w:t>
      </w:r>
      <w:r>
        <w:rPr>
          <w:rFonts w:ascii="Calibri" w:hAnsi="Calibri"/>
          <w:b w:val="0"/>
          <w:i w:val="0"/>
          <w:color w:val="101828"/>
          <w:sz w:val="21"/>
        </w:rPr>
        <w:t>: 6-agent trends and a recovery-comparison bar chart.</w:t>
      </w:r>
    </w:p>
    <w:p>
      <w:pPr>
        <w:pStyle w:val="ListBullet"/>
        <w:spacing w:after="60"/>
      </w:pPr>
      <w:r>
        <w:rPr>
          <w:rFonts w:ascii="Calibri" w:hAnsi="Calibri"/>
          <w:b/>
          <w:i w:val="0"/>
          <w:color w:val="101828"/>
          <w:sz w:val="21"/>
        </w:rPr>
        <w:t>AI Engagement Center</w:t>
      </w:r>
      <w:r>
        <w:rPr>
          <w:rFonts w:ascii="Calibri" w:hAnsi="Calibri"/>
          <w:b w:val="0"/>
          <w:i w:val="0"/>
          <w:color w:val="101828"/>
          <w:sz w:val="21"/>
        </w:rPr>
        <w:t xml:space="preserve">: the live interaction queue — Aisha's channel is </w:t>
      </w:r>
      <w:r>
        <w:rPr>
          <w:rFonts w:ascii="Calibri" w:hAnsi="Calibri"/>
          <w:b/>
          <w:i w:val="0"/>
          <w:color w:val="101828"/>
          <w:sz w:val="21"/>
        </w:rPr>
        <w:t>Voicebot</w:t>
      </w:r>
      <w:r>
        <w:rPr>
          <w:rFonts w:ascii="Calibri" w:hAnsi="Calibri"/>
          <w:b w:val="0"/>
          <w:i w:val="0"/>
          <w:color w:val="101828"/>
          <w:sz w:val="21"/>
        </w:rPr>
        <w:t>, ranked by risk.</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The response numbers tell their own story — digital is cheap but ignored (SMS 12.6%, Email 8.1%), voice converts (Voicebot and Dialer ~24%) but costs more. That trade-off is what the Dunning studio automates.</w:t>
      </w:r>
    </w:p>
    <w:p>
      <w:pPr>
        <w:spacing w:before="280" w:after="40"/>
      </w:pPr>
      <w:r>
        <w:rPr>
          <w:rFonts w:ascii="Consolas" w:hAnsi="Consolas"/>
          <w:b/>
          <w:i w:val="0"/>
          <w:color w:val="1D4ED8"/>
          <w:sz w:val="17"/>
        </w:rPr>
        <w:t>CROSS-CUTTING</w:t>
      </w:r>
    </w:p>
    <w:p>
      <w:pPr>
        <w:spacing w:before="320" w:after="60"/>
        <w:pBdr>
          <w:bottom w:val="single" w:sz="8" w:space="6" w:color="E4E9F1"/>
        </w:pBdr>
      </w:pPr>
      <w:r>
        <w:rPr>
          <w:rFonts w:ascii="Calibri" w:hAnsi="Calibri"/>
          <w:b/>
          <w:i w:val="0"/>
          <w:color w:val="101828"/>
          <w:sz w:val="30"/>
        </w:rPr>
        <w:t>Dunning Strategy Studio</w:t>
      </w:r>
    </w:p>
    <w:p>
      <w:pPr>
        <w:spacing w:before="0" w:after="120"/>
      </w:pPr>
      <w:r>
        <w:rPr>
          <w:rFonts w:ascii="Calibri" w:hAnsi="Calibri"/>
          <w:b w:val="0"/>
          <w:i w:val="0"/>
          <w:color w:val="667085"/>
          <w:sz w:val="21"/>
        </w:rPr>
        <w:t>Show this as the general workflow that ties the two journeys together — not a data screen, a design canvas.</w:t>
      </w:r>
    </w:p>
    <w:p>
      <w:pPr>
        <w:spacing w:before="0" w:after="160"/>
      </w:pPr>
      <w:r>
        <w:rPr>
          <w:rFonts w:ascii="Consolas" w:hAnsi="Consolas"/>
          <w:b/>
          <w:i w:val="0"/>
          <w:color w:val="101828"/>
          <w:sz w:val="20"/>
        </w:rPr>
        <w:t>Soft Reminder</w:t>
      </w:r>
      <w:r>
        <w:rPr>
          <w:rFonts w:ascii="Consolas" w:hAnsi="Consolas"/>
          <w:b w:val="0"/>
          <w:i w:val="0"/>
          <w:color w:val="667085"/>
          <w:sz w:val="20"/>
        </w:rPr>
        <w:t xml:space="preserve">  →  </w:t>
      </w:r>
      <w:r>
        <w:rPr>
          <w:rFonts w:ascii="Consolas" w:hAnsi="Consolas"/>
          <w:b/>
          <w:i w:val="0"/>
          <w:color w:val="101828"/>
          <w:sz w:val="20"/>
        </w:rPr>
        <w:t>Standard Dunning</w:t>
      </w:r>
      <w:r>
        <w:rPr>
          <w:rFonts w:ascii="Consolas" w:hAnsi="Consolas"/>
          <w:b w:val="0"/>
          <w:i w:val="0"/>
          <w:color w:val="667085"/>
          <w:sz w:val="20"/>
        </w:rPr>
        <w:t xml:space="preserve">  →  </w:t>
      </w:r>
      <w:r>
        <w:rPr>
          <w:rFonts w:ascii="Consolas" w:hAnsi="Consolas"/>
          <w:b/>
          <w:i w:val="0"/>
          <w:color w:val="101828"/>
          <w:sz w:val="20"/>
        </w:rPr>
        <w:t>AI Adaptive</w:t>
      </w:r>
      <w:r>
        <w:rPr>
          <w:rFonts w:ascii="Consolas" w:hAnsi="Consolas"/>
          <w:b w:val="0"/>
          <w:i w:val="0"/>
          <w:color w:val="667085"/>
          <w:sz w:val="20"/>
        </w:rPr>
        <w:t xml:space="preserve">  →  </w:t>
      </w:r>
      <w:r>
        <w:rPr>
          <w:rFonts w:ascii="Consolas" w:hAnsi="Consolas"/>
          <w:b/>
          <w:i w:val="0"/>
          <w:color w:val="101828"/>
          <w:sz w:val="20"/>
        </w:rPr>
        <w:t>Intensive Recovery</w:t>
      </w:r>
      <w:r>
        <w:rPr>
          <w:rFonts w:ascii="Consolas" w:hAnsi="Consolas"/>
          <w:b w:val="0"/>
          <w:i w:val="0"/>
          <w:color w:val="667085"/>
          <w:sz w:val="20"/>
        </w:rPr>
        <w:t xml:space="preserve">  →  </w:t>
      </w:r>
      <w:r>
        <w:rPr>
          <w:rFonts w:ascii="Consolas" w:hAnsi="Consolas"/>
          <w:b/>
          <w:i w:val="0"/>
          <w:color w:val="DC2626"/>
          <w:sz w:val="20"/>
        </w:rPr>
        <w:t>Pre-Legal</w:t>
      </w:r>
    </w:p>
    <w:p>
      <w:pPr>
        <w:pStyle w:val="ListBullet"/>
        <w:spacing w:after="60"/>
      </w:pPr>
      <w:r>
        <w:rPr>
          <w:rFonts w:ascii="Calibri" w:hAnsi="Calibri"/>
          <w:b/>
          <w:i w:val="0"/>
          <w:color w:val="101828"/>
          <w:sz w:val="21"/>
        </w:rPr>
        <w:t>Strategy Library</w:t>
      </w:r>
      <w:r>
        <w:rPr>
          <w:rFonts w:ascii="Calibri" w:hAnsi="Calibri"/>
          <w:b w:val="0"/>
          <w:i w:val="0"/>
          <w:color w:val="101828"/>
          <w:sz w:val="21"/>
        </w:rPr>
        <w:t xml:space="preserve"> lands first — six published journeys with segment, aging, uplift and version.</w:t>
      </w:r>
    </w:p>
    <w:p>
      <w:pPr>
        <w:pStyle w:val="ListBullet"/>
        <w:spacing w:after="60"/>
      </w:pPr>
      <w:r>
        <w:rPr>
          <w:rFonts w:ascii="Calibri" w:hAnsi="Calibri"/>
          <w:b w:val="0"/>
          <w:i w:val="0"/>
          <w:color w:val="101828"/>
          <w:sz w:val="21"/>
        </w:rPr>
        <w:t xml:space="preserve">Click one to open the </w:t>
      </w:r>
      <w:r>
        <w:rPr>
          <w:rFonts w:ascii="Calibri" w:hAnsi="Calibri"/>
          <w:b/>
          <w:i w:val="0"/>
          <w:color w:val="101828"/>
          <w:sz w:val="21"/>
        </w:rPr>
        <w:t>visual designer</w:t>
      </w:r>
      <w:r>
        <w:rPr>
          <w:rFonts w:ascii="Calibri" w:hAnsi="Calibri"/>
          <w:b w:val="0"/>
          <w:i w:val="0"/>
          <w:color w:val="101828"/>
          <w:sz w:val="21"/>
        </w:rPr>
        <w:t>: drag channels, actions, conditions, AI and RPA nodes onto the canvas.</w:t>
      </w:r>
    </w:p>
    <w:p>
      <w:pPr>
        <w:pStyle w:val="ListBullet"/>
        <w:spacing w:after="60"/>
      </w:pPr>
      <w:r>
        <w:rPr>
          <w:rFonts w:ascii="Calibri" w:hAnsi="Calibri"/>
          <w:b w:val="0"/>
          <w:i w:val="0"/>
          <w:color w:val="101828"/>
          <w:sz w:val="21"/>
        </w:rPr>
        <w:t>Simulate, A/B test, run What-If, then Save Draft → Submit for Approval → Publish.</w:t>
      </w:r>
    </w:p>
    <w:p>
      <w:pPr>
        <w:spacing w:before="120" w:after="160"/>
        <w:pBdr>
          <w:left w:val="single" w:sz="18" w:space="10" w:color="1D4ED8"/>
        </w:pBdr>
        <w:ind w:left="173"/>
      </w:pPr>
      <w:r>
        <w:rPr>
          <w:rFonts w:ascii="Calibri" w:hAnsi="Calibri"/>
          <w:b/>
          <w:i w:val="0"/>
          <w:color w:val="1D4ED8"/>
          <w:sz w:val="20"/>
        </w:rPr>
        <w:t xml:space="preserve">Say:  </w:t>
      </w:r>
      <w:r>
        <w:rPr>
          <w:rFonts w:ascii="Calibri" w:hAnsi="Calibri"/>
          <w:b w:val="0"/>
          <w:i w:val="0"/>
          <w:color w:val="475067"/>
          <w:sz w:val="20"/>
        </w:rPr>
        <w:t xml:space="preserve">Every account you just saw is riding one of these journeys. Aisha has escalated all the way to </w:t>
      </w:r>
      <w:r>
        <w:rPr>
          <w:rFonts w:ascii="Calibri" w:hAnsi="Calibri"/>
          <w:b/>
          <w:i w:val="0"/>
          <w:color w:val="DC2626"/>
          <w:sz w:val="20"/>
        </w:rPr>
        <w:t>Pre-Legal</w:t>
      </w:r>
      <w:r>
        <w:rPr>
          <w:rFonts w:ascii="Calibri" w:hAnsi="Calibri"/>
          <w:b w:val="0"/>
          <w:i w:val="0"/>
          <w:color w:val="475067"/>
          <w:sz w:val="20"/>
        </w:rPr>
        <w:t xml:space="preserve"> — stage five. The studio is where an operations lead designs that escalation once, and the whole book follows it.</w:t>
      </w:r>
    </w:p>
    <w:p>
      <w:pPr>
        <w:spacing w:before="280" w:after="40"/>
      </w:pPr>
      <w:r>
        <w:rPr>
          <w:rFonts w:ascii="Consolas" w:hAnsi="Consolas"/>
          <w:b/>
          <w:i w:val="0"/>
          <w:color w:val="1D4ED8"/>
          <w:sz w:val="17"/>
        </w:rPr>
        <w:t>THE PROOF</w:t>
      </w:r>
    </w:p>
    <w:p>
      <w:pPr>
        <w:spacing w:before="320" w:after="60"/>
        <w:pBdr>
          <w:bottom w:val="single" w:sz="8" w:space="6" w:color="E4E9F1"/>
        </w:pBdr>
      </w:pPr>
      <w:r>
        <w:rPr>
          <w:rFonts w:ascii="Calibri" w:hAnsi="Calibri"/>
          <w:b/>
          <w:i w:val="0"/>
          <w:color w:val="101828"/>
          <w:sz w:val="30"/>
        </w:rPr>
        <w:t>One record, every screen</w:t>
      </w:r>
    </w:p>
    <w:p>
      <w:pPr>
        <w:spacing w:before="0" w:after="80"/>
      </w:pPr>
      <w:r>
        <w:rPr>
          <w:rFonts w:ascii="Calibri" w:hAnsi="Calibri"/>
          <w:b w:val="0"/>
          <w:i w:val="0"/>
          <w:color w:val="667085"/>
          <w:sz w:val="21"/>
        </w:rPr>
        <w:t>If someone asks "is this real data or six disconnected mockups?" — this is the answer. Aisha's $3,727 is the same field read six ways.</w:t>
      </w:r>
    </w:p>
    <w:tbl>
      <w:tblPr>
        <w:tblStyle w:val="TableGrid"/>
        <w:tblW w:type="auto" w:w="0"/>
        <w:tblLook w:firstColumn="1" w:firstRow="1" w:lastColumn="0" w:lastRow="0" w:noHBand="0" w:noVBand="1" w:val="04A0"/>
      </w:tblPr>
      <w:tblGrid>
        <w:gridCol w:w="3168"/>
        <w:gridCol w:w="3168"/>
        <w:gridCol w:w="3168"/>
      </w:tblGrid>
      <w:tr>
        <w:tc>
          <w:tcPr>
            <w:tcW w:type="dxa" w:w="3168"/>
            <w:shd w:val="clear" w:fill="F1F4F9"/>
          </w:tcPr>
          <w:p>
            <w:r>
              <w:rPr>
                <w:rFonts w:ascii="Consolas" w:hAnsi="Consolas"/>
                <w:b/>
                <w:i w:val="0"/>
                <w:color w:val="667085"/>
                <w:sz w:val="16"/>
              </w:rPr>
              <w:t>SCREEN</w:t>
            </w:r>
          </w:p>
        </w:tc>
        <w:tc>
          <w:tcPr>
            <w:tcW w:type="dxa" w:w="3168"/>
            <w:shd w:val="clear" w:fill="F1F4F9"/>
          </w:tcPr>
          <w:p>
            <w:r>
              <w:rPr>
                <w:rFonts w:ascii="Consolas" w:hAnsi="Consolas"/>
                <w:b/>
                <w:i w:val="0"/>
                <w:color w:val="667085"/>
                <w:sz w:val="16"/>
              </w:rPr>
              <w:t>WHAT IT SHOWS FOR AISHA</w:t>
            </w:r>
          </w:p>
        </w:tc>
        <w:tc>
          <w:tcPr>
            <w:tcW w:type="dxa" w:w="3168"/>
            <w:shd w:val="clear" w:fill="F1F4F9"/>
          </w:tcPr>
          <w:p>
            <w:r>
              <w:rPr>
                <w:rFonts w:ascii="Consolas" w:hAnsi="Consolas"/>
                <w:b/>
                <w:i w:val="0"/>
                <w:color w:val="667085"/>
                <w:sz w:val="16"/>
              </w:rPr>
              <w:t>FIGURE</w:t>
            </w:r>
          </w:p>
        </w:tc>
      </w:tr>
      <w:tr>
        <w:tc>
          <w:tcPr>
            <w:tcW w:type="dxa" w:w="3168"/>
          </w:tcPr>
          <w:p>
            <w:r>
              <w:rPr>
                <w:rFonts w:ascii="Calibri" w:hAnsi="Calibri"/>
                <w:b/>
                <w:i w:val="0"/>
                <w:color w:val="101828"/>
                <w:sz w:val="20"/>
              </w:rPr>
              <w:t>Portfolio Dashboard</w:t>
            </w:r>
          </w:p>
        </w:tc>
        <w:tc>
          <w:tcPr>
            <w:tcW w:type="dxa" w:w="3168"/>
          </w:tcPr>
          <w:p>
            <w:r>
              <w:rPr>
                <w:rFonts w:ascii="Calibri" w:hAnsi="Calibri"/>
                <w:b w:val="0"/>
                <w:i w:val="0"/>
                <w:color w:val="101828"/>
                <w:sz w:val="20"/>
              </w:rPr>
              <w:t>Counted in 90+ exposure</w:t>
            </w:r>
          </w:p>
        </w:tc>
        <w:tc>
          <w:tcPr>
            <w:tcW w:type="dxa" w:w="3168"/>
          </w:tcPr>
          <w:p>
            <w:r>
              <w:rPr>
                <w:rFonts w:ascii="Consolas" w:hAnsi="Consolas"/>
                <w:b/>
                <w:i w:val="0"/>
                <w:color w:val="1D4ED8"/>
                <w:sz w:val="20"/>
              </w:rPr>
              <w:t>$3,727</w:t>
            </w:r>
          </w:p>
        </w:tc>
      </w:tr>
      <w:tr>
        <w:tc>
          <w:tcPr>
            <w:tcW w:type="dxa" w:w="3168"/>
          </w:tcPr>
          <w:p>
            <w:r>
              <w:rPr>
                <w:rFonts w:ascii="Calibri" w:hAnsi="Calibri"/>
                <w:b/>
                <w:i w:val="0"/>
                <w:color w:val="101828"/>
                <w:sz w:val="20"/>
              </w:rPr>
              <w:t>Risk Analysis</w:t>
            </w:r>
          </w:p>
        </w:tc>
        <w:tc>
          <w:tcPr>
            <w:tcW w:type="dxa" w:w="3168"/>
          </w:tcPr>
          <w:p>
            <w:r>
              <w:rPr>
                <w:rFonts w:ascii="Calibri" w:hAnsi="Calibri"/>
                <w:b w:val="0"/>
                <w:i w:val="0"/>
                <w:color w:val="101828"/>
                <w:sz w:val="20"/>
              </w:rPr>
              <w:t>Risk score</w:t>
            </w:r>
          </w:p>
        </w:tc>
        <w:tc>
          <w:tcPr>
            <w:tcW w:type="dxa" w:w="3168"/>
          </w:tcPr>
          <w:p>
            <w:r>
              <w:rPr>
                <w:rFonts w:ascii="Consolas" w:hAnsi="Consolas"/>
                <w:b/>
                <w:i w:val="0"/>
                <w:color w:val="1D4ED8"/>
                <w:sz w:val="20"/>
              </w:rPr>
              <w:t>95 / 100</w:t>
            </w:r>
          </w:p>
        </w:tc>
      </w:tr>
      <w:tr>
        <w:tc>
          <w:tcPr>
            <w:tcW w:type="dxa" w:w="3168"/>
          </w:tcPr>
          <w:p>
            <w:r>
              <w:rPr>
                <w:rFonts w:ascii="Calibri" w:hAnsi="Calibri"/>
                <w:b/>
                <w:i w:val="0"/>
                <w:color w:val="101828"/>
                <w:sz w:val="20"/>
              </w:rPr>
              <w:t>Risk Grid</w:t>
            </w:r>
          </w:p>
        </w:tc>
        <w:tc>
          <w:tcPr>
            <w:tcW w:type="dxa" w:w="3168"/>
          </w:tcPr>
          <w:p>
            <w:r>
              <w:rPr>
                <w:rFonts w:ascii="Calibri" w:hAnsi="Calibri"/>
                <w:b w:val="0"/>
                <w:i w:val="0"/>
                <w:color w:val="101828"/>
                <w:sz w:val="20"/>
              </w:rPr>
              <w:t>Grid cell</w:t>
            </w:r>
          </w:p>
        </w:tc>
        <w:tc>
          <w:tcPr>
            <w:tcW w:type="dxa" w:w="3168"/>
          </w:tcPr>
          <w:p>
            <w:r>
              <w:rPr>
                <w:rFonts w:ascii="Consolas" w:hAnsi="Consolas"/>
                <w:b/>
                <w:i w:val="0"/>
                <w:color w:val="1D4ED8"/>
                <w:sz w:val="20"/>
              </w:rPr>
              <w:t>90+ × Critical</w:t>
            </w:r>
          </w:p>
        </w:tc>
      </w:tr>
      <w:tr>
        <w:tc>
          <w:tcPr>
            <w:tcW w:type="dxa" w:w="3168"/>
          </w:tcPr>
          <w:p>
            <w:r>
              <w:rPr>
                <w:rFonts w:ascii="Calibri" w:hAnsi="Calibri"/>
                <w:b/>
                <w:i w:val="0"/>
                <w:color w:val="101828"/>
                <w:sz w:val="20"/>
              </w:rPr>
              <w:t>Customer 360</w:t>
            </w:r>
          </w:p>
        </w:tc>
        <w:tc>
          <w:tcPr>
            <w:tcW w:type="dxa" w:w="3168"/>
          </w:tcPr>
          <w:p>
            <w:r>
              <w:rPr>
                <w:rFonts w:ascii="Calibri" w:hAnsi="Calibri"/>
                <w:b w:val="0"/>
                <w:i w:val="0"/>
                <w:color w:val="101828"/>
                <w:sz w:val="20"/>
              </w:rPr>
              <w:t>Outstanding</w:t>
            </w:r>
          </w:p>
        </w:tc>
        <w:tc>
          <w:tcPr>
            <w:tcW w:type="dxa" w:w="3168"/>
          </w:tcPr>
          <w:p>
            <w:r>
              <w:rPr>
                <w:rFonts w:ascii="Consolas" w:hAnsi="Consolas"/>
                <w:b/>
                <w:i w:val="0"/>
                <w:color w:val="1D4ED8"/>
                <w:sz w:val="20"/>
              </w:rPr>
              <w:t>$3,727</w:t>
            </w:r>
          </w:p>
        </w:tc>
      </w:tr>
      <w:tr>
        <w:tc>
          <w:tcPr>
            <w:tcW w:type="dxa" w:w="3168"/>
          </w:tcPr>
          <w:p>
            <w:r>
              <w:rPr>
                <w:rFonts w:ascii="Calibri" w:hAnsi="Calibri"/>
                <w:b/>
                <w:i w:val="0"/>
                <w:color w:val="101828"/>
                <w:sz w:val="20"/>
              </w:rPr>
              <w:t>Borrower 360</w:t>
            </w:r>
          </w:p>
        </w:tc>
        <w:tc>
          <w:tcPr>
            <w:tcW w:type="dxa" w:w="3168"/>
          </w:tcPr>
          <w:p>
            <w:r>
              <w:rPr>
                <w:rFonts w:ascii="Calibri" w:hAnsi="Calibri"/>
                <w:b w:val="0"/>
                <w:i w:val="0"/>
                <w:color w:val="101828"/>
                <w:sz w:val="20"/>
              </w:rPr>
              <w:t>Outstanding + dispute</w:t>
            </w:r>
          </w:p>
        </w:tc>
        <w:tc>
          <w:tcPr>
            <w:tcW w:type="dxa" w:w="3168"/>
          </w:tcPr>
          <w:p>
            <w:r>
              <w:rPr>
                <w:rFonts w:ascii="Consolas" w:hAnsi="Consolas"/>
                <w:b/>
                <w:i w:val="0"/>
                <w:color w:val="1D4ED8"/>
                <w:sz w:val="20"/>
              </w:rPr>
              <w:t>$3,727 · $932</w:t>
            </w:r>
          </w:p>
        </w:tc>
      </w:tr>
      <w:tr>
        <w:tc>
          <w:tcPr>
            <w:tcW w:type="dxa" w:w="3168"/>
          </w:tcPr>
          <w:p>
            <w:r>
              <w:rPr>
                <w:rFonts w:ascii="Calibri" w:hAnsi="Calibri"/>
                <w:b/>
                <w:i w:val="0"/>
                <w:color w:val="101828"/>
                <w:sz w:val="20"/>
              </w:rPr>
              <w:t>Case Management</w:t>
            </w:r>
          </w:p>
        </w:tc>
        <w:tc>
          <w:tcPr>
            <w:tcW w:type="dxa" w:w="3168"/>
          </w:tcPr>
          <w:p>
            <w:r>
              <w:rPr>
                <w:rFonts w:ascii="Calibri" w:hAnsi="Calibri"/>
                <w:b w:val="0"/>
                <w:i w:val="0"/>
                <w:color w:val="101828"/>
                <w:sz w:val="20"/>
              </w:rPr>
              <w:t>Exposure in Robert's book</w:t>
            </w:r>
          </w:p>
        </w:tc>
        <w:tc>
          <w:tcPr>
            <w:tcW w:type="dxa" w:w="3168"/>
          </w:tcPr>
          <w:p>
            <w:r>
              <w:rPr>
                <w:rFonts w:ascii="Consolas" w:hAnsi="Consolas"/>
                <w:b/>
                <w:i w:val="0"/>
                <w:color w:val="1D4ED8"/>
                <w:sz w:val="20"/>
              </w:rPr>
              <w:t>$3,727</w:t>
            </w:r>
          </w:p>
        </w:tc>
      </w:tr>
      <w:tr>
        <w:tc>
          <w:tcPr>
            <w:tcW w:type="dxa" w:w="3168"/>
          </w:tcPr>
          <w:p>
            <w:r>
              <w:rPr>
                <w:rFonts w:ascii="Calibri" w:hAnsi="Calibri"/>
                <w:b/>
                <w:i w:val="0"/>
                <w:color w:val="101828"/>
                <w:sz w:val="20"/>
              </w:rPr>
              <w:t>Reports · Case &amp; SLA</w:t>
            </w:r>
          </w:p>
        </w:tc>
        <w:tc>
          <w:tcPr>
            <w:tcW w:type="dxa" w:w="3168"/>
          </w:tcPr>
          <w:p>
            <w:r>
              <w:rPr>
                <w:rFonts w:ascii="Calibri" w:hAnsi="Calibri"/>
                <w:b w:val="0"/>
                <w:i w:val="0"/>
                <w:color w:val="101828"/>
                <w:sz w:val="20"/>
              </w:rPr>
              <w:t>Dispute past SLA</w:t>
            </w:r>
          </w:p>
        </w:tc>
        <w:tc>
          <w:tcPr>
            <w:tcW w:type="dxa" w:w="3168"/>
          </w:tcPr>
          <w:p>
            <w:r>
              <w:rPr>
                <w:rFonts w:ascii="Consolas" w:hAnsi="Consolas"/>
                <w:b/>
                <w:i w:val="0"/>
                <w:color w:val="1D4ED8"/>
                <w:sz w:val="20"/>
              </w:rPr>
              <w:t>$932</w:t>
            </w:r>
          </w:p>
        </w:tc>
      </w:tr>
    </w:tbl>
    <w:p>
      <w:pPr>
        <w:spacing w:before="160" w:after="120"/>
      </w:pPr>
      <w:r>
        <w:rPr>
          <w:rFonts w:ascii="Calibri" w:hAnsi="Calibri"/>
          <w:b/>
          <w:i w:val="0"/>
          <w:color w:val="1D4ED8"/>
          <w:sz w:val="21"/>
        </w:rPr>
        <w:t xml:space="preserve">Why it can't drift:  </w:t>
      </w:r>
      <w:r>
        <w:rPr>
          <w:rFonts w:ascii="Calibri" w:hAnsi="Calibri"/>
          <w:b w:val="0"/>
          <w:i w:val="0"/>
          <w:color w:val="101828"/>
          <w:sz w:val="21"/>
        </w:rPr>
        <w:t>there is one account list. Every screen derives its numbers from it — the dashboard sums it, Risk Analysis scores it, Case Management groups it by agent. Change the source and all seven move together.</w:t>
      </w:r>
    </w:p>
    <w:p>
      <w:pPr>
        <w:spacing w:before="0" w:after="120"/>
      </w:pPr>
      <w:r>
        <w:rPr>
          <w:rFonts w:ascii="Calibri" w:hAnsi="Calibri"/>
          <w:b/>
          <w:i w:val="0"/>
          <w:color w:val="1D4ED8"/>
          <w:sz w:val="21"/>
        </w:rPr>
        <w:t xml:space="preserve">The one-click finale:  </w:t>
      </w:r>
      <w:r>
        <w:rPr>
          <w:rFonts w:ascii="Calibri" w:hAnsi="Calibri"/>
          <w:b w:val="0"/>
          <w:i w:val="0"/>
          <w:color w:val="101828"/>
          <w:sz w:val="21"/>
        </w:rPr>
        <w:t>flip Customer Scope to Enterprise. The book drops from $3.85M / 480 accounts to $3.65M / 180 — and every screen re-scopes at once, Case Management included. Aisha (a consumer) disappears; flip back to All and she returns.</w:t>
      </w:r>
    </w:p>
    <w:p>
      <w:pPr>
        <w:spacing w:before="360" w:after="120"/>
        <w:pBdr>
          <w:bottom w:val="single" w:sz="8" w:space="6" w:color="E4E9F1"/>
        </w:pBdr>
      </w:pPr>
    </w:p>
    <w:p>
      <w:pPr>
        <w:spacing w:before="40" w:after="120"/>
      </w:pPr>
      <w:r>
        <w:rPr>
          <w:rFonts w:ascii="Consolas" w:hAnsi="Consolas"/>
          <w:b w:val="0"/>
          <w:i w:val="0"/>
          <w:color w:val="667085"/>
          <w:sz w:val="17"/>
        </w:rPr>
        <w:t>RADONaix Assure+ · Demo Script</w:t>
      </w:r>
      <w:r>
        <w:rPr>
          <w:rFonts w:ascii="Consolas" w:hAnsi="Consolas"/>
          <w:b w:val="0"/>
          <w:i w:val="0"/>
          <w:color w:val="667085"/>
          <w:sz w:val="17"/>
        </w:rPr>
        <w:t xml:space="preserve">        All figures generated from src/data/portfolio.json · 480 accounts</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