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onsolas" w:hAnsi="Consolas"/>
          <w:b/>
          <w:i w:val="0"/>
          <w:color w:val="1D4ED8"/>
          <w:sz w:val="17"/>
        </w:rPr>
        <w:t>FUNCTIONAL REFERENCE · WORK DOCUMENT</w:t>
      </w:r>
    </w:p>
    <w:p>
      <w:pPr>
        <w:spacing w:before="40" w:after="160"/>
      </w:pPr>
      <w:r>
        <w:rPr>
          <w:rFonts w:ascii="Calibri" w:hAnsi="Calibri"/>
          <w:b/>
          <w:i w:val="0"/>
          <w:color w:val="101828"/>
          <w:sz w:val="44"/>
        </w:rPr>
        <w:t>RADONaix Assure+ — Screen Guide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475067"/>
          <w:sz w:val="22"/>
        </w:rPr>
        <w:t>Every screen in the platform, explained: what it does, who uses it, what it shows, and how it behaves. Use it to talk through any screen with confidence. Figures come from the live dataset (480 accounts, $3.85M book), so what you read here is what the app shows.</w:t>
      </w:r>
    </w:p>
    <w:p>
      <w:pPr>
        <w:spacing w:before="0" w:after="40"/>
      </w:pPr>
      <w:r>
        <w:rPr>
          <w:rFonts w:ascii="Calibri" w:hAnsi="Calibri"/>
          <w:b/>
          <w:i w:val="0"/>
          <w:color w:val="101828"/>
          <w:sz w:val="19"/>
        </w:rPr>
        <w:t xml:space="preserve">How the app is organized   </w:t>
      </w:r>
      <w:r>
        <w:rPr>
          <w:rFonts w:ascii="Calibri" w:hAnsi="Calibri"/>
          <w:b w:val="0"/>
          <w:i w:val="0"/>
          <w:color w:val="475067"/>
          <w:sz w:val="19"/>
        </w:rPr>
        <w:t>Four module groups in the sidebar — Portfolio Pulseboard (the book), Customer Pulseboard (individual risk), Dunning Strategy Studio (the playbook), Operations Hub (the front line). A global Customer Scope selector in the header narrows every screen at once.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Foundations — the shell every screen lives in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SIGN-IN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Login &amp; Access Rights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Authenticate the user and load their permission set. Each role sees only the modules it is entitled to.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Every user. Admins, collections agents, analysts, credit controllers, customer care.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Sign in as admin@gmail.com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full access — every module in the sidebar.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Sign in as a limited role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sidebar and settings menu hide modules the role can't reach; the nav is built from the permission map, not hard-coded.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APP SHELL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Sidebar, Header &amp; Customer Scope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The persistent frame: collapsible sidebar (modules grouped and expandable), a sticky header with the Customer Scope selector, theme toggle, settings and profile.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Everyone, on every screen.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The Customer Scope selector   </w:t>
      </w:r>
      <w:r>
        <w:rPr>
          <w:rFonts w:ascii="Calibri" w:hAnsi="Calibri"/>
          <w:b w:val="0"/>
          <w:i w:val="0"/>
          <w:color w:val="101828"/>
          <w:sz w:val="21"/>
        </w:rPr>
        <w:t xml:space="preserve">The single most important control — </w:t>
      </w:r>
      <w:r>
        <w:rPr>
          <w:rFonts w:ascii="Calibri" w:hAnsi="Calibri"/>
          <w:b/>
          <w:i w:val="0"/>
          <w:color w:val="1D4ED8"/>
          <w:sz w:val="21"/>
        </w:rPr>
        <w:t>it filters the entire application at once</w:t>
      </w:r>
      <w:r>
        <w:rPr>
          <w:rFonts w:ascii="Calibri" w:hAnsi="Calibri"/>
          <w:b w:val="0"/>
          <w:i w:val="0"/>
          <w:color w:val="101828"/>
          <w:sz w:val="21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Scope = All Customers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 xml:space="preserve">every screen shows the full book — </w:t>
      </w:r>
      <w:r>
        <w:rPr>
          <w:rFonts w:ascii="Consolas" w:hAnsi="Consolas"/>
          <w:b/>
          <w:i w:val="0"/>
          <w:color w:val="1D4ED8"/>
          <w:sz w:val="20"/>
        </w:rPr>
        <w:t>480 accounts, $3.85M</w:t>
      </w:r>
      <w:r>
        <w:rPr>
          <w:rFonts w:ascii="Calibri" w:hAnsi="Calibri"/>
          <w:b w:val="0"/>
          <w:i w:val="0"/>
          <w:color w:val="101828"/>
          <w:sz w:val="20"/>
        </w:rPr>
        <w:t>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Scope = Normal Customers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consumer accounts only (</w:t>
      </w:r>
      <w:r>
        <w:rPr>
          <w:rFonts w:ascii="Consolas" w:hAnsi="Consolas"/>
          <w:b/>
          <w:i w:val="0"/>
          <w:color w:val="1D4ED8"/>
          <w:sz w:val="20"/>
        </w:rPr>
        <w:t>300 accounts</w:t>
      </w:r>
      <w:r>
        <w:rPr>
          <w:rFonts w:ascii="Calibri" w:hAnsi="Calibri"/>
          <w:b w:val="0"/>
          <w:i w:val="0"/>
          <w:color w:val="101828"/>
          <w:sz w:val="20"/>
        </w:rPr>
        <w:t>); enterprise cards and rows vanish across all screens.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Scope = Enterprise Customers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 xml:space="preserve">business accounts only — </w:t>
      </w:r>
      <w:r>
        <w:rPr>
          <w:rFonts w:ascii="Consolas" w:hAnsi="Consolas"/>
          <w:b/>
          <w:i w:val="0"/>
          <w:color w:val="1D4ED8"/>
          <w:sz w:val="20"/>
        </w:rPr>
        <w:t>180 accounts, $3.65M</w:t>
      </w:r>
      <w:r>
        <w:rPr>
          <w:rFonts w:ascii="Calibri" w:hAnsi="Calibri"/>
          <w:b w:val="0"/>
          <w:i w:val="0"/>
          <w:color w:val="101828"/>
          <w:sz w:val="20"/>
        </w:rPr>
        <w:t>; consumers disappear, Case Management included.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Theme   </w:t>
      </w:r>
      <w:r>
        <w:rPr>
          <w:rFonts w:ascii="Calibri" w:hAnsi="Calibri"/>
          <w:b w:val="0"/>
          <w:i w:val="0"/>
          <w:color w:val="101828"/>
          <w:sz w:val="21"/>
        </w:rPr>
        <w:t>Light and dark are both first-class; the toggle stamps the whole app.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Portfolio Pulseboard — the whole book at a glance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PORTFOLIO PULSEBOARD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Portfolio Dashboard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Answer one question fast: how big is the book, and how much of it is in trouble? Laid out as an argument — Exposure → Health → Diagnosis → Action.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Collections managers and operations leads starting their day.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 xml:space="preserve">Four hero tiles — Total Outstanding </w:t>
      </w:r>
      <w:r>
        <w:rPr>
          <w:rFonts w:ascii="Consolas" w:hAnsi="Consolas"/>
          <w:b/>
          <w:i w:val="0"/>
          <w:color w:val="1D4ED8"/>
          <w:sz w:val="21"/>
        </w:rPr>
        <w:t>$3.85M</w:t>
      </w:r>
      <w:r>
        <w:rPr>
          <w:rFonts w:ascii="Calibri" w:hAnsi="Calibri"/>
          <w:b w:val="0"/>
          <w:i w:val="0"/>
          <w:color w:val="101828"/>
          <w:sz w:val="21"/>
        </w:rPr>
        <w:t xml:space="preserve">, 90+ Exposure </w:t>
      </w:r>
      <w:r>
        <w:rPr>
          <w:rFonts w:ascii="Consolas" w:hAnsi="Consolas"/>
          <w:b/>
          <w:i w:val="0"/>
          <w:color w:val="1D4ED8"/>
          <w:sz w:val="21"/>
        </w:rPr>
        <w:t>$824K</w:t>
      </w:r>
      <w:r>
        <w:rPr>
          <w:rFonts w:ascii="Calibri" w:hAnsi="Calibri"/>
          <w:b w:val="0"/>
          <w:i w:val="0"/>
          <w:color w:val="101828"/>
          <w:sz w:val="21"/>
        </w:rPr>
        <w:t>, Collected MTD, Collection Effectiveness (CEI).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Operating Health — six ratios (recovery, cure, roll-forward, PTP-kept, right-party-contact, cost-to-collect).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Aging Distribution chart + Collections-vs-Pace 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Needs Attention — three ranked priority cohorts, each a click into the relevant screen.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Read the 90+ tile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21.4% of the book sits in 7.1% of accounts — risk is concentrating, and the tile is styled red to say so.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Click a priority cohort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deep-links into Risk Analysis carrying the filter.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Apply the FilterBar (segment / region / product / aging)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every tile, chart and cohort re-derives; the count shows "N of M accounts".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PORTFOLIO PULSEBOARD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Performance Reports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Six analytical lenses on the same book — each tab a different cut, all reconciling with the dashboard.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Analysts and managers preparing reviews; CSV export for offline work.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The six tabs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Portfolio Aging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exposure by bucket, weighted-avg DPD, largest exposures table.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PTP Lifecycle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promise reliability decaying by aging bucket.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Collections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recovery by product and by segment.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Strategy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the five dunning stages, recovery falling as they escalate.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Channels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response rate vs cost-per-contact vs return, per channel.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Case &amp; SLA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case load by status, agent SLA compliance.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Change the FilterBar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all six tabs re-scope together.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Click Export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downloads the filtered rows for the active tab as CSV — what you see is what you get.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Customer Pulseboard — from the crowd to the individual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CUSTOMER PULSEBOARD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Risk Analysis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Automated risk scoring on one 0–100 scale, with the drivers behind each score.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Analysts and credit controllers triaging who to work first.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 xml:space="preserve">Four risk bands — Low </w:t>
      </w:r>
      <w:r>
        <w:rPr>
          <w:rFonts w:ascii="Consolas" w:hAnsi="Consolas"/>
          <w:b/>
          <w:i w:val="0"/>
          <w:color w:val="1D4ED8"/>
          <w:sz w:val="21"/>
        </w:rPr>
        <w:t>338</w:t>
      </w:r>
      <w:r>
        <w:rPr>
          <w:rFonts w:ascii="Calibri" w:hAnsi="Calibri"/>
          <w:b w:val="0"/>
          <w:i w:val="0"/>
          <w:color w:val="101828"/>
          <w:sz w:val="21"/>
        </w:rPr>
        <w:t xml:space="preserve">, Medium </w:t>
      </w:r>
      <w:r>
        <w:rPr>
          <w:rFonts w:ascii="Consolas" w:hAnsi="Consolas"/>
          <w:b/>
          <w:i w:val="0"/>
          <w:color w:val="1D4ED8"/>
          <w:sz w:val="21"/>
        </w:rPr>
        <w:t>83</w:t>
      </w:r>
      <w:r>
        <w:rPr>
          <w:rFonts w:ascii="Calibri" w:hAnsi="Calibri"/>
          <w:b w:val="0"/>
          <w:i w:val="0"/>
          <w:color w:val="101828"/>
          <w:sz w:val="21"/>
        </w:rPr>
        <w:t xml:space="preserve">, High </w:t>
      </w:r>
      <w:r>
        <w:rPr>
          <w:rFonts w:ascii="Consolas" w:hAnsi="Consolas"/>
          <w:b/>
          <w:i w:val="0"/>
          <w:color w:val="1D4ED8"/>
          <w:sz w:val="21"/>
        </w:rPr>
        <w:t>39</w:t>
      </w:r>
      <w:r>
        <w:rPr>
          <w:rFonts w:ascii="Calibri" w:hAnsi="Calibri"/>
          <w:b w:val="0"/>
          <w:i w:val="0"/>
          <w:color w:val="101828"/>
          <w:sz w:val="21"/>
        </w:rPr>
        <w:t xml:space="preserve">, Critical </w:t>
      </w:r>
      <w:r>
        <w:rPr>
          <w:rFonts w:ascii="Consolas" w:hAnsi="Consolas"/>
          <w:b/>
          <w:i w:val="0"/>
          <w:color w:val="1D4ED8"/>
          <w:sz w:val="21"/>
        </w:rPr>
        <w:t>20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each a real count.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A searchable, scored customer list; select one to see its ranked risk drivers.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Search a customer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their 0–100 score, band, and the factors that built it (DPD, contactability, broken PTPs, disputes, contact recency).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Compare two customers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score is consistent — the same 95 means the same thing everywhere in the app.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CUSTOMER PULSEBOARD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Risk Grid Analytics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Diagnostic + prescriptive segmentation: where the risk sits and what to do about it.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Operations leads planning campaigns.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Risk Grid heatmap — aging × risk band, cell intensity = exposure.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Behavioural Segmentation — accounts grouped by behaviour (Disputed/Blocked, Unreachable, Promise Breakers, High-Value at Risk, Drifters, Recoverable, Healthy), each with a recommended play.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Priority Targets — ranked by exposure × risk × reachability.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Click a heatmap cell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AI recommendation panel for that aging×risk cluster.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Pick a customer from the search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grid highlights their cell; View 360 jumps to their profile.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Change scope or filters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grid, segments and targets all re-derive.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CUSTOMER PULSEBOARD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Customer 360  &amp;  Borrower 360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The complete account file for one customer — risk view (360) plus the account-level borrower record (Borrower 360, embedded).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 collector about to make contact; a manager reviewing an escalation.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Header: risk badge, aging badge, outstanding, assigned agent.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Risk trend (6 months), payment history, risk drivers, next action.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Borrower 360 tabs — Invoices, Payments, Milestones, Communications, Disputes.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Open from Risk Grid "View 360"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lands on that exact customer — the customerId carries through.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Switch customer in the picker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every panel updates; the list spans all segments (not just enterprise).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Reassign the agent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updates locally without mutating the shared dataset.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Dunning Strategy Studio — design the playbook once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DUNNING STRATEGY STUDIO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Strategy Execution Summary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How the live strategies are performing across the delinquent book.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Operations leads monitoring the running playbook.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 xml:space="preserve">Six KPIs — accounts in strategy </w:t>
      </w:r>
      <w:r>
        <w:rPr>
          <w:rFonts w:ascii="Consolas" w:hAnsi="Consolas"/>
          <w:b/>
          <w:i w:val="0"/>
          <w:color w:val="1D4ED8"/>
          <w:sz w:val="21"/>
        </w:rPr>
        <w:t>182</w:t>
      </w:r>
      <w:r>
        <w:rPr>
          <w:rFonts w:ascii="Calibri" w:hAnsi="Calibri"/>
          <w:b w:val="0"/>
          <w:i w:val="0"/>
          <w:color w:val="101828"/>
          <w:sz w:val="21"/>
        </w:rPr>
        <w:t>, PTP success, avg resolution, total recovered, active strategies, contact response rate.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Channel Performance — response, delivery and recovery per channel (SMS through Dialer).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Read the channel cards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digital is cheap but ignored (SMS ~13%, Email ~8%); voice converts (~24%) but costs more — the core collections trade-off, straight from the data.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DUNNING STRATEGY STUDIO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Strategy Designer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A general workflow tool — browse published journeys, then design them on a visual canvas.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Strategy designers and operations leads authoring dunning journeys.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Strategy Library lands first — six journeys with segment, aging, uplift, version. Search + filters + Clear.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Click one → the visual designer: a component library (Channels, Actions, Conditions, AI, RPA) and a drag-and-drop canvas.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Toolbar: Clear, Export, Import, Auto-Layout, Simulate, A/B Testing, What-If; Save Draft, Submit for Approval, Publish, Version History.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Click a strategy row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opens that journey's workflow on the canvas with a context bar and a Back button.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Drag a node, connect it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edge curves cleanly from box to box; Simulate animates the active path.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Save Draft, reopen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your edits reload (persisted per strategy), not the template.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Escalation stages   </w:t>
      </w:r>
      <w:r>
        <w:rPr>
          <w:rFonts w:ascii="Calibri" w:hAnsi="Calibri"/>
          <w:b w:val="0"/>
          <w:i w:val="0"/>
          <w:color w:val="101828"/>
          <w:sz w:val="21"/>
        </w:rPr>
        <w:t xml:space="preserve">Soft Reminder → Standard Dunning → AI Adaptive → Intensive Recovery → </w:t>
      </w:r>
      <w:r>
        <w:rPr>
          <w:rFonts w:ascii="Calibri" w:hAnsi="Calibri"/>
          <w:b/>
          <w:i w:val="0"/>
          <w:color w:val="DC2626"/>
          <w:sz w:val="21"/>
        </w:rPr>
        <w:t>Pre-Legal</w:t>
      </w:r>
      <w:r>
        <w:rPr>
          <w:rFonts w:ascii="Calibri" w:hAnsi="Calibri"/>
          <w:b w:val="0"/>
          <w:i w:val="0"/>
          <w:color w:val="101828"/>
          <w:sz w:val="21"/>
        </w:rPr>
        <w:t>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Operations Hub — the front line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OPERATIONS HUB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Case Management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The full case operations dashboard — customers, agents and cases, three ways to look at the same book.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Collections agents and team leads working the queue.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Three view modes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Customer view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expandable table (exposure, aging, DPD, risk, credit, agent); expand a row for its PTP / Cases / Disputes / Legal.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Agent view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one collapsible card per agent with badge counts; expand for four typed columns of that agent's items.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1"/>
        </w:rPr>
        <w:t>Cases view</w:t>
      </w:r>
      <w:r>
        <w:rPr>
          <w:rFonts w:ascii="Calibri" w:hAnsi="Calibri"/>
          <w:b w:val="0"/>
          <w:i w:val="0"/>
          <w:color w:val="101828"/>
          <w:sz w:val="21"/>
        </w:rPr>
        <w:t xml:space="preserve"> — card grid (Consumer + Enterprise sections) with a grid⇄table toggle.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View by → Agent → Robert Kim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his 40-case book; expand to see Aisha Darwish's dispute and broken PTP.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Group Enterprise by Company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individual enterprise cards collapse into per-BAN group cards.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Filters / Search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panel count reflects active filters; search spans name, company, country, ID.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Eye icon on a card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opens a drawer (Overview / Notes / To-Do); PTP/Dispute/Legal open dedicated modals.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Change global Customer Scope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whole dashboard re-scopes — all three views at once.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OPERATIONS HUB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Agent Performance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Team-level performance — trends and a recovery comparison across the six agents.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Team leads and managers reviewing the collections team.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Four KPI tiles (agents, cases managed, recovery, avg success rate).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Performance Trends line chart (with a legend — three series, distinct colours) and a per-agent recovery bar chart.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Filter by timeframe / sort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 table and charts re-order; the six agents are the real roster.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OPERATIONS HUB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AI Engagement Center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The live automated-engagement queue and a single customer's interaction workspace.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Agents handling AI-assisted outreach.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Subscriber Interactions — the queue, ranked by risk, each with channel and status.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Today's Performance — pending, calls/chats resolved, tickets, response time, first-contact resolution.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Analytics tab — Call Outcomes, Risk Analysis, Escalations (line chart), Distribution (pie).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scenarios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Click a subscriber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their detail: AI automation metrics, PTP details, and a scrollable chat/call history that quotes the customer's real balance and DPD.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Open Analytics → Distribution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call-outcome pie with five distinct, legible slices.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OPERATIONS HUB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Agent Dashboard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One agent's daily target-vs-recovery cockpit.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An individual collector tracking their day.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What you see   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KPI tiles (monthly target, recovery, pending, cases closed), a completion ring, a recovery timeline.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Case Management table — the agent's real assigned cases (exposure, recovered, status, next action).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01828"/>
          <w:sz w:val="21"/>
        </w:rPr>
        <w:t>Recovery Notes and a daily Action-Plan checklist.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Working scenario   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01828"/>
          <w:sz w:val="20"/>
        </w:rPr>
        <w:t>Search the case table</w:t>
      </w:r>
      <w:r>
        <w:rPr>
          <w:rFonts w:ascii="Consolas" w:hAnsi="Consolas"/>
          <w:b w:val="0"/>
          <w:i w:val="0"/>
          <w:color w:val="1D4ED8"/>
          <w:sz w:val="20"/>
        </w:rPr>
        <w:t xml:space="preserve">  →  </w:t>
      </w:r>
      <w:r>
        <w:rPr>
          <w:rFonts w:ascii="Calibri" w:hAnsi="Calibri"/>
          <w:b w:val="0"/>
          <w:i w:val="0"/>
          <w:color w:val="101828"/>
          <w:sz w:val="20"/>
        </w:rPr>
        <w:t>filters the agent's live cases; money and last-contact are formatted consistently.</w:t>
      </w:r>
    </w:p>
    <w:p>
      <w:pPr>
        <w:spacing w:before="280" w:after="20"/>
      </w:pPr>
      <w:r>
        <w:rPr>
          <w:rFonts w:ascii="Consolas" w:hAnsi="Consolas"/>
          <w:b/>
          <w:i w:val="0"/>
          <w:color w:val="667085"/>
          <w:sz w:val="16"/>
        </w:rPr>
        <w:t>OPERATIONS HUB</w:t>
      </w:r>
    </w:p>
    <w:p>
      <w:pPr>
        <w:spacing w:before="0" w:after="60"/>
      </w:pPr>
      <w:r>
        <w:rPr>
          <w:rFonts w:ascii="Calibri" w:hAnsi="Calibri"/>
          <w:b/>
          <w:i w:val="0"/>
          <w:color w:val="1D4ED8"/>
          <w:sz w:val="26"/>
        </w:rPr>
        <w:t>Self Service BI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Purpose   </w:t>
      </w:r>
      <w:r>
        <w:rPr>
          <w:rFonts w:ascii="Calibri" w:hAnsi="Calibri"/>
          <w:b w:val="0"/>
          <w:i w:val="0"/>
          <w:color w:val="101828"/>
          <w:sz w:val="21"/>
        </w:rPr>
        <w:t>An embedded analytics surface (Superset) for ad-hoc exploration beyond the built-in screens.</w:t>
      </w:r>
    </w:p>
    <w:p>
      <w:pPr>
        <w:spacing w:before="0" w:after="80"/>
      </w:pPr>
      <w:r>
        <w:rPr>
          <w:rFonts w:ascii="Calibri" w:hAnsi="Calibri"/>
          <w:b/>
          <w:i w:val="0"/>
          <w:color w:val="101828"/>
          <w:sz w:val="19"/>
        </w:rPr>
        <w:t xml:space="preserve">Who uses it   </w:t>
      </w:r>
      <w:r>
        <w:rPr>
          <w:rFonts w:ascii="Calibri" w:hAnsi="Calibri"/>
          <w:b w:val="0"/>
          <w:i w:val="0"/>
          <w:color w:val="101828"/>
          <w:sz w:val="21"/>
        </w:rPr>
        <w:t>Analysts building their own views.</w:t>
      </w:r>
    </w:p>
    <w:p>
      <w:pPr>
        <w:spacing w:before="360" w:after="80"/>
        <w:pBdr>
          <w:bottom w:val="single" w:sz="8" w:space="6" w:color="E4E9F1"/>
        </w:pBdr>
      </w:pPr>
      <w:r>
        <w:rPr>
          <w:rFonts w:ascii="Calibri" w:hAnsi="Calibri"/>
          <w:b/>
          <w:i w:val="0"/>
          <w:color w:val="101828"/>
          <w:sz w:val="30"/>
        </w:rPr>
        <w:t>The through-line — one dataset, every screen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475067"/>
          <w:sz w:val="21"/>
        </w:rPr>
        <w:t xml:space="preserve">Nothing above is a standalone mockup. There is </w:t>
      </w:r>
      <w:r>
        <w:rPr>
          <w:rFonts w:ascii="Calibri" w:hAnsi="Calibri"/>
          <w:b/>
          <w:i w:val="0"/>
          <w:color w:val="1D4ED8"/>
          <w:sz w:val="21"/>
        </w:rPr>
        <w:t>one account list</w:t>
      </w:r>
      <w:r>
        <w:rPr>
          <w:rFonts w:ascii="Calibri" w:hAnsi="Calibri"/>
          <w:b w:val="0"/>
          <w:i w:val="0"/>
          <w:color w:val="475067"/>
          <w:sz w:val="21"/>
        </w:rPr>
        <w:t xml:space="preserve"> (480 records). Every screen </w:t>
      </w:r>
      <w:r>
        <w:rPr>
          <w:rFonts w:ascii="Calibri" w:hAnsi="Calibri"/>
          <w:b w:val="0"/>
          <w:i/>
          <w:color w:val="475067"/>
          <w:sz w:val="21"/>
        </w:rPr>
        <w:t>derives</w:t>
      </w:r>
      <w:r>
        <w:rPr>
          <w:rFonts w:ascii="Calibri" w:hAnsi="Calibri"/>
          <w:b w:val="0"/>
          <w:i w:val="0"/>
          <w:color w:val="475067"/>
          <w:sz w:val="21"/>
        </w:rPr>
        <w:t xml:space="preserve"> its numbers from it — the dashboard sums it, Risk Analysis scores it, Case Management groups it by agent, Reports cuts it six ways. A customer's $3,727 is the same field wherever it appears, and the Customer Scope selector re-scopes all of them together. That is why the figures never disagree.</w:t>
      </w:r>
    </w:p>
    <w:p>
      <w:pPr>
        <w:spacing w:before="320" w:after="40"/>
        <w:pBdr>
          <w:bottom w:val="single" w:sz="8" w:space="6" w:color="E4E9F1"/>
        </w:pBdr>
      </w:pPr>
    </w:p>
    <w:p>
      <w:pPr>
        <w:spacing w:before="40" w:after="0"/>
      </w:pPr>
      <w:r>
        <w:rPr>
          <w:rFonts w:ascii="Consolas" w:hAnsi="Consolas"/>
          <w:b w:val="0"/>
          <w:i w:val="0"/>
          <w:color w:val="667085"/>
          <w:sz w:val="17"/>
        </w:rPr>
        <w:t>RADONaix Assure+ · Screen Guide</w:t>
      </w:r>
      <w:r>
        <w:rPr>
          <w:rFonts w:ascii="Consolas" w:hAnsi="Consolas"/>
          <w:b w:val="0"/>
          <w:i w:val="0"/>
          <w:color w:val="667085"/>
          <w:sz w:val="17"/>
        </w:rPr>
        <w:t xml:space="preserve">        Generated from src/data/portfolio.json · 480 accounts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