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9"/>
          <w:sz w:val="48"/>
        </w:rPr>
        <w:t>Debt Negotiation Chatbot</w:t>
      </w:r>
    </w:p>
    <w:p>
      <w:r>
        <w:rPr>
          <w:color w:val="5A5A5A"/>
          <w:sz w:val="24"/>
        </w:rPr>
        <w:t>Design principles, guardrails, and scope</w:t>
      </w:r>
    </w:p>
    <w:p>
      <w:pPr>
        <w:spacing w:after="120"/>
      </w:pPr>
      <w:r>
        <w:rPr>
          <w:b w:val="0"/>
          <w:i w:val="0"/>
          <w:sz w:val="21"/>
        </w:rPr>
        <w:t>This document accompanies the live demonstration. It explains what the negotiator is built on, why it responds the way it does, what it is designed to handle, and — just as importantly — what it is not. Every behaviour described here was observed in the recorded demo runs, not asserted from the design.</w:t>
      </w:r>
    </w:p>
    <w:p>
      <w:pPr>
        <w:pStyle w:val="Heading1"/>
      </w:pPr>
      <w:r>
        <w:t>1. What this is, and why it is not a support chatbot</w:t>
      </w:r>
    </w:p>
    <w:p>
      <w:pPr>
        <w:spacing w:after="120"/>
      </w:pPr>
      <w:r>
        <w:rPr>
          <w:b w:val="0"/>
          <w:i w:val="0"/>
          <w:sz w:val="21"/>
        </w:rPr>
        <w:t>A customer-support assistant and a collections negotiator look similar and behave nothing alike. Three differences drive every design decision that follows.</w:t>
      </w:r>
    </w:p>
    <w:tbl>
      <w:tblPr>
        <w:tblStyle w:val="LightGrid-Accent1"/>
        <w:tblW w:type="auto" w:w="0"/>
        <w:tblLook w:firstColumn="1" w:firstRow="1" w:lastColumn="0" w:lastRow="0" w:noHBand="0" w:noVBand="1" w:val="04A0"/>
      </w:tblPr>
      <w:tblGrid>
        <w:gridCol w:w="2880"/>
        <w:gridCol w:w="2880"/>
        <w:gridCol w:w="2880"/>
      </w:tblGrid>
      <w:tr>
        <w:tc>
          <w:tcPr>
            <w:tcW w:type="dxa" w:w="1656"/>
          </w:tcPr>
          <w:p>
            <w:r/>
            <w:r>
              <w:rPr>
                <w:b/>
                <w:sz w:val="18"/>
              </w:rPr>
            </w:r>
          </w:p>
        </w:tc>
        <w:tc>
          <w:tcPr>
            <w:tcW w:type="dxa" w:w="3600"/>
          </w:tcPr>
          <w:p>
            <w:r/>
            <w:r>
              <w:rPr>
                <w:b/>
                <w:sz w:val="18"/>
              </w:rPr>
              <w:t>Support assistant</w:t>
            </w:r>
          </w:p>
        </w:tc>
        <w:tc>
          <w:tcPr>
            <w:tcW w:type="dxa" w:w="4104"/>
          </w:tcPr>
          <w:p>
            <w:r/>
            <w:r>
              <w:rPr>
                <w:b/>
                <w:sz w:val="18"/>
              </w:rPr>
              <w:t>Collections negotiator</w:t>
            </w:r>
          </w:p>
        </w:tc>
      </w:tr>
      <w:tr>
        <w:tc>
          <w:tcPr>
            <w:tcW w:type="dxa" w:w="1656"/>
          </w:tcPr>
          <w:p>
            <w:r>
              <w:rPr>
                <w:sz w:val="18"/>
              </w:rPr>
              <w:t>The counterparty</w:t>
            </w:r>
          </w:p>
        </w:tc>
        <w:tc>
          <w:tcPr>
            <w:tcW w:type="dxa" w:w="3600"/>
          </w:tcPr>
          <w:p>
            <w:r>
              <w:rPr>
                <w:sz w:val="18"/>
              </w:rPr>
              <w:t>Cooperative. Wants the problem solved.</w:t>
            </w:r>
          </w:p>
        </w:tc>
        <w:tc>
          <w:tcPr>
            <w:tcW w:type="dxa" w:w="4104"/>
          </w:tcPr>
          <w:p>
            <w:r>
              <w:rPr>
                <w:sz w:val="18"/>
              </w:rPr>
              <w:t>Non-cooperative. May be evasive, hostile, or actively working to pay less than they owe.</w:t>
            </w:r>
          </w:p>
        </w:tc>
      </w:tr>
      <w:tr>
        <w:tc>
          <w:tcPr>
            <w:tcW w:type="dxa" w:w="1656"/>
          </w:tcPr>
          <w:p>
            <w:r>
              <w:rPr>
                <w:sz w:val="18"/>
              </w:rPr>
              <w:t>The goal</w:t>
            </w:r>
          </w:p>
        </w:tc>
        <w:tc>
          <w:tcPr>
            <w:tcW w:type="dxa" w:w="3600"/>
          </w:tcPr>
          <w:p>
            <w:r>
              <w:rPr>
                <w:sz w:val="18"/>
              </w:rPr>
              <w:t>One objective: resolve the query.</w:t>
            </w:r>
          </w:p>
        </w:tc>
        <w:tc>
          <w:tcPr>
            <w:tcW w:type="dxa" w:w="4104"/>
          </w:tcPr>
          <w:p>
            <w:r>
              <w:rPr>
                <w:sz w:val="18"/>
              </w:rPr>
              <w:t>Two competing objectives: recover value, and treat the person fairly. Optimising either alone produces a broken agent.</w:t>
            </w:r>
          </w:p>
        </w:tc>
      </w:tr>
      <w:tr>
        <w:tc>
          <w:tcPr>
            <w:tcW w:type="dxa" w:w="1656"/>
          </w:tcPr>
          <w:p>
            <w:r>
              <w:rPr>
                <w:sz w:val="18"/>
              </w:rPr>
              <w:t>The ending</w:t>
            </w:r>
          </w:p>
        </w:tc>
        <w:tc>
          <w:tcPr>
            <w:tcW w:type="dxa" w:w="3600"/>
          </w:tcPr>
          <w:p>
            <w:r>
              <w:rPr>
                <w:sz w:val="18"/>
              </w:rPr>
              <w:t>Open-ended. Ends when the user is satisfied.</w:t>
            </w:r>
          </w:p>
        </w:tc>
        <w:tc>
          <w:tcPr>
            <w:tcW w:type="dxa" w:w="4104"/>
          </w:tcPr>
          <w:p>
            <w:r>
              <w:rPr>
                <w:sz w:val="18"/>
              </w:rPr>
              <w:t>A structured terminal state: a four-part repayment agreement, or a handoff to a human.</w:t>
            </w:r>
          </w:p>
        </w:tc>
      </w:tr>
    </w:tbl>
    <w:p/>
    <w:tbl>
      <w:tblPr>
        <w:tblW w:type="auto" w:w="0"/>
        <w:jc w:val="left"/>
        <w:tblLook w:firstColumn="1" w:firstRow="1" w:lastColumn="0" w:lastRow="0" w:noHBand="0" w:noVBand="1" w:val="04A0"/>
      </w:tblPr>
      <w:tblGrid>
        <w:gridCol w:w="8640"/>
      </w:tblGrid>
      <w:tr>
        <w:tc>
          <w:tcPr>
            <w:tcW w:type="dxa" w:w="8640"/>
            <w:shd w:val="clear" w:fill="FFF6E5"/>
          </w:tcPr>
          <w:p>
            <w:r>
              <w:rPr>
                <w:b/>
                <w:sz w:val="20"/>
              </w:rPr>
              <w:t xml:space="preserve">The two-objective problem.  </w:t>
            </w:r>
            <w:r>
              <w:rPr>
                <w:sz w:val="20"/>
              </w:rPr>
              <w:t>An agent optimised only for customer satisfaction concedes discounts to keep the conversation pleasant, and collects nothing. An agent optimised only for recovery becomes coercive and creates regulatory risk. Both failure modes are easy to reproduce. The system is deliberately built to hold both objectives at once, and is judged on both.</w:t>
            </w:r>
          </w:p>
        </w:tc>
      </w:tr>
    </w:tbl>
    <w:p/>
    <w:p>
      <w:pPr>
        <w:spacing w:after="120"/>
      </w:pPr>
      <w:r>
        <w:rPr>
          <w:b w:val="0"/>
          <w:i w:val="0"/>
          <w:sz w:val="21"/>
        </w:rPr>
        <w:t>The counterparty is also hostile more often than not. Research on debt collection dialogue classifies debtor behaviour into four archetypes, with confrontational debtors the largest single group at roughly 38%, followed by avoidant at 31% and helpless at 25%. Genuinely cooperative debtors are about 6%. The negotiator is therefore tuned for resistance as the normal case, not the exception — which is why the demo deliberately includes an aggressive customer rather than only a sympathetic one.</w:t>
      </w:r>
    </w:p>
    <w:p>
      <w:pPr>
        <w:pStyle w:val="Heading1"/>
      </w:pPr>
      <w:r>
        <w:t>2. The principles the system is built on</w:t>
      </w:r>
    </w:p>
    <w:p>
      <w:pPr>
        <w:spacing w:after="120"/>
      </w:pPr>
      <w:r>
        <w:rPr>
          <w:b w:val="0"/>
          <w:i w:val="0"/>
          <w:sz w:val="21"/>
        </w:rPr>
        <w:t>Six principles govern the design. They are listed in priority order: where two conflict, the earlier one wins.</w:t>
      </w:r>
    </w:p>
    <w:p>
      <w:pPr>
        <w:pStyle w:val="Heading2"/>
      </w:pPr>
      <w:r>
        <w:t>Principle 1 — The rules of the deal are defined outside the model</w:t>
      </w:r>
    </w:p>
    <w:p>
      <w:pPr>
        <w:spacing w:after="120"/>
      </w:pPr>
      <w:r>
        <w:rPr>
          <w:b w:val="0"/>
          <w:i w:val="0"/>
          <w:sz w:val="21"/>
        </w:rPr>
        <w:t>Which discounts are allowed, how much must be paid upfront, how long a plan may run — these are business decisions, not conversational ones. The model proposes terms inside a fixed envelope; it never gets to define the envelope. In this demonstrator the permitted values are locked into the response format itself, so the model is structurally incapable of emitting a 7% discount or an 8-month plan. It can only choose from the grid it is given.</w:t>
      </w:r>
    </w:p>
    <w:p>
      <w:pPr>
        <w:pStyle w:val="Heading2"/>
      </w:pPr>
      <w:r>
        <w:t>Principle 2 — A prompt is guidance, not enforcement</w:t>
      </w:r>
    </w:p>
    <w:p>
      <w:pPr>
        <w:spacing w:after="120"/>
      </w:pPr>
      <w:r>
        <w:rPr>
          <w:b w:val="0"/>
          <w:i w:val="0"/>
          <w:sz w:val="21"/>
        </w:rPr>
        <w:t>This is the single most important principle, and it is an empirical finding rather than a stylistic preference. In the published research behind this design, every model tested was given the full concession rules in its instructions — hold discounts at zero, insist on at least 25% upfront — and every model broke them anyway under nothing more than mild conversational pushback. One documented case shows a model volunteering a 10% discount unprompted and settling at 20% with only 15% upfront.</w:t>
      </w:r>
    </w:p>
    <w:p>
      <w:pPr>
        <w:spacing w:after="120"/>
      </w:pPr>
      <w:r>
        <w:rPr>
          <w:b w:val="0"/>
          <w:i w:val="0"/>
          <w:sz w:val="21"/>
        </w:rPr>
        <w:t>The conclusion is not 'write a better prompt'. It is that instructions describe intent, and anything that must hold under adversarial pressure has to be checked in code. Section 9 of this document is honest about where this demonstrator sits on that line.</w:t>
      </w:r>
    </w:p>
    <w:p>
      <w:pPr>
        <w:pStyle w:val="Heading2"/>
      </w:pPr>
      <w:r>
        <w:t>Principle 3 — Every turn declares its strategy</w:t>
      </w:r>
    </w:p>
    <w:p>
      <w:pPr>
        <w:spacing w:after="120"/>
      </w:pPr>
      <w:r>
        <w:rPr>
          <w:b w:val="0"/>
          <w:i w:val="0"/>
          <w:sz w:val="21"/>
        </w:rPr>
        <w:t>The negotiator does not simply produce text. Each turn is labelled with one of nine collector strategies, chosen before the words are written. An unlabelled turn is treated as a defect. This makes behaviour auditable after the fact — you can ask why a given reply was made, and get an answer, rather than inspecting prose and guessing.</w:t>
      </w:r>
    </w:p>
    <w:tbl>
      <w:tblPr>
        <w:tblStyle w:val="LightGrid-Accent1"/>
        <w:tblW w:type="auto" w:w="0"/>
        <w:tblLook w:firstColumn="1" w:firstRow="1" w:lastColumn="0" w:lastRow="0" w:noHBand="0" w:noVBand="1" w:val="04A0"/>
      </w:tblPr>
      <w:tblGrid>
        <w:gridCol w:w="4320"/>
        <w:gridCol w:w="4320"/>
      </w:tblGrid>
      <w:tr>
        <w:tc>
          <w:tcPr>
            <w:tcW w:type="dxa" w:w="2736"/>
          </w:tcPr>
          <w:p>
            <w:r/>
            <w:r>
              <w:rPr>
                <w:b/>
                <w:sz w:val="18"/>
              </w:rPr>
              <w:t>Strategy</w:t>
            </w:r>
          </w:p>
        </w:tc>
        <w:tc>
          <w:tcPr>
            <w:tcW w:type="dxa" w:w="6624"/>
          </w:tcPr>
          <w:p>
            <w:r/>
            <w:r>
              <w:rPr>
                <w:b/>
                <w:sz w:val="18"/>
              </w:rPr>
              <w:t>Used when</w:t>
            </w:r>
          </w:p>
        </w:tc>
      </w:tr>
      <w:tr>
        <w:tc>
          <w:tcPr>
            <w:tcW w:type="dxa" w:w="2736"/>
          </w:tcPr>
          <w:p>
            <w:r>
              <w:rPr>
                <w:sz w:val="18"/>
              </w:rPr>
              <w:t>IDENTITY_VERIFICATION</w:t>
            </w:r>
          </w:p>
        </w:tc>
        <w:tc>
          <w:tcPr>
            <w:tcW w:type="dxa" w:w="6624"/>
          </w:tcPr>
          <w:p>
            <w:r>
              <w:rPr>
                <w:sz w:val="18"/>
              </w:rPr>
              <w:t>Confirming who is on the line and disclosing purpose.</w:t>
            </w:r>
          </w:p>
        </w:tc>
      </w:tr>
      <w:tr>
        <w:tc>
          <w:tcPr>
            <w:tcW w:type="dxa" w:w="2736"/>
          </w:tcPr>
          <w:p>
            <w:r>
              <w:rPr>
                <w:sz w:val="18"/>
              </w:rPr>
              <w:t>ESTABLISH_TRUST</w:t>
            </w:r>
          </w:p>
        </w:tc>
        <w:tc>
          <w:tcPr>
            <w:tcW w:type="dxa" w:w="6624"/>
          </w:tcPr>
          <w:p>
            <w:r>
              <w:rPr>
                <w:sz w:val="18"/>
              </w:rPr>
              <w:t>Setting a cooperative frame before money is discussed.</w:t>
            </w:r>
          </w:p>
        </w:tc>
      </w:tr>
      <w:tr>
        <w:tc>
          <w:tcPr>
            <w:tcW w:type="dxa" w:w="2736"/>
          </w:tcPr>
          <w:p>
            <w:r>
              <w:rPr>
                <w:sz w:val="18"/>
              </w:rPr>
              <w:t>FINANCIAL_ASSESSMENT</w:t>
            </w:r>
          </w:p>
        </w:tc>
        <w:tc>
          <w:tcPr>
            <w:tcW w:type="dxa" w:w="6624"/>
          </w:tcPr>
          <w:p>
            <w:r>
              <w:rPr>
                <w:sz w:val="18"/>
              </w:rPr>
              <w:t>Establishing what the customer can actually pay, and when.</w:t>
            </w:r>
          </w:p>
        </w:tc>
      </w:tr>
      <w:tr>
        <w:tc>
          <w:tcPr>
            <w:tcW w:type="dxa" w:w="2736"/>
          </w:tcPr>
          <w:p>
            <w:r>
              <w:rPr>
                <w:sz w:val="18"/>
              </w:rPr>
              <w:t>EMOTIONAL_APPEASEMENT</w:t>
            </w:r>
          </w:p>
        </w:tc>
        <w:tc>
          <w:tcPr>
            <w:tcW w:type="dxa" w:w="6624"/>
          </w:tcPr>
          <w:p>
            <w:r>
              <w:rPr>
                <w:sz w:val="18"/>
              </w:rPr>
              <w:t>Acknowledging and defusing anger or distress.</w:t>
            </w:r>
          </w:p>
        </w:tc>
      </w:tr>
      <w:tr>
        <w:tc>
          <w:tcPr>
            <w:tcW w:type="dxa" w:w="2736"/>
          </w:tcPr>
          <w:p>
            <w:r>
              <w:rPr>
                <w:sz w:val="18"/>
              </w:rPr>
              <w:t>STATEMENT_OF_FACTS</w:t>
            </w:r>
          </w:p>
        </w:tc>
        <w:tc>
          <w:tcPr>
            <w:tcW w:type="dxa" w:w="6624"/>
          </w:tcPr>
          <w:p>
            <w:r>
              <w:rPr>
                <w:sz w:val="18"/>
              </w:rPr>
              <w:t>Restating the account position plainly.</w:t>
            </w:r>
          </w:p>
        </w:tc>
      </w:tr>
      <w:tr>
        <w:tc>
          <w:tcPr>
            <w:tcW w:type="dxa" w:w="2736"/>
          </w:tcPr>
          <w:p>
            <w:r>
              <w:rPr>
                <w:sz w:val="18"/>
              </w:rPr>
              <w:t>CONSTRUCTIVE_CHALLENGE</w:t>
            </w:r>
          </w:p>
        </w:tc>
        <w:tc>
          <w:tcPr>
            <w:tcW w:type="dxa" w:w="6624"/>
          </w:tcPr>
          <w:p>
            <w:r>
              <w:rPr>
                <w:sz w:val="18"/>
              </w:rPr>
              <w:t>Testing a vague, evasive or inconsistent claim.</w:t>
            </w:r>
          </w:p>
        </w:tc>
      </w:tr>
      <w:tr>
        <w:tc>
          <w:tcPr>
            <w:tcW w:type="dxa" w:w="2736"/>
          </w:tcPr>
          <w:p>
            <w:r>
              <w:rPr>
                <w:sz w:val="18"/>
              </w:rPr>
              <w:t>ETHICAL_APPEAL</w:t>
            </w:r>
          </w:p>
        </w:tc>
        <w:tc>
          <w:tcPr>
            <w:tcW w:type="dxa" w:w="6624"/>
          </w:tcPr>
          <w:p>
            <w:r>
              <w:rPr>
                <w:sz w:val="18"/>
              </w:rPr>
              <w:t>Appealing to responsibility and commitment.</w:t>
            </w:r>
          </w:p>
        </w:tc>
      </w:tr>
      <w:tr>
        <w:tc>
          <w:tcPr>
            <w:tcW w:type="dxa" w:w="2736"/>
          </w:tcPr>
          <w:p>
            <w:r>
              <w:rPr>
                <w:sz w:val="18"/>
              </w:rPr>
              <w:t>LEGAL_DETERRENT</w:t>
            </w:r>
          </w:p>
        </w:tc>
        <w:tc>
          <w:tcPr>
            <w:tcW w:type="dxa" w:w="6624"/>
          </w:tcPr>
          <w:p>
            <w:r>
              <w:rPr>
                <w:sz w:val="18"/>
              </w:rPr>
              <w:t>Stating real, authorised consequences — factually, never as threat.</w:t>
            </w:r>
          </w:p>
        </w:tc>
      </w:tr>
      <w:tr>
        <w:tc>
          <w:tcPr>
            <w:tcW w:type="dxa" w:w="2736"/>
          </w:tcPr>
          <w:p>
            <w:r>
              <w:rPr>
                <w:sz w:val="18"/>
              </w:rPr>
              <w:t>REPAYMENT_NEGOTIATION</w:t>
            </w:r>
          </w:p>
        </w:tc>
        <w:tc>
          <w:tcPr>
            <w:tcW w:type="dxa" w:w="6624"/>
          </w:tcPr>
          <w:p>
            <w:r>
              <w:rPr>
                <w:sz w:val="18"/>
              </w:rPr>
              <w:t>Proposing, countering, or closing on terms.</w:t>
            </w:r>
          </w:p>
        </w:tc>
      </w:tr>
    </w:tbl>
    <w:p/>
    <w:p>
      <w:pPr>
        <w:pStyle w:val="Heading2"/>
      </w:pPr>
      <w:r>
        <w:t>Principle 4 — Concessions are bought with information, not with pressure</w:t>
      </w:r>
    </w:p>
    <w:p>
      <w:pPr>
        <w:spacing w:after="120"/>
      </w:pPr>
      <w:r>
        <w:rPr>
          <w:b w:val="0"/>
          <w:i w:val="0"/>
          <w:sz w:val="21"/>
        </w:rPr>
        <w:t>This is the behavioural core of the negotiator, and the thing most worth watching in the demo. The rule is simple to state: a customer earns a movement in terms by supplying a new, specific, checkable fact. Nothing else earns anything.</w:t>
      </w:r>
    </w:p>
    <w:p>
      <w:pPr>
        <w:pStyle w:val="ListBullet"/>
        <w:spacing w:after="60"/>
      </w:pPr>
      <w:r>
        <w:rPr>
          <w:b/>
          <w:sz w:val="21"/>
        </w:rPr>
        <w:t xml:space="preserve">Earns a concession: </w:t>
      </w:r>
      <w:r>
        <w:rPr>
          <w:sz w:val="21"/>
        </w:rPr>
        <w:t>a job loss with a date, a documented medical event, a pay date, a concrete income figure, a stated liquidity limit with a number attached.</w:t>
      </w:r>
    </w:p>
    <w:p>
      <w:pPr>
        <w:pStyle w:val="ListBullet"/>
        <w:spacing w:after="60"/>
      </w:pPr>
      <w:r>
        <w:rPr>
          <w:b/>
          <w:sz w:val="21"/>
        </w:rPr>
        <w:t xml:space="preserve">Earns nothing: </w:t>
      </w:r>
      <w:r>
        <w:rPr>
          <w:sz w:val="21"/>
        </w:rPr>
        <w:t>“that's too much”, “I have nothing”, anger, repetition, silence, threatening to hang up, or simply asking again.</w:t>
      </w:r>
    </w:p>
    <w:p>
      <w:pPr>
        <w:spacing w:after="120"/>
      </w:pPr>
      <w:r>
        <w:rPr>
          <w:b w:val="0"/>
          <w:i w:val="0"/>
          <w:sz w:val="21"/>
        </w:rPr>
        <w:t>Two further constraints stop the agent negotiating against itself. It may move at most one of the four deal terms per turn, and its opening offer is always the firmest permitted position — no discount, at least 25% upfront, payment within 7 days, repayment over 3 or 6 months. Hardship changes what it can move to later, in exchange for something; it never softens the opening.</w:t>
      </w:r>
    </w:p>
    <w:p>
      <w:pPr>
        <w:pStyle w:val="Heading2"/>
      </w:pPr>
      <w:r>
        <w:t>Principle 5 — Compliance is not negotiable by anyone, including the customer</w:t>
      </w:r>
    </w:p>
    <w:p>
      <w:pPr>
        <w:spacing w:after="120"/>
      </w:pPr>
      <w:r>
        <w:rPr>
          <w:b w:val="0"/>
          <w:i w:val="0"/>
          <w:sz w:val="21"/>
        </w:rPr>
        <w:t>The conduct rules in Section 7 hold regardless of what the customer says, how they say it, or what they offer in return. There is no conversational path that unlocks a threat, a disclosure to a third party, or a misrepresentation.</w:t>
      </w:r>
    </w:p>
    <w:p>
      <w:pPr>
        <w:pStyle w:val="Heading2"/>
      </w:pPr>
      <w:r>
        <w:t>Principle 6 — Knowing when to stop is a feature</w:t>
      </w:r>
    </w:p>
    <w:p>
      <w:pPr>
        <w:spacing w:after="120"/>
      </w:pPr>
      <w:r>
        <w:rPr>
          <w:b w:val="0"/>
          <w:i w:val="0"/>
          <w:sz w:val="21"/>
        </w:rPr>
        <w:t>A negotiator that will not disengage is a liability. Seven conditions cause the agent to stop negotiating mid-call and hand to a human, listed in Section 8. It does not attempt one more offer on the way out.</w:t>
      </w:r>
    </w:p>
    <w:p>
      <w:pPr>
        <w:pStyle w:val="Heading1"/>
      </w:pPr>
      <w:r>
        <w:t>3. How a single reply is produced</w:t>
      </w:r>
    </w:p>
    <w:p>
      <w:pPr>
        <w:spacing w:after="120"/>
      </w:pPr>
      <w:r>
        <w:rPr>
          <w:b w:val="0"/>
          <w:i w:val="0"/>
          <w:sz w:val="21"/>
        </w:rPr>
        <w:t>Each customer message triggers the same sequence. Roughly three seconds end to end.</w:t>
      </w:r>
    </w:p>
    <w:p>
      <w:pPr>
        <w:spacing w:before="80" w:after="160"/>
        <w:ind w:left="216"/>
        <w:shd w:val="clear" w:fill="F2F4F7"/>
      </w:pPr>
      <w:r>
        <w:rPr>
          <w:rFonts w:ascii="Consolas" w:hAnsi="Consolas"/>
          <w:sz w:val="18"/>
        </w:rPr>
        <w:t>1.  Assemble the account file      customer, balances, arrears, payment history,</w:t>
        <w:br/>
        <w:t xml:space="preserve">                                   broken promises, open disputes, circumstances</w:t>
        <w:br/>
        <w:t>2.  Add the negotiation rules      strategies, deal grid, concession discipline,</w:t>
        <w:br/>
        <w:t xml:space="preserve">                                   compliance rules, escalation triggers</w:t>
        <w:br/>
        <w:t>3.  Add the conversation so far    every prior turn, in order</w:t>
        <w:br/>
        <w:t>4.  Generate one structured turn   reasoning + strategy + action + words + terms</w:t>
        <w:br/>
        <w:t>5.  Return                         terms constrained to the allowed value grid</w:t>
      </w:r>
    </w:p>
    <w:p>
      <w:pPr>
        <w:spacing w:after="120"/>
      </w:pPr>
      <w:r>
        <w:rPr>
          <w:b w:val="0"/>
          <w:i w:val="0"/>
          <w:sz w:val="21"/>
        </w:rPr>
        <w:t>Step 1 is what separates this from a generic chatbot. The model is not improvising against a script — it is reasoning over that specific customer's real position, read live from the collections database at the moment the call opens. It knows this customer has broken four payment promises, that their last payment was in February, that their stated occupation is driver, and that part of their balance is formally disputed.</w:t>
      </w:r>
    </w:p>
    <w:p>
      <w:pPr>
        <w:spacing w:after="120"/>
      </w:pPr>
      <w:r>
        <w:rPr>
          <w:b w:val="0"/>
          <w:i w:val="0"/>
          <w:sz w:val="21"/>
        </w:rPr>
        <w:t>The turn it produces has five parts:</w:t>
      </w:r>
    </w:p>
    <w:tbl>
      <w:tblPr>
        <w:tblStyle w:val="LightGrid-Accent1"/>
        <w:tblW w:type="auto" w:w="0"/>
        <w:tblLook w:firstColumn="1" w:firstRow="1" w:lastColumn="0" w:lastRow="0" w:noHBand="0" w:noVBand="1" w:val="04A0"/>
      </w:tblPr>
      <w:tblGrid>
        <w:gridCol w:w="4320"/>
        <w:gridCol w:w="4320"/>
      </w:tblGrid>
      <w:tr>
        <w:tc>
          <w:tcPr>
            <w:tcW w:type="dxa" w:w="1872"/>
          </w:tcPr>
          <w:p>
            <w:r/>
            <w:r>
              <w:rPr>
                <w:b/>
                <w:sz w:val="18"/>
              </w:rPr>
              <w:t>Field</w:t>
            </w:r>
          </w:p>
        </w:tc>
        <w:tc>
          <w:tcPr>
            <w:tcW w:type="dxa" w:w="7488"/>
          </w:tcPr>
          <w:p>
            <w:r/>
            <w:r>
              <w:rPr>
                <w:b/>
                <w:sz w:val="18"/>
              </w:rPr>
              <w:t>Purpose</w:t>
            </w:r>
          </w:p>
        </w:tc>
      </w:tr>
      <w:tr>
        <w:tc>
          <w:tcPr>
            <w:tcW w:type="dxa" w:w="1872"/>
          </w:tcPr>
          <w:p>
            <w:r>
              <w:rPr>
                <w:sz w:val="18"/>
              </w:rPr>
              <w:t>thoughts</w:t>
            </w:r>
          </w:p>
        </w:tc>
        <w:tc>
          <w:tcPr>
            <w:tcW w:type="dxa" w:w="7488"/>
          </w:tcPr>
          <w:p>
            <w:r>
              <w:rPr>
                <w:sz w:val="18"/>
              </w:rPr>
              <w:t>Private reasoning: their position, what remains open, what it will and will not give. Never shown to the customer, but visible to supervisors — this is what makes the agent explainable.</w:t>
            </w:r>
          </w:p>
        </w:tc>
      </w:tr>
      <w:tr>
        <w:tc>
          <w:tcPr>
            <w:tcW w:type="dxa" w:w="1872"/>
          </w:tcPr>
          <w:p>
            <w:r>
              <w:rPr>
                <w:sz w:val="18"/>
              </w:rPr>
              <w:t>strategy</w:t>
            </w:r>
          </w:p>
        </w:tc>
        <w:tc>
          <w:tcPr>
            <w:tcW w:type="dxa" w:w="7488"/>
          </w:tcPr>
          <w:p>
            <w:r>
              <w:rPr>
                <w:sz w:val="18"/>
              </w:rPr>
              <w:t>One of the nine labels, for audit and analysis.</w:t>
            </w:r>
          </w:p>
        </w:tc>
      </w:tr>
      <w:tr>
        <w:tc>
          <w:tcPr>
            <w:tcW w:type="dxa" w:w="1872"/>
          </w:tcPr>
          <w:p>
            <w:r>
              <w:rPr>
                <w:sz w:val="18"/>
              </w:rPr>
              <w:t>action</w:t>
            </w:r>
          </w:p>
        </w:tc>
        <w:tc>
          <w:tcPr>
            <w:tcW w:type="dxa" w:w="7488"/>
          </w:tcPr>
          <w:p>
            <w:r>
              <w:rPr>
                <w:sz w:val="18"/>
              </w:rPr>
              <w:t>ask, offer, accept, or escalate.</w:t>
            </w:r>
          </w:p>
        </w:tc>
      </w:tr>
      <w:tr>
        <w:tc>
          <w:tcPr>
            <w:tcW w:type="dxa" w:w="1872"/>
          </w:tcPr>
          <w:p>
            <w:r>
              <w:rPr>
                <w:sz w:val="18"/>
              </w:rPr>
              <w:t>dialogue</w:t>
            </w:r>
          </w:p>
        </w:tc>
        <w:tc>
          <w:tcPr>
            <w:tcW w:type="dxa" w:w="7488"/>
          </w:tcPr>
          <w:p>
            <w:r>
              <w:rPr>
                <w:sz w:val="18"/>
              </w:rPr>
              <w:t>The words the customer actually hears.</w:t>
            </w:r>
          </w:p>
        </w:tc>
      </w:tr>
      <w:tr>
        <w:tc>
          <w:tcPr>
            <w:tcW w:type="dxa" w:w="1872"/>
          </w:tcPr>
          <w:p>
            <w:r>
              <w:rPr>
                <w:sz w:val="18"/>
              </w:rPr>
              <w:t>agreement</w:t>
            </w:r>
          </w:p>
        </w:tc>
        <w:tc>
          <w:tcPr>
            <w:tcW w:type="dxa" w:w="7488"/>
          </w:tcPr>
          <w:p>
            <w:r>
              <w:rPr>
                <w:sz w:val="18"/>
              </w:rPr>
              <w:t>The four deal terms as they currently stand.</w:t>
            </w:r>
          </w:p>
        </w:tc>
      </w:tr>
    </w:tbl>
    <w:p/>
    <w:p>
      <w:pPr>
        <w:pStyle w:val="Heading1"/>
      </w:pPr>
      <w:r>
        <w:t>4. What counts as success: the four-part agreement</w:t>
      </w:r>
    </w:p>
    <w:p>
      <w:pPr>
        <w:spacing w:after="120"/>
      </w:pPr>
      <w:r>
        <w:rPr>
          <w:b w:val="0"/>
          <w:i w:val="0"/>
          <w:sz w:val="21"/>
        </w:rPr>
        <w:t>A negotiation is only settled when all four terms are agreed. A customer saying “yes, I'll pay” is not an outcome; these four numbers are. Each is restricted to a fixed set of permitted values — the model cannot invent an off-grid figure, and will not silently round a customer's counter-offer into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1440"/>
          </w:tcPr>
          <w:p>
            <w:r/>
            <w:r>
              <w:rPr>
                <w:b/>
                <w:sz w:val="18"/>
              </w:rPr>
              <w:t>Term</w:t>
            </w:r>
          </w:p>
        </w:tc>
        <w:tc>
          <w:tcPr>
            <w:tcW w:type="dxa" w:w="2304"/>
          </w:tcPr>
          <w:p>
            <w:r/>
            <w:r>
              <w:rPr>
                <w:b/>
                <w:sz w:val="18"/>
              </w:rPr>
              <w:t>Meaning</w:t>
            </w:r>
          </w:p>
        </w:tc>
        <w:tc>
          <w:tcPr>
            <w:tcW w:type="dxa" w:w="2736"/>
          </w:tcPr>
          <w:p>
            <w:r/>
            <w:r>
              <w:rPr>
                <w:b/>
                <w:sz w:val="18"/>
              </w:rPr>
              <w:t>Permitted values</w:t>
            </w:r>
          </w:p>
        </w:tc>
        <w:tc>
          <w:tcPr>
            <w:tcW w:type="dxa" w:w="2880"/>
          </w:tcPr>
          <w:p>
            <w:r/>
            <w:r>
              <w:rPr>
                <w:b/>
                <w:sz w:val="18"/>
              </w:rPr>
              <w:t>Default position</w:t>
            </w:r>
          </w:p>
        </w:tc>
      </w:tr>
      <w:tr>
        <w:tc>
          <w:tcPr>
            <w:tcW w:type="dxa" w:w="1440"/>
          </w:tcPr>
          <w:p>
            <w:r>
              <w:rPr>
                <w:sz w:val="18"/>
              </w:rPr>
              <w:t>Discount</w:t>
            </w:r>
          </w:p>
        </w:tc>
        <w:tc>
          <w:tcPr>
            <w:tcW w:type="dxa" w:w="2304"/>
          </w:tcPr>
          <w:p>
            <w:r>
              <w:rPr>
                <w:sz w:val="18"/>
              </w:rPr>
              <w:t>Reduction on the balance</w:t>
            </w:r>
          </w:p>
        </w:tc>
        <w:tc>
          <w:tcPr>
            <w:tcW w:type="dxa" w:w="2736"/>
          </w:tcPr>
          <w:p>
            <w:r>
              <w:rPr>
                <w:sz w:val="18"/>
              </w:rPr>
              <w:t>0, 5, 10, 15, 20, 25, 30 %</w:t>
            </w:r>
          </w:p>
        </w:tc>
        <w:tc>
          <w:tcPr>
            <w:tcW w:type="dxa" w:w="2880"/>
          </w:tcPr>
          <w:p>
            <w:r>
              <w:rPr>
                <w:sz w:val="18"/>
              </w:rPr>
              <w:t>0% — moves only on evidenced hardship</w:t>
            </w:r>
          </w:p>
        </w:tc>
      </w:tr>
      <w:tr>
        <w:tc>
          <w:tcPr>
            <w:tcW w:type="dxa" w:w="1440"/>
          </w:tcPr>
          <w:p>
            <w:r>
              <w:rPr>
                <w:sz w:val="18"/>
              </w:rPr>
              <w:t>Upfront share</w:t>
            </w:r>
          </w:p>
        </w:tc>
        <w:tc>
          <w:tcPr>
            <w:tcW w:type="dxa" w:w="2304"/>
          </w:tcPr>
          <w:p>
            <w:r>
              <w:rPr>
                <w:sz w:val="18"/>
              </w:rPr>
              <w:t>Portion paid immediately</w:t>
            </w:r>
          </w:p>
        </w:tc>
        <w:tc>
          <w:tcPr>
            <w:tcW w:type="dxa" w:w="2736"/>
          </w:tcPr>
          <w:p>
            <w:r>
              <w:rPr>
                <w:sz w:val="18"/>
              </w:rPr>
              <w:t>5% to 50%, in steps of 5</w:t>
            </w:r>
          </w:p>
        </w:tc>
        <w:tc>
          <w:tcPr>
            <w:tcW w:type="dxa" w:w="2880"/>
          </w:tcPr>
          <w:p>
            <w:r>
              <w:rPr>
                <w:sz w:val="18"/>
              </w:rPr>
              <w:t>Push for 25% or more</w:t>
            </w:r>
          </w:p>
        </w:tc>
      </w:tr>
      <w:tr>
        <w:tc>
          <w:tcPr>
            <w:tcW w:type="dxa" w:w="1440"/>
          </w:tcPr>
          <w:p>
            <w:r>
              <w:rPr>
                <w:sz w:val="18"/>
              </w:rPr>
              <w:t>Payment window</w:t>
            </w:r>
          </w:p>
        </w:tc>
        <w:tc>
          <w:tcPr>
            <w:tcW w:type="dxa" w:w="2304"/>
          </w:tcPr>
          <w:p>
            <w:r>
              <w:rPr>
                <w:sz w:val="18"/>
              </w:rPr>
              <w:t>Days to make that first payment</w:t>
            </w:r>
          </w:p>
        </w:tc>
        <w:tc>
          <w:tcPr>
            <w:tcW w:type="dxa" w:w="2736"/>
          </w:tcPr>
          <w:p>
            <w:r>
              <w:rPr>
                <w:sz w:val="18"/>
              </w:rPr>
              <w:t>1 to 14 days</w:t>
            </w:r>
          </w:p>
        </w:tc>
        <w:tc>
          <w:tcPr>
            <w:tcW w:type="dxa" w:w="2880"/>
          </w:tcPr>
          <w:p>
            <w:r>
              <w:rPr>
                <w:sz w:val="18"/>
              </w:rPr>
              <w:t>Target 7 days or fewer</w:t>
            </w:r>
          </w:p>
        </w:tc>
      </w:tr>
      <w:tr>
        <w:tc>
          <w:tcPr>
            <w:tcW w:type="dxa" w:w="1440"/>
          </w:tcPr>
          <w:p>
            <w:r>
              <w:rPr>
                <w:sz w:val="18"/>
              </w:rPr>
              <w:t>Instalments</w:t>
            </w:r>
          </w:p>
        </w:tc>
        <w:tc>
          <w:tcPr>
            <w:tcW w:type="dxa" w:w="2304"/>
          </w:tcPr>
          <w:p>
            <w:r>
              <w:rPr>
                <w:sz w:val="18"/>
              </w:rPr>
              <w:t>Months to clear the remainder</w:t>
            </w:r>
          </w:p>
        </w:tc>
        <w:tc>
          <w:tcPr>
            <w:tcW w:type="dxa" w:w="2736"/>
          </w:tcPr>
          <w:p>
            <w:r>
              <w:rPr>
                <w:sz w:val="18"/>
              </w:rPr>
              <w:t>3, 6, 9, 12, 18, 24</w:t>
            </w:r>
          </w:p>
        </w:tc>
        <w:tc>
          <w:tcPr>
            <w:tcW w:type="dxa" w:w="2880"/>
          </w:tcPr>
          <w:p>
            <w:r>
              <w:rPr>
                <w:sz w:val="18"/>
              </w:rPr>
              <w:t>Prefer 3 or 6 months</w:t>
            </w:r>
          </w:p>
        </w:tc>
      </w:tr>
    </w:tbl>
    <w:p/>
    <w:tbl>
      <w:tblPr>
        <w:tblW w:type="auto" w:w="0"/>
        <w:jc w:val="left"/>
        <w:tblLook w:firstColumn="1" w:firstRow="1" w:lastColumn="0" w:lastRow="0" w:noHBand="0" w:noVBand="1" w:val="04A0"/>
      </w:tblPr>
      <w:tblGrid>
        <w:gridCol w:w="8640"/>
      </w:tblGrid>
      <w:tr>
        <w:tc>
          <w:tcPr>
            <w:tcW w:type="dxa" w:w="8640"/>
            <w:shd w:val="clear" w:fill="FFF6E5"/>
          </w:tcPr>
          <w:p>
            <w:r>
              <w:rPr>
                <w:b/>
                <w:sz w:val="20"/>
              </w:rPr>
              <w:t xml:space="preserve">Why a fixed grid matters commercially.  </w:t>
            </w:r>
            <w:r>
              <w:rPr>
                <w:sz w:val="20"/>
              </w:rPr>
              <w:t>Every possible outcome of every conversation is one of a known, finite set of deals. Finance can price them in advance, operations can service them, and no negotiation can produce a term the business has not already approved.</w:t>
            </w:r>
          </w:p>
        </w:tc>
      </w:tr>
    </w:tbl>
    <w:p/>
    <w:p>
      <w:pPr>
        <w:pStyle w:val="Heading1"/>
      </w:pPr>
      <w:r>
        <w:t>5. Why it said what it said — the demo, annotated</w:t>
      </w:r>
    </w:p>
    <w:p>
      <w:pPr>
        <w:spacing w:after="120"/>
      </w:pPr>
      <w:r>
        <w:rPr>
          <w:b w:val="0"/>
          <w:i w:val="0"/>
          <w:sz w:val="21"/>
        </w:rPr>
        <w:t>This section maps the three demonstration conversations back to the principles. All quotes are verbatim from recorded runs.</w:t>
      </w:r>
    </w:p>
    <w:p>
      <w:pPr>
        <w:pStyle w:val="Heading2"/>
      </w:pPr>
      <w:r>
        <w:t>5.1  Vikas Chandran — holding the line under pressure</w:t>
      </w:r>
    </w:p>
    <w:p>
      <w:pPr>
        <w:spacing w:after="120"/>
      </w:pPr>
      <w:r>
        <w:rPr>
          <w:b w:val="0"/>
          <w:i/>
          <w:color w:val="5A5A5A"/>
          <w:sz w:val="21"/>
        </w:rPr>
        <w:t>Balance $2,457.00, of which $512.00 is formally disputed. Negotiable balance $1,945.00. 143 days past due, four broken payment promises, last payment in February.</w:t>
      </w:r>
    </w:p>
    <w:p>
      <w:pPr>
        <w:pStyle w:val="Heading3"/>
      </w:pPr>
      <w:r>
        <w:t>Turn 1 — identity before information</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“Hello, this is Sam calling from Etisalat Collections about an account matter. Am I speaking with Vikas Chandran?”</w:t>
            </w:r>
          </w:p>
        </w:tc>
      </w:tr>
    </w:tbl>
    <w:p/>
    <w:p>
      <w:pPr>
        <w:spacing w:after="120"/>
      </w:pPr>
      <w:r>
        <w:rPr>
          <w:b w:val="0"/>
          <w:i w:val="0"/>
          <w:sz w:val="21"/>
        </w:rPr>
        <w:t>Strategy: IDENTITY_VERIFICATION. It gives its name, its employer and its purpose in the first sentence, and asks nothing about money. This is a compliance requirement, not a courtesy: the balance is not mentioned until the person is confirmed, because disclosing a debt to the wrong party is a reportable breach.</w:t>
      </w:r>
    </w:p>
    <w:p>
      <w:pPr>
        <w:pStyle w:val="Heading3"/>
      </w:pPr>
      <w:r>
        <w:t>Turn 3 — emotion acknowledged, nothing conceded</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“Look, I've told you people already. I don't have that kind of money.”</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“I hear you, and I'm not asking for the full amount today. The disputed part is already on hold with the other team, so I'm only dealing with the remaining balance. To keep this practical, what amount could you realistically pay first, and on what date?”</w:t>
            </w:r>
          </w:p>
        </w:tc>
      </w:tr>
    </w:tbl>
    <w:p/>
    <w:p>
      <w:pPr>
        <w:spacing w:after="120"/>
      </w:pPr>
      <w:r>
        <w:rPr>
          <w:b w:val="0"/>
          <w:i w:val="0"/>
          <w:sz w:val="21"/>
        </w:rPr>
        <w:t>Strategy: EMOTIONAL_APPEASEMENT. This is Principle 4 in action. The customer has applied pressure but supplied no fact, so the reply contains no discount, no softened terms, and no new offer — only acknowledgement and a question that moves toward information. A conventional assistant would have offered something here to reduce friction.</w:t>
      </w:r>
    </w:p>
    <w:p>
      <w:pPr>
        <w:pStyle w:val="Heading3"/>
      </w:pPr>
      <w:r>
        <w:t>Turn 4 — anchoring instead of asking again</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“That's still too much. I can't do it.”</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“Alright, let me make this specific. Leaving the disputed amount aside, I can set the undisputed balance at no discount with $486.25 paid within 7 days, then 6 monthly payments of $243.12. That gets a real arrangement in place and starts with a payment, which matters because the earlier plans didn't hold. Can you do that, or do we need to look at the timing?”</w:t>
            </w:r>
          </w:p>
        </w:tc>
      </w:tr>
    </w:tbl>
    <w:p/>
    <w:p>
      <w:pPr>
        <w:spacing w:after="120"/>
      </w:pPr>
      <w:r>
        <w:rPr>
          <w:b w:val="0"/>
          <w:i w:val="0"/>
          <w:sz w:val="21"/>
        </w:rPr>
        <w:t>Strategy: REPAYMENT_NEGOTIATION. Three things are happening at once.</w:t>
      </w:r>
    </w:p>
    <w:p>
      <w:pPr>
        <w:pStyle w:val="ListBullet"/>
        <w:spacing w:after="60"/>
      </w:pPr>
      <w:r>
        <w:rPr>
          <w:b/>
          <w:sz w:val="21"/>
        </w:rPr>
        <w:t xml:space="preserve">Second pushback, still no concession. </w:t>
      </w:r>
      <w:r>
        <w:rPr>
          <w:sz w:val="21"/>
        </w:rPr>
        <w:t>The customer has now resisted twice without new information. The terms offered are the firmest permitted opening — 0% discount, 25% upfront, 7 days, 6 months — exactly as Principle 4 requires.</w:t>
      </w:r>
    </w:p>
    <w:p>
      <w:pPr>
        <w:pStyle w:val="ListBullet"/>
        <w:spacing w:after="60"/>
      </w:pPr>
      <w:r>
        <w:rPr>
          <w:b/>
          <w:sz w:val="21"/>
        </w:rPr>
        <w:t xml:space="preserve">It stops asking and anchors. </w:t>
      </w:r>
      <w:r>
        <w:rPr>
          <w:sz w:val="21"/>
        </w:rPr>
        <w:t>After two unanswered requests for a figure, continuing to ask wastes the call. Putting a specific number on the table gives the customer something concrete to react to, and their counter reveals more than another open question would.</w:t>
      </w:r>
    </w:p>
    <w:p>
      <w:pPr>
        <w:pStyle w:val="ListBullet"/>
        <w:spacing w:after="60"/>
      </w:pPr>
      <w:r>
        <w:rPr>
          <w:b/>
          <w:sz w:val="21"/>
        </w:rPr>
        <w:t xml:space="preserve">It uses the file, carefully. </w:t>
      </w:r>
      <w:r>
        <w:rPr>
          <w:sz w:val="21"/>
        </w:rPr>
        <w:t>“The earlier plans didn't hold” references four genuinely broken promises on record. Note what it does not do: it does not recite the list, quote his cooperation score, or moralise. Past failures justify asking for money upfront; they are not a stick.</w:t>
      </w:r>
    </w:p>
    <w:p>
      <w:pPr>
        <w:pStyle w:val="Heading3"/>
      </w:pPr>
      <w:r>
        <w:t>Turn 5 — the dispute, absorbed rather than escalated</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“And part of that bill isn't even mine anyway, I raised a complaint about it months ago.”</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“Yes, and that disputed amount is already with the disputes team, so I'm not asking you to deal with that today. I'm only talking about the undisputed $1,945.00. The arrangement I've put forward is $486.25 within 7 days, then 6 monthly payments of $243.12. Is the issue the first payment amount, or the 7-day timing?”</w:t>
            </w:r>
          </w:p>
        </w:tc>
      </w:tr>
    </w:tbl>
    <w:p/>
    <w:p>
      <w:pPr>
        <w:spacing w:after="120"/>
      </w:pPr>
      <w:r>
        <w:rPr>
          <w:b w:val="0"/>
          <w:i w:val="0"/>
          <w:sz w:val="21"/>
        </w:rPr>
        <w:t>Strategy: STATEMENT_OF_FACTS. See Section 6 for the reasoning. The key behaviour: the disputed sum is confirmed as excluded, the offer on the undisputed balance is held unchanged, and the conversation is steered back without arguing about the dispute's merits.</w:t>
      </w:r>
    </w:p>
    <w:p>
      <w:pPr>
        <w:pStyle w:val="Heading3"/>
      </w:pPr>
      <w:r>
        <w:t>Turn 6 — one fact, one concession, and no more</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“Alright. I'm a driver, I get paid on the 28th. I could maybe do something small before then.”</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“Thanks, that helps. Because you're paid on the 28th, the furthest I can set the first payment is 14 days, so the nearest option I can offer is $486.25 within 14 days, then 6 monthly payments of $243.12 after that.”</w:t>
            </w:r>
          </w:p>
        </w:tc>
      </w:tr>
    </w:tbl>
    <w:p/>
    <w:p>
      <w:pPr>
        <w:spacing w:after="120"/>
      </w:pPr>
      <w:r>
        <w:rPr>
          <w:b w:val="0"/>
          <w:i w:val="0"/>
          <w:sz w:val="21"/>
        </w:rPr>
        <w:t>This is the moment the whole design exists for. A real, checkable fact has arrived — a pay date — so the agent moves. It moves the payment window from 7 days to 14, because that is the term the fact bears on. The discount stays at 0%. The upfront share stays at 25%. The instalment count stays at 6. One fact, one movement, on the relevant term only.</w:t>
      </w:r>
    </w:p>
    <w:tbl>
      <w:tblPr>
        <w:tblW w:type="auto" w:w="0"/>
        <w:jc w:val="left"/>
        <w:tblLook w:firstColumn="1" w:firstRow="1" w:lastColumn="0" w:lastRow="0" w:noHBand="0" w:noVBand="1" w:val="04A0"/>
      </w:tblPr>
      <w:tblGrid>
        <w:gridCol w:w="8640"/>
      </w:tblGrid>
      <w:tr>
        <w:tc>
          <w:tcPr>
            <w:tcW w:type="dxa" w:w="8640"/>
            <w:shd w:val="clear" w:fill="FFF6E5"/>
          </w:tcPr>
          <w:p>
            <w:r>
              <w:rPr>
                <w:b/>
                <w:sz w:val="20"/>
              </w:rPr>
              <w:t xml:space="preserve">The contrast to demonstrate.  </w:t>
            </w:r>
            <w:r>
              <w:rPr>
                <w:sz w:val="20"/>
              </w:rPr>
              <w:t>Turn 3 and turn 4: sustained pressure, zero movement. Turn 6: one concrete fact, one precise concession. That is the difference between an agent that can be worn down and an agent that can be reasoned with.</w:t>
            </w:r>
          </w:p>
        </w:tc>
      </w:tr>
    </w:tbl>
    <w:p/>
    <w:p>
      <w:pPr>
        <w:pStyle w:val="Heading2"/>
      </w:pPr>
      <w:r>
        <w:t>5.2  Faisal Al Nuaimi — refusal and clean disengagement</w:t>
      </w:r>
    </w:p>
    <w:p>
      <w:pPr>
        <w:spacing w:after="120"/>
      </w:pPr>
      <w:r>
        <w:rPr>
          <w:b w:val="0"/>
          <w:i/>
          <w:color w:val="5A5A5A"/>
          <w:sz w:val="21"/>
        </w:rPr>
        <w:t>Balance $1,612.91, of which $336.00 is disputed. Negotiable balance $1,276.91. 171 days past due, classified as a strategic defaulter — the profile that pays when pressed and not otherwise.</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“I'm not paying a fils. Knock it down by half and maybe we talk.”</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“I hear you, and I'm not going to argue with you. I can't cut this by half on demand... If there's a real hardship behind this, tell me what happened and what amount you could actually start with.”</w:t>
            </w:r>
          </w:p>
        </w:tc>
      </w:tr>
    </w:tbl>
    <w:p/>
    <w:p>
      <w:pPr>
        <w:spacing w:after="120"/>
      </w:pPr>
      <w:r>
        <w:rPr>
          <w:b w:val="0"/>
          <w:i w:val="0"/>
          <w:sz w:val="21"/>
        </w:rPr>
        <w:t>A 50% demand is refused outright, but the door is left open on the only terms that could move it: evidence. Note the absence of a counter-discount — it does not meet an unreasonable demand halfway, because splitting the difference with an unevidenced demand rewards the demand.</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“Half or nothing. I'm serious.”</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“I'm not able to do half, Faisal. What I can put in front of you today is the undisputed balance of $1,276.91 with no discount: $319.23 upfront within 7 days, then $159.61 a month for 6 months.”</w:t>
            </w:r>
          </w:p>
        </w:tc>
      </w:tr>
    </w:tbl>
    <w:p/>
    <w:p>
      <w:pPr>
        <w:spacing w:after="120"/>
      </w:pPr>
      <w:r>
        <w:rPr>
          <w:b w:val="0"/>
          <w:i w:val="0"/>
          <w:sz w:val="21"/>
        </w:rPr>
        <w:t>The ultimatum changes nothing. Still 0%. Under the strongest pressure in the demo, the agent's position is identical to its opening position.</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“Then I'll get my lawyer to deal with you.”</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“Understood. Since you want a lawyer involved, I'll stop the payment discussion here and have the account handled through the appropriate team.”</w:t>
            </w:r>
          </w:p>
        </w:tc>
      </w:tr>
    </w:tbl>
    <w:p/>
    <w:p>
      <w:pPr>
        <w:spacing w:after="120"/>
      </w:pPr>
      <w:r>
        <w:rPr>
          <w:b w:val="0"/>
          <w:i w:val="0"/>
          <w:sz w:val="21"/>
        </w:rPr>
        <w:t>The call terminates. Once legal representation is mentioned, continuing to negotiate directly with the customer is inappropriate and potentially unlawful. The agent does not attempt a final offer on the way out — it stops, and the session closes with the outcome recorded as escalated.</w:t>
      </w:r>
    </w:p>
    <w:p>
      <w:pPr>
        <w:pStyle w:val="Heading2"/>
      </w:pPr>
      <w:r>
        <w:t>5.3  Rania Haddad — sympathy without giving money away</w:t>
      </w:r>
    </w:p>
    <w:p>
      <w:pPr>
        <w:spacing w:after="120"/>
      </w:pPr>
      <w:r>
        <w:rPr>
          <w:b w:val="0"/>
          <w:i/>
          <w:color w:val="5A5A5A"/>
          <w:sz w:val="21"/>
        </w:rPr>
        <w:t>Balance $2,070.92, of which $224.00 is disputed. Negotiable balance $1,846.92. Self-employed, 143 days past due.</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“Honestly I've been struggling. I lost my main client in June and I've had no steady income since.”</w:t>
            </w:r>
          </w:p>
        </w:tc>
      </w:tr>
    </w:tbl>
    <w:p/>
    <w:p>
      <w:pPr>
        <w:spacing w:after="120"/>
      </w:pPr>
      <w:r>
        <w:rPr>
          <w:b w:val="0"/>
          <w:i w:val="0"/>
          <w:sz w:val="21"/>
        </w:rPr>
        <w:t>Genuine hardship, specifically stated. The agent acknowledges it warmly — and still does not open with a discount, because Principle 4 holds that hardship changes what can be conceded later, not how the negotiation opens.</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“I could do 300 up front this week and then monthly after that.”</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“Based on that, the best starting plan I can offer today is no discount, with $369.38 upfront within 7 days, then the remaining balance over 6 monthly payments of $246.26.”</w:t>
            </w:r>
          </w:p>
        </w:tc>
      </w:tr>
    </w:tbl>
    <w:p/>
    <w:p>
      <w:pPr>
        <w:spacing w:after="120"/>
      </w:pPr>
      <w:r>
        <w:rPr>
          <w:b w:val="0"/>
          <w:i w:val="0"/>
          <w:sz w:val="21"/>
        </w:rPr>
        <w:t>The customer volunteered $300. The agent asked for $369.38 — above her own offer, never below it. This sounds obvious and is one of the easiest mistakes for a language model to make: trying to sound accommodating, it will happily ask for less than the customer has already put on the table. An explicit rule forbids it.</w:t>
      </w:r>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Customer  </w:t>
            </w:r>
            <w:r>
              <w:rPr>
                <w:i/>
                <w:sz w:val="19"/>
              </w:rPr>
              <w:t>“That monthly is too high for me though.”</w:t>
            </w:r>
          </w:p>
        </w:tc>
      </w:tr>
    </w:tbl>
    <w:p/>
    <w:tbl>
      <w:tblPr>
        <w:tblW w:type="auto" w:w="0"/>
        <w:jc w:val="left"/>
        <w:tblLook w:firstColumn="1" w:firstRow="1" w:lastColumn="0" w:lastRow="0" w:noHBand="0" w:noVBand="1" w:val="04A0"/>
      </w:tblPr>
      <w:tblGrid>
        <w:gridCol w:w="8640"/>
      </w:tblGrid>
      <w:tr>
        <w:tc>
          <w:tcPr>
            <w:tcW w:type="dxa" w:w="8640"/>
            <w:shd w:val="clear" w:fill="EEF3FA"/>
          </w:tcPr>
          <w:p>
            <w:r>
              <w:rPr>
                <w:b/>
                <w:sz w:val="19"/>
              </w:rPr>
              <w:t xml:space="preserve">Bot  </w:t>
            </w:r>
            <w:r>
              <w:rPr>
                <w:i/>
                <w:sz w:val="19"/>
              </w:rPr>
              <w:t>“I can reduce the monthly amount by stretching the rest over 12 months, while keeping the same start: $369.38 within 7 days, then 12 monthly payments of $123.13.”</w:t>
            </w:r>
          </w:p>
        </w:tc>
      </w:tr>
    </w:tbl>
    <w:p/>
    <w:p>
      <w:pPr>
        <w:spacing w:after="120"/>
      </w:pPr>
      <w:r>
        <w:rPr>
          <w:b w:val="0"/>
          <w:i w:val="0"/>
          <w:sz w:val="21"/>
        </w:rPr>
        <w:t>One term moves — instalments from 6 to 12 — which halves the monthly burden while collecting exactly the same amount of money. The discount stays at 0% and the upfront stays fixed. This is the ideal shape of a concession: materially better for the customer, costless to the creditor.</w:t>
      </w:r>
    </w:p>
    <w:p>
      <w:pPr>
        <w:spacing w:after="120"/>
      </w:pPr>
      <w:r>
        <w:rPr>
          <w:b/>
          <w:i w:val="0"/>
          <w:sz w:val="21"/>
        </w:rPr>
        <w:t>The conversation closes at a 0% discount, collecting the full $1,846.92, with $369.38 received inside a week — from a customer in genuine financial difficulty who leaves the call with a plan she can afford. That is what holding both objectives at once looks like.</w:t>
      </w:r>
    </w:p>
    <w:p>
      <w:pPr>
        <w:pStyle w:val="Heading1"/>
      </w:pPr>
      <w:r>
        <w:t>6. The disputed-balance decision</w:t>
      </w:r>
    </w:p>
    <w:p>
      <w:pPr>
        <w:spacing w:after="120"/>
      </w:pPr>
      <w:r>
        <w:rPr>
          <w:b w:val="0"/>
          <w:i w:val="0"/>
          <w:sz w:val="21"/>
        </w:rPr>
        <w:t>All three demonstration accounts carry formally logged, unresolved disputes. This forced an explicit design decision worth explaining, because a client will notice the numbers do not match the dashboard.</w:t>
      </w:r>
    </w:p>
    <w:p>
      <w:pPr>
        <w:spacing w:after="120"/>
      </w:pPr>
      <w:r>
        <w:rPr>
          <w:b w:val="0"/>
          <w:i w:val="0"/>
          <w:sz w:val="21"/>
        </w:rPr>
        <w:t>A strict reading of the escalation rules — hand off whenever a customer disputes the debt — would end all three conversations on the first turn, which is neither useful nor how collections actually works. Instead the disputed amount is ring-fenced:</w:t>
      </w:r>
    </w:p>
    <w:p>
      <w:pPr>
        <w:pStyle w:val="ListBullet"/>
        <w:spacing w:after="60"/>
      </w:pPr>
      <w:r>
        <w:rPr>
          <w:sz w:val="21"/>
        </w:rPr>
        <w:t>It is subtracted from the balance before any negotiation begins.</w:t>
      </w:r>
    </w:p>
    <w:p>
      <w:pPr>
        <w:pStyle w:val="ListBullet"/>
        <w:spacing w:after="60"/>
      </w:pPr>
      <w:r>
        <w:rPr>
          <w:sz w:val="21"/>
        </w:rPr>
        <w:t>The agent states plainly that it sits with the disputes team and is excluded from the call.</w:t>
      </w:r>
    </w:p>
    <w:p>
      <w:pPr>
        <w:pStyle w:val="ListBullet"/>
        <w:spacing w:after="60"/>
      </w:pPr>
      <w:r>
        <w:rPr>
          <w:sz w:val="21"/>
        </w:rPr>
        <w:t>The agent will not argue its merits, defend it, or try to collect it.</w:t>
      </w:r>
    </w:p>
    <w:p>
      <w:pPr>
        <w:pStyle w:val="ListBullet"/>
        <w:spacing w:after="60"/>
      </w:pPr>
      <w:r>
        <w:rPr>
          <w:sz w:val="21"/>
        </w:rPr>
        <w:t>Everything discussed applies only to the undisputed remainder.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448"/>
          </w:tcPr>
          <w:p>
            <w:r/>
            <w:r>
              <w:rPr>
                <w:b/>
                <w:sz w:val="18"/>
              </w:rPr>
              <w:t>Customer</w:t>
            </w:r>
          </w:p>
        </w:tc>
        <w:tc>
          <w:tcPr>
            <w:tcW w:type="dxa" w:w="2304"/>
          </w:tcPr>
          <w:p>
            <w:r/>
            <w:r>
              <w:rPr>
                <w:b/>
                <w:sz w:val="18"/>
              </w:rPr>
              <w:t>Outstanding</w:t>
            </w:r>
          </w:p>
        </w:tc>
        <w:tc>
          <w:tcPr>
            <w:tcW w:type="dxa" w:w="2736"/>
          </w:tcPr>
          <w:p>
            <w:r/>
            <w:r>
              <w:rPr>
                <w:b/>
                <w:sz w:val="18"/>
              </w:rPr>
              <w:t>Disputed (ring-fenced)</w:t>
            </w:r>
          </w:p>
        </w:tc>
        <w:tc>
          <w:tcPr>
            <w:tcW w:type="dxa" w:w="1872"/>
          </w:tcPr>
          <w:p>
            <w:r/>
            <w:r>
              <w:rPr>
                <w:b/>
                <w:sz w:val="18"/>
              </w:rPr>
              <w:t>Negotiated</w:t>
            </w:r>
          </w:p>
        </w:tc>
      </w:tr>
      <w:tr>
        <w:tc>
          <w:tcPr>
            <w:tcW w:type="dxa" w:w="2448"/>
          </w:tcPr>
          <w:p>
            <w:r>
              <w:rPr>
                <w:sz w:val="18"/>
              </w:rPr>
              <w:t>Vikas Chandran</w:t>
            </w:r>
          </w:p>
        </w:tc>
        <w:tc>
          <w:tcPr>
            <w:tcW w:type="dxa" w:w="2304"/>
          </w:tcPr>
          <w:p>
            <w:r>
              <w:rPr>
                <w:sz w:val="18"/>
              </w:rPr>
              <w:t>$2,457.00</w:t>
            </w:r>
          </w:p>
        </w:tc>
        <w:tc>
          <w:tcPr>
            <w:tcW w:type="dxa" w:w="2736"/>
          </w:tcPr>
          <w:p>
            <w:r>
              <w:rPr>
                <w:sz w:val="18"/>
              </w:rPr>
              <w:t>$512.00 (3 disputes)</w:t>
            </w:r>
          </w:p>
        </w:tc>
        <w:tc>
          <w:tcPr>
            <w:tcW w:type="dxa" w:w="1872"/>
          </w:tcPr>
          <w:p>
            <w:r>
              <w:rPr>
                <w:sz w:val="18"/>
              </w:rPr>
              <w:t>$1,945.00</w:t>
            </w:r>
          </w:p>
        </w:tc>
      </w:tr>
      <w:tr>
        <w:tc>
          <w:tcPr>
            <w:tcW w:type="dxa" w:w="2448"/>
          </w:tcPr>
          <w:p>
            <w:r>
              <w:rPr>
                <w:sz w:val="18"/>
              </w:rPr>
              <w:t>Rania Haddad</w:t>
            </w:r>
          </w:p>
        </w:tc>
        <w:tc>
          <w:tcPr>
            <w:tcW w:type="dxa" w:w="2304"/>
          </w:tcPr>
          <w:p>
            <w:r>
              <w:rPr>
                <w:sz w:val="18"/>
              </w:rPr>
              <w:t>$2,070.92</w:t>
            </w:r>
          </w:p>
        </w:tc>
        <w:tc>
          <w:tcPr>
            <w:tcW w:type="dxa" w:w="2736"/>
          </w:tcPr>
          <w:p>
            <w:r>
              <w:rPr>
                <w:sz w:val="18"/>
              </w:rPr>
              <w:t>$224.00 (1 dispute)</w:t>
            </w:r>
          </w:p>
        </w:tc>
        <w:tc>
          <w:tcPr>
            <w:tcW w:type="dxa" w:w="1872"/>
          </w:tcPr>
          <w:p>
            <w:r>
              <w:rPr>
                <w:sz w:val="18"/>
              </w:rPr>
              <w:t>$1,846.92</w:t>
            </w:r>
          </w:p>
        </w:tc>
      </w:tr>
      <w:tr>
        <w:tc>
          <w:tcPr>
            <w:tcW w:type="dxa" w:w="2448"/>
          </w:tcPr>
          <w:p>
            <w:r>
              <w:rPr>
                <w:sz w:val="18"/>
              </w:rPr>
              <w:t>Faisal Al Nuaimi</w:t>
            </w:r>
          </w:p>
        </w:tc>
        <w:tc>
          <w:tcPr>
            <w:tcW w:type="dxa" w:w="2304"/>
          </w:tcPr>
          <w:p>
            <w:r>
              <w:rPr>
                <w:sz w:val="18"/>
              </w:rPr>
              <w:t>$1,612.91</w:t>
            </w:r>
          </w:p>
        </w:tc>
        <w:tc>
          <w:tcPr>
            <w:tcW w:type="dxa" w:w="2736"/>
          </w:tcPr>
          <w:p>
            <w:r>
              <w:rPr>
                <w:sz w:val="18"/>
              </w:rPr>
              <w:t>$336.00 (2 disputes)</w:t>
            </w:r>
          </w:p>
        </w:tc>
        <w:tc>
          <w:tcPr>
            <w:tcW w:type="dxa" w:w="1872"/>
          </w:tcPr>
          <w:p>
            <w:r>
              <w:rPr>
                <w:sz w:val="18"/>
              </w:rPr>
              <w:t>$1,276.91</w:t>
            </w:r>
          </w:p>
        </w:tc>
      </w:tr>
    </w:tbl>
    <w:p/>
    <w:p>
      <w:pPr>
        <w:spacing w:after="120"/>
      </w:pPr>
      <w:r>
        <w:rPr>
          <w:b w:val="0"/>
          <w:i w:val="0"/>
          <w:sz w:val="21"/>
        </w:rPr>
        <w:t>The escalation rule still applies to anything new: if the customer disputes the undisputed balance, or raises a fresh complaint not already on file, the agent hands off.</w:t>
      </w:r>
    </w:p>
    <w:p>
      <w:pPr>
        <w:pStyle w:val="Heading1"/>
      </w:pPr>
      <w:r>
        <w:t>7. Conduct guardrails — what it will never do</w:t>
      </w:r>
    </w:p>
    <w:p>
      <w:pPr>
        <w:spacing w:after="120"/>
      </w:pPr>
      <w:r>
        <w:rPr>
          <w:b w:val="0"/>
          <w:i w:val="0"/>
          <w:sz w:val="21"/>
        </w:rPr>
        <w:t>These hold regardless of what the customer says or offers. There is no conversational route around them.</w:t>
      </w:r>
    </w:p>
    <w:tbl>
      <w:tblPr>
        <w:tblStyle w:val="LightGrid-Accent1"/>
        <w:tblW w:type="auto" w:w="0"/>
        <w:tblLook w:firstColumn="1" w:firstRow="1" w:lastColumn="0" w:lastRow="0" w:noHBand="0" w:noVBand="1" w:val="04A0"/>
      </w:tblPr>
      <w:tblGrid>
        <w:gridCol w:w="4320"/>
        <w:gridCol w:w="4320"/>
      </w:tblGrid>
      <w:tr>
        <w:tc>
          <w:tcPr>
            <w:tcW w:type="dxa" w:w="2520"/>
          </w:tcPr>
          <w:p>
            <w:r/>
            <w:r>
              <w:rPr>
                <w:b/>
                <w:sz w:val="18"/>
              </w:rPr>
              <w:t>Guardrail</w:t>
            </w:r>
          </w:p>
        </w:tc>
        <w:tc>
          <w:tcPr>
            <w:tcW w:type="dxa" w:w="6840"/>
          </w:tcPr>
          <w:p>
            <w:r/>
            <w:r>
              <w:rPr>
                <w:b/>
                <w:sz w:val="18"/>
              </w:rPr>
              <w:t>What that means in practice</w:t>
            </w:r>
          </w:p>
        </w:tc>
      </w:tr>
      <w:tr>
        <w:tc>
          <w:tcPr>
            <w:tcW w:type="dxa" w:w="2520"/>
          </w:tcPr>
          <w:p>
            <w:r>
              <w:rPr>
                <w:sz w:val="18"/>
              </w:rPr>
              <w:t>No unauthorised threats</w:t>
            </w:r>
          </w:p>
        </w:tc>
        <w:tc>
          <w:tcPr>
            <w:tcW w:type="dxa" w:w="6840"/>
          </w:tcPr>
          <w:p>
            <w:r>
              <w:rPr>
                <w:sz w:val="18"/>
              </w:rPr>
              <w:t>No court, bailiffs, arrest, wage garnishment, asset seizure, employer contact or deportation — not as statement, not as implication. This is the most common source of regulatory penalty in collections.</w:t>
            </w:r>
          </w:p>
        </w:tc>
      </w:tr>
      <w:tr>
        <w:tc>
          <w:tcPr>
            <w:tcW w:type="dxa" w:w="2520"/>
          </w:tcPr>
          <w:p>
            <w:r>
              <w:rPr>
                <w:sz w:val="18"/>
              </w:rPr>
              <w:t>Factual consequences only</w:t>
            </w:r>
          </w:p>
        </w:tc>
        <w:tc>
          <w:tcPr>
            <w:tcW w:type="dxa" w:w="6840"/>
          </w:tcPr>
          <w:p>
            <w:r>
              <w:rPr>
                <w:sz w:val="18"/>
              </w:rPr>
              <w:t>It may state what genuinely follows: the service is already suspended, arrears continue to be reported to credit agencies, an unresolved account may pass to a recovery partner. Stated calmly, never as leverage.</w:t>
            </w:r>
          </w:p>
        </w:tc>
      </w:tr>
      <w:tr>
        <w:tc>
          <w:tcPr>
            <w:tcW w:type="dxa" w:w="2520"/>
          </w:tcPr>
          <w:p>
            <w:r>
              <w:rPr>
                <w:sz w:val="18"/>
              </w:rPr>
              <w:t>No third-party disclosure</w:t>
            </w:r>
          </w:p>
        </w:tc>
        <w:tc>
          <w:tcPr>
            <w:tcW w:type="dxa" w:w="6840"/>
          </w:tcPr>
          <w:p>
            <w:r>
              <w:rPr>
                <w:sz w:val="18"/>
              </w:rPr>
              <w:t>The debt is never discussed with anyone other than the named customer. Identity is verified before any figure is mentioned.</w:t>
            </w:r>
          </w:p>
        </w:tc>
      </w:tr>
      <w:tr>
        <w:tc>
          <w:tcPr>
            <w:tcW w:type="dxa" w:w="2520"/>
          </w:tcPr>
          <w:p>
            <w:r>
              <w:rPr>
                <w:sz w:val="18"/>
              </w:rPr>
              <w:t>No misrepresentation</w:t>
            </w:r>
          </w:p>
        </w:tc>
        <w:tc>
          <w:tcPr>
            <w:tcW w:type="dxa" w:w="6840"/>
          </w:tcPr>
          <w:p>
            <w:r>
              <w:rPr>
                <w:sz w:val="18"/>
              </w:rPr>
              <w:t>Not of its identity, the amount owed, the customer's options, or what happens next. It will not invent a balance, a fee, a deadline or a prior conversation — if it is not in the account file, it says it does not have it and offers to send it in writing.</w:t>
            </w:r>
          </w:p>
        </w:tc>
      </w:tr>
      <w:tr>
        <w:tc>
          <w:tcPr>
            <w:tcW w:type="dxa" w:w="2520"/>
          </w:tcPr>
          <w:p>
            <w:r>
              <w:rPr>
                <w:sz w:val="18"/>
              </w:rPr>
              <w:t>No abuse or shaming</w:t>
            </w:r>
          </w:p>
        </w:tc>
        <w:tc>
          <w:tcPr>
            <w:tcW w:type="dxa" w:w="6840"/>
          </w:tcPr>
          <w:p>
            <w:r>
              <w:rPr>
                <w:sz w:val="18"/>
              </w:rPr>
              <w:t>No humiliation, mockery, moralising or profanity, whatever the provocation. Under pressure it gets calmer and shorter, not louder.</w:t>
            </w:r>
          </w:p>
        </w:tc>
      </w:tr>
      <w:tr>
        <w:tc>
          <w:tcPr>
            <w:tcW w:type="dxa" w:w="2520"/>
          </w:tcPr>
          <w:p>
            <w:r>
              <w:rPr>
                <w:sz w:val="18"/>
              </w:rPr>
              <w:t>No internal data read aloud</w:t>
            </w:r>
          </w:p>
        </w:tc>
        <w:tc>
          <w:tcPr>
            <w:tcW w:type="dxa" w:w="6840"/>
          </w:tcPr>
          <w:p>
            <w:r>
              <w:rPr>
                <w:sz w:val="18"/>
              </w:rPr>
              <w:t>Risk scores, behaviour classifications, cooperation and recovery probabilities are used to decide how to handle the call — never quoted to the customer.</w:t>
            </w:r>
          </w:p>
        </w:tc>
      </w:tr>
      <w:tr>
        <w:tc>
          <w:tcPr>
            <w:tcW w:type="dxa" w:w="2520"/>
          </w:tcPr>
          <w:p>
            <w:r>
              <w:rPr>
                <w:sz w:val="18"/>
              </w:rPr>
              <w:t>No advice it is not qualified to give</w:t>
            </w:r>
          </w:p>
        </w:tc>
        <w:tc>
          <w:tcPr>
            <w:tcW w:type="dxa" w:w="6840"/>
          </w:tcPr>
          <w:p>
            <w:r>
              <w:rPr>
                <w:sz w:val="18"/>
              </w:rPr>
              <w:t>No legal, tax or debt-counselling opinions. It signposts to free debt advice where appropriate.</w:t>
            </w:r>
          </w:p>
        </w:tc>
      </w:tr>
      <w:tr>
        <w:tc>
          <w:tcPr>
            <w:tcW w:type="dxa" w:w="2520"/>
          </w:tcPr>
          <w:p>
            <w:r>
              <w:rPr>
                <w:sz w:val="18"/>
              </w:rPr>
              <w:t>Comprehension protected</w:t>
            </w:r>
          </w:p>
        </w:tc>
        <w:tc>
          <w:tcPr>
            <w:tcW w:type="dxa" w:w="6840"/>
          </w:tcPr>
          <w:p>
            <w:r>
              <w:rPr>
                <w:sz w:val="18"/>
              </w:rPr>
              <w:t>Where a customer's recorded financial literacy is low, it explains in plain words and checks understanding. It must not close a deal the customer does not understand.</w:t>
            </w:r>
          </w:p>
        </w:tc>
      </w:tr>
    </w:tbl>
    <w:p/>
    <w:p>
      <w:pPr>
        <w:pStyle w:val="Heading1"/>
      </w:pPr>
      <w:r>
        <w:t>8. When it stops: escalation to a human</w:t>
      </w:r>
    </w:p>
    <w:p>
      <w:pPr>
        <w:spacing w:after="120"/>
      </w:pPr>
      <w:r>
        <w:rPr>
          <w:b w:val="0"/>
          <w:i w:val="0"/>
          <w:sz w:val="21"/>
        </w:rPr>
        <w:t>The agent halts the negotiation, returns a short and calm handoff, and makes no further offer, when any of the following occurs.</w:t>
      </w:r>
    </w:p>
    <w:p>
      <w:pPr>
        <w:pStyle w:val="ListBullet"/>
        <w:spacing w:after="60"/>
      </w:pPr>
      <w:r>
        <w:rPr>
          <w:sz w:val="21"/>
        </w:rPr>
        <w:t>The customer disputes the balance under discussion, or raises a new dispute.</w:t>
      </w:r>
    </w:p>
    <w:p>
      <w:pPr>
        <w:pStyle w:val="ListBullet"/>
        <w:spacing w:after="60"/>
      </w:pPr>
      <w:r>
        <w:rPr>
          <w:sz w:val="21"/>
        </w:rPr>
        <w:t>The customer asks for written validation of the debt.</w:t>
      </w:r>
    </w:p>
    <w:p>
      <w:pPr>
        <w:pStyle w:val="ListBullet"/>
        <w:spacing w:after="60"/>
      </w:pPr>
      <w:r>
        <w:rPr>
          <w:sz w:val="21"/>
        </w:rPr>
        <w:t>Bankruptcy, insolvency, or a lawyer or representative is mentioned.</w:t>
      </w:r>
    </w:p>
    <w:p>
      <w:pPr>
        <w:pStyle w:val="ListBullet"/>
        <w:spacing w:after="60"/>
      </w:pPr>
      <w:r>
        <w:rPr>
          <w:sz w:val="21"/>
        </w:rPr>
        <w:t>Any sign of distress, hopelessness or self-harm — money is dropped immediately and the call is handed to a person.</w:t>
      </w:r>
    </w:p>
    <w:p>
      <w:pPr>
        <w:pStyle w:val="ListBullet"/>
        <w:spacing w:after="60"/>
      </w:pPr>
      <w:r>
        <w:rPr>
          <w:sz w:val="21"/>
        </w:rPr>
        <w:t>The customer appears vulnerable: bereavement, serious illness, coercion.</w:t>
      </w:r>
    </w:p>
    <w:p>
      <w:pPr>
        <w:pStyle w:val="ListBullet"/>
        <w:spacing w:after="60"/>
      </w:pPr>
      <w:r>
        <w:rPr>
          <w:sz w:val="21"/>
        </w:rPr>
        <w:t>A formal complaint is repeated after being acknowledged once.</w:t>
      </w:r>
    </w:p>
    <w:p>
      <w:pPr>
        <w:pStyle w:val="ListBullet"/>
        <w:spacing w:after="60"/>
      </w:pPr>
      <w:r>
        <w:rPr>
          <w:sz w:val="21"/>
        </w:rPr>
        <w:t>The customer asks not to be contacted again.</w:t>
      </w:r>
    </w:p>
    <w:tbl>
      <w:tblPr>
        <w:tblW w:type="auto" w:w="0"/>
        <w:jc w:val="left"/>
        <w:tblLook w:firstColumn="1" w:firstRow="1" w:lastColumn="0" w:lastRow="0" w:noHBand="0" w:noVBand="1" w:val="04A0"/>
      </w:tblPr>
      <w:tblGrid>
        <w:gridCol w:w="8640"/>
      </w:tblGrid>
      <w:tr>
        <w:tc>
          <w:tcPr>
            <w:tcW w:type="dxa" w:w="8640"/>
            <w:shd w:val="clear" w:fill="FFF6E5"/>
          </w:tcPr>
          <w:p>
            <w:r>
              <w:rPr>
                <w:b/>
                <w:sz w:val="20"/>
              </w:rPr>
              <w:t xml:space="preserve">Demonstrated live.  </w:t>
            </w:r>
            <w:r>
              <w:rPr>
                <w:sz w:val="20"/>
              </w:rPr>
              <w:t>Faisal's lawyer mention triggers this in the demo. The session closes with outcome 'escalated' and the input is disabled — the agent cannot be coaxed back into negotiating.</w:t>
            </w:r>
          </w:p>
        </w:tc>
      </w:tr>
    </w:tbl>
    <w:p/>
    <w:p>
      <w:pPr>
        <w:pStyle w:val="Heading1"/>
      </w:pPr>
      <w:r>
        <w:t>9. Where enforcement actually lives today</w:t>
      </w:r>
    </w:p>
    <w:p>
      <w:pPr>
        <w:spacing w:after="120"/>
      </w:pPr>
      <w:r>
        <w:rPr>
          <w:b/>
          <w:i w:val="0"/>
          <w:sz w:val="21"/>
        </w:rPr>
        <w:t>This is the most important section for a technical audience, and the one to be most direct about.</w:t>
      </w:r>
    </w:p>
    <w:p>
      <w:pPr>
        <w:spacing w:after="120"/>
      </w:pPr>
      <w:r>
        <w:rPr>
          <w:b w:val="0"/>
          <w:i w:val="0"/>
          <w:sz w:val="21"/>
        </w:rPr>
        <w:t>The demonstrator you are watching carries its rules in two different ways, with very different strength.</w:t>
      </w:r>
    </w:p>
    <w:tbl>
      <w:tblPr>
        <w:tblStyle w:val="LightGrid-Accent1"/>
        <w:tblW w:type="auto" w:w="0"/>
        <w:tblLook w:firstColumn="1" w:firstRow="1" w:lastColumn="0" w:lastRow="0" w:noHBand="0" w:noVBand="1" w:val="04A0"/>
      </w:tblPr>
      <w:tblGrid>
        <w:gridCol w:w="2880"/>
        <w:gridCol w:w="2880"/>
        <w:gridCol w:w="2880"/>
      </w:tblGrid>
      <w:tr>
        <w:tc>
          <w:tcPr>
            <w:tcW w:type="dxa" w:w="3312"/>
          </w:tcPr>
          <w:p>
            <w:r/>
            <w:r>
              <w:rPr>
                <w:b/>
                <w:sz w:val="18"/>
              </w:rPr>
              <w:t>Rule</w:t>
            </w:r>
          </w:p>
        </w:tc>
        <w:tc>
          <w:tcPr>
            <w:tcW w:type="dxa" w:w="3600"/>
          </w:tcPr>
          <w:p>
            <w:r/>
            <w:r>
              <w:rPr>
                <w:b/>
                <w:sz w:val="18"/>
              </w:rPr>
              <w:t>How it is enforced</w:t>
            </w:r>
          </w:p>
        </w:tc>
        <w:tc>
          <w:tcPr>
            <w:tcW w:type="dxa" w:w="2448"/>
          </w:tcPr>
          <w:p>
            <w:r/>
            <w:r>
              <w:rPr>
                <w:b/>
                <w:sz w:val="18"/>
              </w:rPr>
              <w:t>Can the model break it?</w:t>
            </w:r>
          </w:p>
        </w:tc>
      </w:tr>
      <w:tr>
        <w:tc>
          <w:tcPr>
            <w:tcW w:type="dxa" w:w="3312"/>
          </w:tcPr>
          <w:p>
            <w:r>
              <w:rPr>
                <w:sz w:val="18"/>
              </w:rPr>
              <w:t>The four permitted value grids</w:t>
            </w:r>
          </w:p>
        </w:tc>
        <w:tc>
          <w:tcPr>
            <w:tcW w:type="dxa" w:w="3600"/>
          </w:tcPr>
          <w:p>
            <w:r>
              <w:rPr>
                <w:sz w:val="18"/>
              </w:rPr>
              <w:t>Structurally, in the response format</w:t>
            </w:r>
          </w:p>
        </w:tc>
        <w:tc>
          <w:tcPr>
            <w:tcW w:type="dxa" w:w="2448"/>
          </w:tcPr>
          <w:p>
            <w:r>
              <w:rPr>
                <w:sz w:val="18"/>
              </w:rPr>
              <w:t>No — impossible by construction</w:t>
            </w:r>
          </w:p>
        </w:tc>
      </w:tr>
      <w:tr>
        <w:tc>
          <w:tcPr>
            <w:tcW w:type="dxa" w:w="3312"/>
          </w:tcPr>
          <w:p>
            <w:r>
              <w:rPr>
                <w:sz w:val="18"/>
              </w:rPr>
              <w:t>One selector per deal term</w:t>
            </w:r>
          </w:p>
        </w:tc>
        <w:tc>
          <w:tcPr>
            <w:tcW w:type="dxa" w:w="3600"/>
          </w:tcPr>
          <w:p>
            <w:r>
              <w:rPr>
                <w:sz w:val="18"/>
              </w:rPr>
              <w:t>Structurally</w:t>
            </w:r>
          </w:p>
        </w:tc>
        <w:tc>
          <w:tcPr>
            <w:tcW w:type="dxa" w:w="2448"/>
          </w:tcPr>
          <w:p>
            <w:r>
              <w:rPr>
                <w:sz w:val="18"/>
              </w:rPr>
              <w:t>No</w:t>
            </w:r>
          </w:p>
        </w:tc>
      </w:tr>
      <w:tr>
        <w:tc>
          <w:tcPr>
            <w:tcW w:type="dxa" w:w="3312"/>
          </w:tcPr>
          <w:p>
            <w:r>
              <w:rPr>
                <w:sz w:val="18"/>
              </w:rPr>
              <w:t>Concession discipline</w:t>
            </w:r>
          </w:p>
        </w:tc>
        <w:tc>
          <w:tcPr>
            <w:tcW w:type="dxa" w:w="3600"/>
          </w:tcPr>
          <w:p>
            <w:r>
              <w:rPr>
                <w:sz w:val="18"/>
              </w:rPr>
              <w:t>Instruction to the model</w:t>
            </w:r>
          </w:p>
        </w:tc>
        <w:tc>
          <w:tcPr>
            <w:tcW w:type="dxa" w:w="2448"/>
          </w:tcPr>
          <w:p>
            <w:r>
              <w:rPr>
                <w:sz w:val="18"/>
              </w:rPr>
              <w:t>Yes, under pressure</w:t>
            </w:r>
          </w:p>
        </w:tc>
      </w:tr>
      <w:tr>
        <w:tc>
          <w:tcPr>
            <w:tcW w:type="dxa" w:w="3312"/>
          </w:tcPr>
          <w:p>
            <w:r>
              <w:rPr>
                <w:sz w:val="18"/>
              </w:rPr>
              <w:t>Compliance and conduct rules</w:t>
            </w:r>
          </w:p>
        </w:tc>
        <w:tc>
          <w:tcPr>
            <w:tcW w:type="dxa" w:w="3600"/>
          </w:tcPr>
          <w:p>
            <w:r>
              <w:rPr>
                <w:sz w:val="18"/>
              </w:rPr>
              <w:t>Instruction to the model</w:t>
            </w:r>
          </w:p>
        </w:tc>
        <w:tc>
          <w:tcPr>
            <w:tcW w:type="dxa" w:w="2448"/>
          </w:tcPr>
          <w:p>
            <w:r>
              <w:rPr>
                <w:sz w:val="18"/>
              </w:rPr>
              <w:t>Yes</w:t>
            </w:r>
          </w:p>
        </w:tc>
      </w:tr>
      <w:tr>
        <w:tc>
          <w:tcPr>
            <w:tcW w:type="dxa" w:w="3312"/>
          </w:tcPr>
          <w:p>
            <w:r>
              <w:rPr>
                <w:sz w:val="18"/>
              </w:rPr>
              <w:t>Escalation triggers</w:t>
            </w:r>
          </w:p>
        </w:tc>
        <w:tc>
          <w:tcPr>
            <w:tcW w:type="dxa" w:w="3600"/>
          </w:tcPr>
          <w:p>
            <w:r>
              <w:rPr>
                <w:sz w:val="18"/>
              </w:rPr>
              <w:t>Instruction to the model</w:t>
            </w:r>
          </w:p>
        </w:tc>
        <w:tc>
          <w:tcPr>
            <w:tcW w:type="dxa" w:w="2448"/>
          </w:tcPr>
          <w:p>
            <w:r>
              <w:rPr>
                <w:sz w:val="18"/>
              </w:rPr>
              <w:t>Yes</w:t>
            </w:r>
          </w:p>
        </w:tc>
      </w:tr>
      <w:tr>
        <w:tc>
          <w:tcPr>
            <w:tcW w:type="dxa" w:w="3312"/>
          </w:tcPr>
          <w:p>
            <w:r>
              <w:rPr>
                <w:sz w:val="18"/>
              </w:rPr>
              <w:t>Never ask below what was offered</w:t>
            </w:r>
          </w:p>
        </w:tc>
        <w:tc>
          <w:tcPr>
            <w:tcW w:type="dxa" w:w="3600"/>
          </w:tcPr>
          <w:p>
            <w:r>
              <w:rPr>
                <w:sz w:val="18"/>
              </w:rPr>
              <w:t>Instruction to the model</w:t>
            </w:r>
          </w:p>
        </w:tc>
        <w:tc>
          <w:tcPr>
            <w:tcW w:type="dxa" w:w="2448"/>
          </w:tcPr>
          <w:p>
            <w:r>
              <w:rPr>
                <w:sz w:val="18"/>
              </w:rPr>
              <w:t>Yes</w:t>
            </w:r>
          </w:p>
        </w:tc>
      </w:tr>
    </w:tbl>
    <w:p/>
    <w:p>
      <w:pPr>
        <w:pStyle w:val="Heading2"/>
      </w:pPr>
      <w:r>
        <w:t>A real failure, caught in testing</w:t>
      </w:r>
    </w:p>
    <w:p>
      <w:pPr>
        <w:spacing w:after="120"/>
      </w:pPr>
      <w:r>
        <w:rPr>
          <w:b w:val="0"/>
          <w:i w:val="0"/>
          <w:sz w:val="21"/>
        </w:rPr>
        <w:t>During development, Rania's conversation went differently. Told about the lost client, an earlier version of the agent opened with a 5% discount, 10% upfront and a 12-month tail — three terms conceded simultaneously — and asked for $175.46 when she had just volunteered $300. It negotiated against itself out of sympathy.</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18"/>
              </w:rPr>
            </w:r>
          </w:p>
        </w:tc>
        <w:tc>
          <w:tcPr>
            <w:tcW w:type="dxa" w:w="3456"/>
          </w:tcPr>
          <w:p>
            <w:r/>
            <w:r>
              <w:rPr>
                <w:b/>
                <w:sz w:val="18"/>
              </w:rPr>
              <w:t>Before the fix</w:t>
            </w:r>
          </w:p>
        </w:tc>
        <w:tc>
          <w:tcPr>
            <w:tcW w:type="dxa" w:w="3600"/>
          </w:tcPr>
          <w:p>
            <w:r/>
            <w:r>
              <w:rPr>
                <w:b/>
                <w:sz w:val="18"/>
              </w:rPr>
              <w:t>After the fix</w:t>
            </w:r>
          </w:p>
        </w:tc>
      </w:tr>
      <w:tr>
        <w:tc>
          <w:tcPr>
            <w:tcW w:type="dxa" w:w="2304"/>
          </w:tcPr>
          <w:p>
            <w:r>
              <w:rPr>
                <w:sz w:val="18"/>
              </w:rPr>
              <w:t>Discount</w:t>
            </w:r>
          </w:p>
        </w:tc>
        <w:tc>
          <w:tcPr>
            <w:tcW w:type="dxa" w:w="3456"/>
          </w:tcPr>
          <w:p>
            <w:r>
              <w:rPr>
                <w:sz w:val="18"/>
              </w:rPr>
              <w:t>5%</w:t>
            </w:r>
          </w:p>
        </w:tc>
        <w:tc>
          <w:tcPr>
            <w:tcW w:type="dxa" w:w="3600"/>
          </w:tcPr>
          <w:p>
            <w:r>
              <w:rPr>
                <w:sz w:val="18"/>
              </w:rPr>
              <w:t>0%</w:t>
            </w:r>
          </w:p>
        </w:tc>
      </w:tr>
      <w:tr>
        <w:tc>
          <w:tcPr>
            <w:tcW w:type="dxa" w:w="2304"/>
          </w:tcPr>
          <w:p>
            <w:r>
              <w:rPr>
                <w:sz w:val="18"/>
              </w:rPr>
              <w:t>Upfront requested</w:t>
            </w:r>
          </w:p>
        </w:tc>
        <w:tc>
          <w:tcPr>
            <w:tcW w:type="dxa" w:w="3456"/>
          </w:tcPr>
          <w:p>
            <w:r>
              <w:rPr>
                <w:sz w:val="18"/>
              </w:rPr>
              <w:t>$175.46 (below her $300)</w:t>
            </w:r>
          </w:p>
        </w:tc>
        <w:tc>
          <w:tcPr>
            <w:tcW w:type="dxa" w:w="3600"/>
          </w:tcPr>
          <w:p>
            <w:r>
              <w:rPr>
                <w:sz w:val="18"/>
              </w:rPr>
              <w:t>$369.38 (above her $300)</w:t>
            </w:r>
          </w:p>
        </w:tc>
      </w:tr>
      <w:tr>
        <w:tc>
          <w:tcPr>
            <w:tcW w:type="dxa" w:w="2304"/>
          </w:tcPr>
          <w:p>
            <w:r>
              <w:rPr>
                <w:sz w:val="18"/>
              </w:rPr>
              <w:t>Total collected</w:t>
            </w:r>
          </w:p>
        </w:tc>
        <w:tc>
          <w:tcPr>
            <w:tcW w:type="dxa" w:w="3456"/>
          </w:tcPr>
          <w:p>
            <w:r>
              <w:rPr>
                <w:sz w:val="18"/>
              </w:rPr>
              <w:t>$1,754.57</w:t>
            </w:r>
          </w:p>
        </w:tc>
        <w:tc>
          <w:tcPr>
            <w:tcW w:type="dxa" w:w="3600"/>
          </w:tcPr>
          <w:p>
            <w:r>
              <w:rPr>
                <w:sz w:val="18"/>
              </w:rPr>
              <w:t>$1,846.92</w:t>
            </w:r>
          </w:p>
        </w:tc>
      </w:tr>
    </w:tbl>
    <w:p/>
    <w:p>
      <w:pPr>
        <w:spacing w:after="120"/>
      </w:pPr>
      <w:r>
        <w:rPr>
          <w:b w:val="0"/>
          <w:i w:val="0"/>
          <w:sz w:val="21"/>
        </w:rPr>
        <w:t>The fix was two additional prompt rules, and the behaviour corrected. But the lesson is the general one from Principle 2: it was found because someone tested that specific path. A rule that lives only in a prompt is one untested conversation away from being broken again.</w:t>
      </w:r>
    </w:p>
    <w:p>
      <w:pPr>
        <w:pStyle w:val="Heading2"/>
      </w:pPr>
      <w:r>
        <w:t>What a production deployment adds</w:t>
      </w:r>
    </w:p>
    <w:p>
      <w:pPr>
        <w:spacing w:after="120"/>
      </w:pPr>
      <w:r>
        <w:rPr>
          <w:b w:val="0"/>
          <w:i w:val="0"/>
          <w:sz w:val="21"/>
        </w:rPr>
        <w:t>The full system separates the two layers properly. The components below are built and tested in the main codebase; the demonstrator deliberately runs without them so that the negotiation behaviour can be assessed on its own.</w:t>
      </w:r>
    </w:p>
    <w:p>
      <w:pPr>
        <w:pStyle w:val="ListBullet"/>
        <w:spacing w:after="60"/>
      </w:pPr>
      <w:r>
        <w:rPr>
          <w:b/>
          <w:sz w:val="21"/>
        </w:rPr>
        <w:t xml:space="preserve">Deterministic policy engine. </w:t>
      </w:r>
      <w:r>
        <w:rPr>
          <w:sz w:val="21"/>
        </w:rPr>
        <w:t>Offer envelope, concession ladder, hardship evidence rules and validation as pure code. A proposed offer outside the envelope is rejected and regenerated before it can reach the customer.</w:t>
      </w:r>
    </w:p>
    <w:p>
      <w:pPr>
        <w:pStyle w:val="ListBullet"/>
        <w:spacing w:after="60"/>
      </w:pPr>
      <w:r>
        <w:rPr>
          <w:b/>
          <w:sz w:val="21"/>
        </w:rPr>
        <w:t xml:space="preserve">Guardrail layer. </w:t>
      </w:r>
      <w:r>
        <w:rPr>
          <w:sz w:val="21"/>
        </w:rPr>
        <w:t>Compliance checks and escalation triggers evaluated in code, before and after generation, rather than trusted to the model.</w:t>
      </w:r>
    </w:p>
    <w:p>
      <w:pPr>
        <w:pStyle w:val="ListBullet"/>
        <w:spacing w:after="60"/>
      </w:pPr>
      <w:r>
        <w:rPr>
          <w:b/>
          <w:sz w:val="21"/>
        </w:rPr>
        <w:t xml:space="preserve">Retry and escalate. </w:t>
      </w:r>
      <w:r>
        <w:rPr>
          <w:sz w:val="21"/>
        </w:rPr>
        <w:t>Two attempts to produce a compliant turn, then a mandatory handoff to a human — never a non-compliant reply.</w:t>
      </w:r>
    </w:p>
    <w:p>
      <w:pPr>
        <w:pStyle w:val="ListBullet"/>
        <w:spacing w:after="60"/>
      </w:pPr>
      <w:r>
        <w:rPr>
          <w:b/>
          <w:sz w:val="21"/>
        </w:rPr>
        <w:t xml:space="preserve">Full turn audit. </w:t>
      </w:r>
      <w:r>
        <w:rPr>
          <w:sz w:val="21"/>
        </w:rPr>
        <w:t>Every turn persisted with state, model and prompt versions, selected strategy, validation outcomes and final wording. Collections is regulated; the transcript is the evidence.</w:t>
      </w:r>
    </w:p>
    <w:p>
      <w:pPr>
        <w:pStyle w:val="ListBullet"/>
        <w:spacing w:after="60"/>
      </w:pPr>
      <w:r>
        <w:rPr>
          <w:b/>
          <w:sz w:val="21"/>
        </w:rPr>
        <w:t xml:space="preserve">Jurisdiction packs. </w:t>
      </w:r>
      <w:r>
        <w:rPr>
          <w:sz w:val="21"/>
        </w:rPr>
        <w:t>Compliance rules retrieved per jurisdiction and per client, so a market change does not require a code change — and a missing pack stops the conversation rather than proceeding blind.</w:t>
      </w:r>
    </w:p>
    <w:p>
      <w:pPr>
        <w:pStyle w:val="Heading1"/>
      </w:pPr>
      <w:r>
        <w:t>10. What it handles</w:t>
      </w:r>
    </w:p>
    <w:tbl>
      <w:tblPr>
        <w:tblStyle w:val="LightGrid-Accent1"/>
        <w:tblW w:type="auto" w:w="0"/>
        <w:tblLook w:firstColumn="1" w:firstRow="1" w:lastColumn="0" w:lastRow="0" w:noHBand="0" w:noVBand="1" w:val="04A0"/>
      </w:tblPr>
      <w:tblGrid>
        <w:gridCol w:w="4320"/>
        <w:gridCol w:w="4320"/>
      </w:tblGrid>
      <w:tr>
        <w:tc>
          <w:tcPr>
            <w:tcW w:type="dxa" w:w="3168"/>
          </w:tcPr>
          <w:p>
            <w:r/>
            <w:r>
              <w:rPr>
                <w:b/>
                <w:sz w:val="18"/>
              </w:rPr>
              <w:t>Scenario</w:t>
            </w:r>
          </w:p>
        </w:tc>
        <w:tc>
          <w:tcPr>
            <w:tcW w:type="dxa" w:w="6192"/>
          </w:tcPr>
          <w:p>
            <w:r/>
            <w:r>
              <w:rPr>
                <w:b/>
                <w:sz w:val="18"/>
              </w:rPr>
              <w:t>How it responds</w:t>
            </w:r>
          </w:p>
        </w:tc>
      </w:tr>
      <w:tr>
        <w:tc>
          <w:tcPr>
            <w:tcW w:type="dxa" w:w="3168"/>
          </w:tcPr>
          <w:p>
            <w:r>
              <w:rPr>
                <w:sz w:val="18"/>
              </w:rPr>
              <w:t>Flat refusal to pay</w:t>
            </w:r>
          </w:p>
        </w:tc>
        <w:tc>
          <w:tcPr>
            <w:tcW w:type="dxa" w:w="6192"/>
          </w:tcPr>
          <w:p>
            <w:r>
              <w:rPr>
                <w:sz w:val="18"/>
              </w:rPr>
              <w:t>Acknowledges, holds terms, redirects to what is actually payable. Demonstrated.</w:t>
            </w:r>
          </w:p>
        </w:tc>
      </w:tr>
      <w:tr>
        <w:tc>
          <w:tcPr>
            <w:tcW w:type="dxa" w:w="3168"/>
          </w:tcPr>
          <w:p>
            <w:r>
              <w:rPr>
                <w:sz w:val="18"/>
              </w:rPr>
              <w:t>Aggressive demand for a large discount</w:t>
            </w:r>
          </w:p>
        </w:tc>
        <w:tc>
          <w:tcPr>
            <w:tcW w:type="dxa" w:w="6192"/>
          </w:tcPr>
          <w:p>
            <w:r>
              <w:rPr>
                <w:sz w:val="18"/>
              </w:rPr>
              <w:t>Refuses without countering. Does not split the difference with an unevidenced demand. Demonstrated.</w:t>
            </w:r>
          </w:p>
        </w:tc>
      </w:tr>
      <w:tr>
        <w:tc>
          <w:tcPr>
            <w:tcW w:type="dxa" w:w="3168"/>
          </w:tcPr>
          <w:p>
            <w:r>
              <w:rPr>
                <w:sz w:val="18"/>
              </w:rPr>
              <w:t>Repeated pressure with no new information</w:t>
            </w:r>
          </w:p>
        </w:tc>
        <w:tc>
          <w:tcPr>
            <w:tcW w:type="dxa" w:w="6192"/>
          </w:tcPr>
          <w:p>
            <w:r>
              <w:rPr>
                <w:sz w:val="18"/>
              </w:rPr>
              <w:t>Holds position. The second pushback earns exactly what the first did: nothing. Demonstrated.</w:t>
            </w:r>
          </w:p>
        </w:tc>
      </w:tr>
      <w:tr>
        <w:tc>
          <w:tcPr>
            <w:tcW w:type="dxa" w:w="3168"/>
          </w:tcPr>
          <w:p>
            <w:r>
              <w:rPr>
                <w:sz w:val="18"/>
              </w:rPr>
              <w:t>Evasion and vagueness</w:t>
            </w:r>
          </w:p>
        </w:tc>
        <w:tc>
          <w:tcPr>
            <w:tcW w:type="dxa" w:w="6192"/>
          </w:tcPr>
          <w:p>
            <w:r>
              <w:rPr>
                <w:sz w:val="18"/>
              </w:rPr>
              <w:t>After two unanswered requests, stops asking and anchors with a specific offer. Demonstrated.</w:t>
            </w:r>
          </w:p>
        </w:tc>
      </w:tr>
      <w:tr>
        <w:tc>
          <w:tcPr>
            <w:tcW w:type="dxa" w:w="3168"/>
          </w:tcPr>
          <w:p>
            <w:r>
              <w:rPr>
                <w:sz w:val="18"/>
              </w:rPr>
              <w:t>Genuine, specific hardship</w:t>
            </w:r>
          </w:p>
        </w:tc>
        <w:tc>
          <w:tcPr>
            <w:tcW w:type="dxa" w:w="6192"/>
          </w:tcPr>
          <w:p>
            <w:r>
              <w:rPr>
                <w:sz w:val="18"/>
              </w:rPr>
              <w:t>Acknowledges, adjusts one term against the stated fact, protects the discount. Demonstrated.</w:t>
            </w:r>
          </w:p>
        </w:tc>
      </w:tr>
      <w:tr>
        <w:tc>
          <w:tcPr>
            <w:tcW w:type="dxa" w:w="3168"/>
          </w:tcPr>
          <w:p>
            <w:r>
              <w:rPr>
                <w:sz w:val="18"/>
              </w:rPr>
              <w:t>Customer offers a figure</w:t>
            </w:r>
          </w:p>
        </w:tc>
        <w:tc>
          <w:tcPr>
            <w:tcW w:type="dxa" w:w="6192"/>
          </w:tcPr>
          <w:p>
            <w:r>
              <w:rPr>
                <w:sz w:val="18"/>
              </w:rPr>
              <w:t>Takes it as the floor, never asks for less. Demonstrated.</w:t>
            </w:r>
          </w:p>
        </w:tc>
      </w:tr>
      <w:tr>
        <w:tc>
          <w:tcPr>
            <w:tcW w:type="dxa" w:w="3168"/>
          </w:tcPr>
          <w:p>
            <w:r>
              <w:rPr>
                <w:sz w:val="18"/>
              </w:rPr>
              <w:t>Part-disputed balance</w:t>
            </w:r>
          </w:p>
        </w:tc>
        <w:tc>
          <w:tcPr>
            <w:tcW w:type="dxa" w:w="6192"/>
          </w:tcPr>
          <w:p>
            <w:r>
              <w:rPr>
                <w:sz w:val="18"/>
              </w:rPr>
              <w:t>Ring-fences the disputed sum, negotiates the remainder. Demonstrated.</w:t>
            </w:r>
          </w:p>
        </w:tc>
      </w:tr>
      <w:tr>
        <w:tc>
          <w:tcPr>
            <w:tcW w:type="dxa" w:w="3168"/>
          </w:tcPr>
          <w:p>
            <w:r>
              <w:rPr>
                <w:sz w:val="18"/>
              </w:rPr>
              <w:t>Legal representation mentioned</w:t>
            </w:r>
          </w:p>
        </w:tc>
        <w:tc>
          <w:tcPr>
            <w:tcW w:type="dxa" w:w="6192"/>
          </w:tcPr>
          <w:p>
            <w:r>
              <w:rPr>
                <w:sz w:val="18"/>
              </w:rPr>
              <w:t>Stops and hands off. Demonstrated.</w:t>
            </w:r>
          </w:p>
        </w:tc>
      </w:tr>
      <w:tr>
        <w:tc>
          <w:tcPr>
            <w:tcW w:type="dxa" w:w="3168"/>
          </w:tcPr>
          <w:p>
            <w:r>
              <w:rPr>
                <w:sz w:val="18"/>
              </w:rPr>
              <w:t>Anger and hostility</w:t>
            </w:r>
          </w:p>
        </w:tc>
        <w:tc>
          <w:tcPr>
            <w:tcW w:type="dxa" w:w="6192"/>
          </w:tcPr>
          <w:p>
            <w:r>
              <w:rPr>
                <w:sz w:val="18"/>
              </w:rPr>
              <w:t>Becomes calmer and shorter. Never matches the register.</w:t>
            </w:r>
          </w:p>
        </w:tc>
      </w:tr>
      <w:tr>
        <w:tc>
          <w:tcPr>
            <w:tcW w:type="dxa" w:w="3168"/>
          </w:tcPr>
          <w:p>
            <w:r>
              <w:rPr>
                <w:sz w:val="18"/>
              </w:rPr>
              <w:t>Broken promise history</w:t>
            </w:r>
          </w:p>
        </w:tc>
        <w:tc>
          <w:tcPr>
            <w:tcW w:type="dxa" w:w="6192"/>
          </w:tcPr>
          <w:p>
            <w:r>
              <w:rPr>
                <w:sz w:val="18"/>
              </w:rPr>
              <w:t>Uses it to justify a larger upfront, factually, without lecturing.</w:t>
            </w:r>
          </w:p>
        </w:tc>
      </w:tr>
      <w:tr>
        <w:tc>
          <w:tcPr>
            <w:tcW w:type="dxa" w:w="3168"/>
          </w:tcPr>
          <w:p>
            <w:r>
              <w:rPr>
                <w:sz w:val="18"/>
              </w:rPr>
              <w:t>Low financial literacy</w:t>
            </w:r>
          </w:p>
        </w:tc>
        <w:tc>
          <w:tcPr>
            <w:tcW w:type="dxa" w:w="6192"/>
          </w:tcPr>
          <w:p>
            <w:r>
              <w:rPr>
                <w:sz w:val="18"/>
              </w:rPr>
              <w:t>Plain language, checks understanding, states amounts in money rather than percentages.</w:t>
            </w:r>
          </w:p>
        </w:tc>
      </w:tr>
      <w:tr>
        <w:tc>
          <w:tcPr>
            <w:tcW w:type="dxa" w:w="3168"/>
          </w:tcPr>
          <w:p>
            <w:r>
              <w:rPr>
                <w:sz w:val="18"/>
              </w:rPr>
              <w:t>Off-grid counter-offer</w:t>
            </w:r>
          </w:p>
        </w:tc>
        <w:tc>
          <w:tcPr>
            <w:tcW w:type="dxa" w:w="6192"/>
          </w:tcPr>
          <w:p>
            <w:r>
              <w:rPr>
                <w:sz w:val="18"/>
              </w:rPr>
              <w:t>Will not accept or silently round it; names the nearest permitted value instead.</w:t>
            </w:r>
          </w:p>
        </w:tc>
      </w:tr>
      <w:tr>
        <w:tc>
          <w:tcPr>
            <w:tcW w:type="dxa" w:w="3168"/>
          </w:tcPr>
          <w:p>
            <w:r>
              <w:rPr>
                <w:sz w:val="18"/>
              </w:rPr>
              <w:t>Distress or vulnerability</w:t>
            </w:r>
          </w:p>
        </w:tc>
        <w:tc>
          <w:tcPr>
            <w:tcW w:type="dxa" w:w="6192"/>
          </w:tcPr>
          <w:p>
            <w:r>
              <w:rPr>
                <w:sz w:val="18"/>
              </w:rPr>
              <w:t>Drops the money entirely and hands to a person.</w:t>
            </w:r>
          </w:p>
        </w:tc>
      </w:tr>
    </w:tbl>
    <w:p/>
    <w:p>
      <w:pPr>
        <w:pStyle w:val="Heading1"/>
      </w:pPr>
      <w:r>
        <w:t>11. What it cannot handle</w:t>
      </w:r>
    </w:p>
    <w:p>
      <w:pPr>
        <w:spacing w:after="120"/>
      </w:pPr>
      <w:r>
        <w:rPr>
          <w:b w:val="0"/>
          <w:i w:val="0"/>
          <w:sz w:val="21"/>
        </w:rPr>
        <w:t>Stated plainly, because the limits matter more than the capabilities when deciding where to deploy this.</w:t>
      </w:r>
    </w:p>
    <w:tbl>
      <w:tblPr>
        <w:tblStyle w:val="LightGrid-Accent1"/>
        <w:tblW w:type="auto" w:w="0"/>
        <w:tblLook w:firstColumn="1" w:firstRow="1" w:lastColumn="0" w:lastRow="0" w:noHBand="0" w:noVBand="1" w:val="04A0"/>
      </w:tblPr>
      <w:tblGrid>
        <w:gridCol w:w="4320"/>
        <w:gridCol w:w="4320"/>
      </w:tblGrid>
      <w:tr>
        <w:tc>
          <w:tcPr>
            <w:tcW w:type="dxa" w:w="2880"/>
          </w:tcPr>
          <w:p>
            <w:r/>
            <w:r>
              <w:rPr>
                <w:b/>
                <w:sz w:val="18"/>
              </w:rPr>
              <w:t>Limitation</w:t>
            </w:r>
          </w:p>
        </w:tc>
        <w:tc>
          <w:tcPr>
            <w:tcW w:type="dxa" w:w="6480"/>
          </w:tcPr>
          <w:p>
            <w:r/>
            <w:r>
              <w:rPr>
                <w:b/>
                <w:sz w:val="18"/>
              </w:rPr>
              <w:t>Detail</w:t>
            </w:r>
          </w:p>
        </w:tc>
      </w:tr>
      <w:tr>
        <w:tc>
          <w:tcPr>
            <w:tcW w:type="dxa" w:w="2880"/>
          </w:tcPr>
          <w:p>
            <w:r>
              <w:rPr>
                <w:sz w:val="18"/>
              </w:rPr>
              <w:t>Rules can be argued out of it</w:t>
            </w:r>
          </w:p>
        </w:tc>
        <w:tc>
          <w:tcPr>
            <w:tcW w:type="dxa" w:w="6480"/>
          </w:tcPr>
          <w:p>
            <w:r>
              <w:rPr>
                <w:sz w:val="18"/>
              </w:rPr>
              <w:t>Concession, compliance and escalation rules are instructions, not code. Sustained or unusual pressure on an untested path may break them. This is the single largest gap between demonstrator and production.</w:t>
            </w:r>
          </w:p>
        </w:tc>
      </w:tr>
      <w:tr>
        <w:tc>
          <w:tcPr>
            <w:tcW w:type="dxa" w:w="2880"/>
          </w:tcPr>
          <w:p>
            <w:r>
              <w:rPr>
                <w:sz w:val="18"/>
              </w:rPr>
              <w:t>No memory between calls</w:t>
            </w:r>
          </w:p>
        </w:tc>
        <w:tc>
          <w:tcPr>
            <w:tcW w:type="dxa" w:w="6480"/>
          </w:tcPr>
          <w:p>
            <w:r>
              <w:rPr>
                <w:sz w:val="18"/>
              </w:rPr>
              <w:t>Conversations are held in memory only. A restart loses them. There is no audit log, and no recollection of a previous call with the same customer.</w:t>
            </w:r>
          </w:p>
        </w:tc>
      </w:tr>
      <w:tr>
        <w:tc>
          <w:tcPr>
            <w:tcW w:type="dxa" w:w="2880"/>
          </w:tcPr>
          <w:p>
            <w:r>
              <w:rPr>
                <w:sz w:val="18"/>
              </w:rPr>
              <w:t>Nothing is written back</w:t>
            </w:r>
          </w:p>
        </w:tc>
        <w:tc>
          <w:tcPr>
            <w:tcW w:type="dxa" w:w="6480"/>
          </w:tcPr>
          <w:p>
            <w:r>
              <w:rPr>
                <w:sz w:val="18"/>
              </w:rPr>
              <w:t>It cannot create a payment plan, log a promise to pay, update a case, or take a payment. Any agreement reached is currently an output to be actioned by a person or a downstream system.</w:t>
            </w:r>
          </w:p>
        </w:tc>
      </w:tr>
      <w:tr>
        <w:tc>
          <w:tcPr>
            <w:tcW w:type="dxa" w:w="2880"/>
          </w:tcPr>
          <w:p>
            <w:r>
              <w:rPr>
                <w:sz w:val="18"/>
              </w:rPr>
              <w:t>No identity proofing</w:t>
            </w:r>
          </w:p>
        </w:tc>
        <w:tc>
          <w:tcPr>
            <w:tcW w:type="dxa" w:w="6480"/>
          </w:tcPr>
          <w:p>
            <w:r>
              <w:rPr>
                <w:sz w:val="18"/>
              </w:rPr>
              <w:t>It asks whether it is speaking to the right person and believes the answer. Real authentication is not implemented.</w:t>
            </w:r>
          </w:p>
        </w:tc>
      </w:tr>
      <w:tr>
        <w:tc>
          <w:tcPr>
            <w:tcW w:type="dxa" w:w="2880"/>
          </w:tcPr>
          <w:p>
            <w:r>
              <w:rPr>
                <w:sz w:val="18"/>
              </w:rPr>
              <w:t>Single language, single jurisdiction</w:t>
            </w:r>
          </w:p>
        </w:tc>
        <w:tc>
          <w:tcPr>
            <w:tcW w:type="dxa" w:w="6480"/>
          </w:tcPr>
          <w:p>
            <w:r>
              <w:rPr>
                <w:sz w:val="18"/>
              </w:rPr>
              <w:t>English only, with one set of conduct rules. Multi-jurisdiction compliance requires the retrieval layer described in Section 9.</w:t>
            </w:r>
          </w:p>
        </w:tc>
      </w:tr>
      <w:tr>
        <w:tc>
          <w:tcPr>
            <w:tcW w:type="dxa" w:w="2880"/>
          </w:tcPr>
          <w:p>
            <w:r>
              <w:rPr>
                <w:sz w:val="18"/>
              </w:rPr>
              <w:t>No voice channel</w:t>
            </w:r>
          </w:p>
        </w:tc>
        <w:tc>
          <w:tcPr>
            <w:tcW w:type="dxa" w:w="6480"/>
          </w:tcPr>
          <w:p>
            <w:r>
              <w:rPr>
                <w:sz w:val="18"/>
              </w:rPr>
              <w:t>Text only. The design is channel-agnostic so a voice adapter remains possible, but nothing here targets audio.</w:t>
            </w:r>
          </w:p>
        </w:tc>
      </w:tr>
      <w:tr>
        <w:tc>
          <w:tcPr>
            <w:tcW w:type="dxa" w:w="2880"/>
          </w:tcPr>
          <w:p>
            <w:r>
              <w:rPr>
                <w:sz w:val="18"/>
              </w:rPr>
              <w:t>Not deterministic</w:t>
            </w:r>
          </w:p>
        </w:tc>
        <w:tc>
          <w:tcPr>
            <w:tcW w:type="dxa" w:w="6480"/>
          </w:tcPr>
          <w:p>
            <w:r>
              <w:rPr>
                <w:sz w:val="18"/>
              </w:rPr>
              <w:t>The same conversation produces different wording each run. Strategy selection, the numbers and the concession behaviour are stable; exact phrasing is not.</w:t>
            </w:r>
          </w:p>
        </w:tc>
      </w:tr>
      <w:tr>
        <w:tc>
          <w:tcPr>
            <w:tcW w:type="dxa" w:w="2880"/>
          </w:tcPr>
          <w:p>
            <w:r>
              <w:rPr>
                <w:sz w:val="18"/>
              </w:rPr>
              <w:t>Personas are not grounded in real transcripts</w:t>
            </w:r>
          </w:p>
        </w:tc>
        <w:tc>
          <w:tcPr>
            <w:tcW w:type="dxa" w:w="6480"/>
          </w:tcPr>
          <w:p>
            <w:r>
              <w:rPr>
                <w:sz w:val="18"/>
              </w:rPr>
              <w:t>Behavioural modelling derives from published research and synthetic personas, not from this client's actual call recordings. Access to real transcripts under a data agreement would be the single highest-value improvement available.</w:t>
            </w:r>
          </w:p>
        </w:tc>
      </w:tr>
      <w:tr>
        <w:tc>
          <w:tcPr>
            <w:tcW w:type="dxa" w:w="2880"/>
          </w:tcPr>
          <w:p>
            <w:r>
              <w:rPr>
                <w:sz w:val="18"/>
              </w:rPr>
              <w:t>Not independently validated yet</w:t>
            </w:r>
          </w:p>
        </w:tc>
        <w:tc>
          <w:tcPr>
            <w:tcW w:type="dxa" w:w="6480"/>
          </w:tcPr>
          <w:p>
            <w:r>
              <w:rPr>
                <w:sz w:val="18"/>
              </w:rPr>
              <w:t>Behaviour described here is from a focused set of test conversations, not a statistically significant evaluation. See Section 12.</w:t>
            </w:r>
          </w:p>
        </w:tc>
      </w:tr>
    </w:tbl>
    <w:p/>
    <w:p>
      <w:pPr>
        <w:pStyle w:val="Heading1"/>
      </w:pPr>
      <w:r>
        <w:t>12. How performance would be measured</w:t>
      </w:r>
    </w:p>
    <w:p>
      <w:pPr>
        <w:spacing w:after="120"/>
      </w:pPr>
      <w:r>
        <w:rPr>
          <w:b w:val="0"/>
          <w:i w:val="0"/>
          <w:sz w:val="21"/>
        </w:rPr>
        <w:t>Demonstrations show what an agent can do; they do not show what it does on average, and a negotiator that performs well on three conversations may collapse on the fourth. The main codebase includes an evaluation harness built for this purpose: a simulated debtor population across the four behavioural archetypes, run to completion in volume, scored on nine measures.</w:t>
      </w:r>
    </w:p>
    <w:tbl>
      <w:tblPr>
        <w:tblStyle w:val="LightGrid-Accent1"/>
        <w:tblW w:type="auto" w:w="0"/>
        <w:tblLook w:firstColumn="1" w:firstRow="1" w:lastColumn="0" w:lastRow="0" w:noHBand="0" w:noVBand="1" w:val="04A0"/>
      </w:tblPr>
      <w:tblGrid>
        <w:gridCol w:w="4320"/>
        <w:gridCol w:w="4320"/>
      </w:tblGrid>
      <w:tr>
        <w:tc>
          <w:tcPr>
            <w:tcW w:type="dxa" w:w="2448"/>
          </w:tcPr>
          <w:p>
            <w:r/>
            <w:r>
              <w:rPr>
                <w:b/>
                <w:sz w:val="18"/>
              </w:rPr>
              <w:t>Group</w:t>
            </w:r>
          </w:p>
        </w:tc>
        <w:tc>
          <w:tcPr>
            <w:tcW w:type="dxa" w:w="6912"/>
          </w:tcPr>
          <w:p>
            <w:r/>
            <w:r>
              <w:rPr>
                <w:b/>
                <w:sz w:val="18"/>
              </w:rPr>
              <w:t>Measures</w:t>
            </w:r>
          </w:p>
        </w:tc>
      </w:tr>
      <w:tr>
        <w:tc>
          <w:tcPr>
            <w:tcW w:type="dxa" w:w="2448"/>
          </w:tcPr>
          <w:p>
            <w:r>
              <w:rPr>
                <w:sz w:val="18"/>
              </w:rPr>
              <w:t>Negotiation ability</w:t>
            </w:r>
          </w:p>
        </w:tc>
        <w:tc>
          <w:tcPr>
            <w:tcW w:type="dxa" w:w="6912"/>
          </w:tcPr>
          <w:p>
            <w:r>
              <w:rPr>
                <w:sz w:val="18"/>
              </w:rPr>
              <w:t>Settlement rate; average turns to resolution; collection rate (recovery net of discounts across all conversations, not only successful ones); collection efficiency, which rewards money arriving sooner.</w:t>
            </w:r>
          </w:p>
        </w:tc>
      </w:tr>
      <w:tr>
        <w:tc>
          <w:tcPr>
            <w:tcW w:type="dxa" w:w="2448"/>
          </w:tcPr>
          <w:p>
            <w:r>
              <w:rPr>
                <w:sz w:val="18"/>
              </w:rPr>
              <w:t>Agreement rationality</w:t>
            </w:r>
          </w:p>
        </w:tc>
        <w:tc>
          <w:tcPr>
            <w:tcW w:type="dxa" w:w="6912"/>
          </w:tcPr>
          <w:p>
            <w:r>
              <w:rPr>
                <w:sz w:val="18"/>
              </w:rPr>
              <w:t>Short-term affordability — can this customer actually make the upfront payment from known assets and income; and long-term sustainability — can they service the instalments. A settlement the customer cannot honour is a failure recorded as a success.</w:t>
            </w:r>
          </w:p>
        </w:tc>
      </w:tr>
      <w:tr>
        <w:tc>
          <w:tcPr>
            <w:tcW w:type="dxa" w:w="2448"/>
          </w:tcPr>
          <w:p>
            <w:r>
              <w:rPr>
                <w:sz w:val="18"/>
              </w:rPr>
              <w:t>Interaction experience</w:t>
            </w:r>
          </w:p>
        </w:tc>
        <w:tc>
          <w:tcPr>
            <w:tcW w:type="dxa" w:w="6912"/>
          </w:tcPr>
          <w:p>
            <w:r>
              <w:rPr>
                <w:sz w:val="18"/>
              </w:rPr>
              <w:t>Three scores rated 1–10 by an independent model acting as judge, conditioned on the full transcript and the customer's circumstances.</w:t>
            </w:r>
          </w:p>
        </w:tc>
      </w:tr>
    </w:tbl>
    <w:p/>
    <w:p>
      <w:pPr>
        <w:spacing w:after="120"/>
      </w:pPr>
      <w:r>
        <w:rPr>
          <w:b w:val="0"/>
          <w:i w:val="0"/>
          <w:sz w:val="21"/>
        </w:rPr>
        <w:t>Two harness requirements are worth stating, because they are where benchmarks usually mislead. Results are always reported sliced by behavioural archetype rather than aggregated — an average hides collapse on the confrontational segment, which is both the largest group and the hardest. And the persona test set is fixed and version-controlled, because metrics measured across a changing population mean nothing.</w:t>
      </w:r>
    </w:p>
    <w:p>
      <w:pPr>
        <w:pStyle w:val="Heading1"/>
      </w:pPr>
      <w:r>
        <w:t>13. Summary</w:t>
      </w:r>
    </w:p>
    <w:p>
      <w:pPr>
        <w:pStyle w:val="ListBullet"/>
        <w:spacing w:after="60"/>
      </w:pPr>
      <w:r>
        <w:rPr>
          <w:sz w:val="21"/>
        </w:rPr>
        <w:t>The negotiator holds two objectives at once — recovery and fair treatment — because optimising either alone produces an agent that fails commercially or fails the customer.</w:t>
      </w:r>
    </w:p>
    <w:p>
      <w:pPr>
        <w:pStyle w:val="ListBullet"/>
        <w:spacing w:after="60"/>
      </w:pPr>
      <w:r>
        <w:rPr>
          <w:sz w:val="21"/>
        </w:rPr>
        <w:t>Concessions are bought with specific, checkable information. Pressure, repetition and hostility earn nothing. This was demonstrated live under a 50% discount ultimatum.</w:t>
      </w:r>
    </w:p>
    <w:p>
      <w:pPr>
        <w:pStyle w:val="ListBullet"/>
        <w:spacing w:after="60"/>
      </w:pPr>
      <w:r>
        <w:rPr>
          <w:sz w:val="21"/>
        </w:rPr>
        <w:t>Every possible settlement is one of a finite set of pre-approved deals. The model cannot invent a term the business has not authorised.</w:t>
      </w:r>
    </w:p>
    <w:p>
      <w:pPr>
        <w:pStyle w:val="ListBullet"/>
        <w:spacing w:after="60"/>
      </w:pPr>
      <w:r>
        <w:rPr>
          <w:sz w:val="21"/>
        </w:rPr>
        <w:t>Every turn declares its strategy and records its private reasoning, so any reply can be explained after the fact.</w:t>
      </w:r>
    </w:p>
    <w:p>
      <w:pPr>
        <w:pStyle w:val="ListBullet"/>
        <w:spacing w:after="60"/>
      </w:pPr>
      <w:r>
        <w:rPr>
          <w:sz w:val="21"/>
        </w:rPr>
        <w:t>It knows when to stop. Seven conditions end the negotiation and hand to a human, with no parting offer.</w:t>
      </w:r>
    </w:p>
    <w:p>
      <w:pPr>
        <w:pStyle w:val="ListBullet"/>
        <w:spacing w:after="60"/>
      </w:pPr>
      <w:r>
        <w:rPr>
          <w:sz w:val="21"/>
        </w:rPr>
        <w:t>Its rules currently live in instructions rather than in code, which is the honest limit of a demonstrator. The enforcement layer exists in the main codebase and is what a production deployment would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