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C5AD8"/>
          <w:sz w:val="52"/>
        </w:rPr>
        <w:t>RADONaix Assure+</w:t>
      </w:r>
    </w:p>
    <w:p>
      <w:r>
        <w:rPr>
          <w:color w:val="5B6677"/>
          <w:sz w:val="26"/>
        </w:rPr>
        <w:t>Demo script — three customers, three complete lifecycles</w:t>
      </w:r>
    </w:p>
    <w:p>
      <w:pPr>
        <w:spacing w:before="40" w:after="40"/>
        <w:pBdr>
          <w:bottom w:val="single" w:sz="6" w:color="D6DCE6"/>
        </w:pBdr>
      </w:pPr>
    </w:p>
    <w:p>
      <w:r>
        <w:rPr>
          <w:b w:val="0"/>
          <w:i w:val="0"/>
          <w:sz w:val="21"/>
        </w:rPr>
        <w:t>Everything in this document is live data. No screen is mocked, every figure reconciles across every screen, and the numbers below were read from the database when the document was generated.</w:t>
      </w:r>
    </w:p>
    <w:tbl>
      <w:tblPr>
        <w:tblStyle w:val="TableGrid"/>
        <w:tblW w:type="auto" w:w="0"/>
        <w:tblLook w:firstColumn="1" w:firstRow="1" w:lastColumn="0" w:lastRow="0" w:noHBand="0" w:noVBand="1" w:val="04A0"/>
      </w:tblPr>
      <w:tblGrid>
        <w:gridCol w:w="9792"/>
      </w:tblGrid>
      <w:tr>
        <w:tc>
          <w:tcPr>
            <w:tcW w:type="dxa" w:w="9792"/>
            <w:shd w:val="clear" w:fill="EEF6FF"/>
          </w:tcPr>
          <w:p>
            <w:r/>
            <w:r>
              <w:rPr>
                <w:b/>
                <w:color w:val="2C5AD8"/>
                <w:sz w:val="20"/>
              </w:rPr>
              <w:t>Before you present</w:t>
            </w:r>
          </w:p>
          <w:p>
            <w:r>
              <w:rPr>
                <w:sz w:val="19"/>
              </w:rPr>
              <w:t>Run scripts/verify_consistency.py from Assure+_MS. It should end with “Everything agrees.” If it does not, the line it prints names the screen that would show a wrong number.</w:t>
            </w:r>
          </w:p>
        </w:tc>
      </w:tr>
    </w:tbl>
    <w:p>
      <w:pPr>
        <w:spacing w:after="40"/>
      </w:pPr>
    </w:p>
    <w:p>
      <w:pPr>
        <w:pStyle w:val="Heading1"/>
        <w:spacing w:before="360" w:after="80"/>
      </w:pPr>
      <w:r>
        <w:rPr>
          <w:rFonts w:ascii="Calibri" w:hAnsi="Calibri"/>
          <w:color w:val="2C5AD8"/>
        </w:rPr>
        <w:t>The three customers</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432"/>
            <w:shd w:val="clear" w:fill="EEF2F9"/>
          </w:tcPr>
          <w:p>
            <w:r/>
            <w:r>
              <w:rPr>
                <w:b/>
                <w:color w:val="1B2233"/>
                <w:sz w:val="18"/>
              </w:rPr>
            </w:r>
          </w:p>
        </w:tc>
        <w:tc>
          <w:tcPr>
            <w:tcW w:type="dxa" w:w="2160"/>
            <w:shd w:val="clear" w:fill="EEF2F9"/>
          </w:tcPr>
          <w:p>
            <w:r/>
            <w:r>
              <w:rPr>
                <w:b/>
                <w:color w:val="1B2233"/>
                <w:sz w:val="18"/>
              </w:rPr>
              <w:t>Who</w:t>
            </w:r>
          </w:p>
        </w:tc>
        <w:tc>
          <w:tcPr>
            <w:tcW w:type="dxa" w:w="1152"/>
            <w:shd w:val="clear" w:fill="EEF2F9"/>
          </w:tcPr>
          <w:p>
            <w:r/>
            <w:r>
              <w:rPr>
                <w:b/>
                <w:color w:val="1B2233"/>
                <w:sz w:val="18"/>
              </w:rPr>
              <w:t>Type</w:t>
            </w:r>
          </w:p>
        </w:tc>
        <w:tc>
          <w:tcPr>
            <w:tcW w:type="dxa" w:w="720"/>
            <w:shd w:val="clear" w:fill="EEF2F9"/>
          </w:tcPr>
          <w:p>
            <w:r/>
            <w:r>
              <w:rPr>
                <w:b/>
                <w:color w:val="1B2233"/>
                <w:sz w:val="18"/>
              </w:rPr>
              <w:t>Risk</w:t>
            </w:r>
          </w:p>
        </w:tc>
        <w:tc>
          <w:tcPr>
            <w:tcW w:type="dxa" w:w="1728"/>
            <w:shd w:val="clear" w:fill="EEF2F9"/>
          </w:tcPr>
          <w:p>
            <w:pPr>
              <w:jc w:val="right"/>
            </w:pPr>
            <w:r/>
            <w:r>
              <w:rPr>
                <w:b/>
                <w:color w:val="1B2233"/>
                <w:sz w:val="18"/>
              </w:rPr>
              <w:t>Owes</w:t>
            </w:r>
          </w:p>
        </w:tc>
        <w:tc>
          <w:tcPr>
            <w:tcW w:type="dxa" w:w="3744"/>
            <w:shd w:val="clear" w:fill="EEF2F9"/>
          </w:tcPr>
          <w:p>
            <w:r/>
            <w:r>
              <w:rPr>
                <w:b/>
                <w:color w:val="1B2233"/>
                <w:sz w:val="18"/>
              </w:rPr>
              <w:t>The story</w:t>
            </w:r>
          </w:p>
        </w:tc>
      </w:tr>
      <w:tr>
        <w:tc>
          <w:tcPr>
            <w:tcW w:type="dxa" w:w="432"/>
          </w:tcPr>
          <w:p>
            <w:r/>
            <w:r>
              <w:rPr>
                <w:sz w:val="19"/>
              </w:rPr>
              <w:t>A</w:t>
            </w:r>
          </w:p>
        </w:tc>
        <w:tc>
          <w:tcPr>
            <w:tcW w:type="dxa" w:w="2160"/>
          </w:tcPr>
          <w:p>
            <w:r/>
            <w:r>
              <w:rPr>
                <w:sz w:val="19"/>
              </w:rPr>
              <w:t>Priya Raghavan</w:t>
            </w:r>
          </w:p>
        </w:tc>
        <w:tc>
          <w:tcPr>
            <w:tcW w:type="dxa" w:w="1152"/>
          </w:tcPr>
          <w:p>
            <w:r/>
            <w:r>
              <w:rPr>
                <w:sz w:val="19"/>
              </w:rPr>
              <w:t>Consumer</w:t>
            </w:r>
          </w:p>
        </w:tc>
        <w:tc>
          <w:tcPr>
            <w:tcW w:type="dxa" w:w="720"/>
          </w:tcPr>
          <w:p>
            <w:r/>
            <w:r>
              <w:rPr>
                <w:sz w:val="19"/>
              </w:rPr>
              <w:t>High</w:t>
            </w:r>
          </w:p>
        </w:tc>
        <w:tc>
          <w:tcPr>
            <w:tcW w:type="dxa" w:w="1728"/>
          </w:tcPr>
          <w:p>
            <w:pPr>
              <w:jc w:val="right"/>
            </w:pPr>
            <w:r/>
            <w:r>
              <w:rPr>
                <w:sz w:val="19"/>
              </w:rPr>
              <w:t>$2,465.00</w:t>
            </w:r>
          </w:p>
        </w:tc>
        <w:tc>
          <w:tcPr>
            <w:tcW w:type="dxa" w:w="3744"/>
          </w:tcPr>
          <w:p>
            <w:r/>
            <w:r>
              <w:rPr>
                <w:sz w:val="19"/>
              </w:rPr>
              <w:t>Full escalation — dunning, broken promises, chatbot, agent, legal, agency</w:t>
            </w:r>
          </w:p>
        </w:tc>
      </w:tr>
      <w:tr>
        <w:tc>
          <w:tcPr>
            <w:tcW w:type="dxa" w:w="432"/>
          </w:tcPr>
          <w:p>
            <w:r/>
            <w:r>
              <w:rPr>
                <w:sz w:val="19"/>
              </w:rPr>
              <w:t>B</w:t>
            </w:r>
          </w:p>
        </w:tc>
        <w:tc>
          <w:tcPr>
            <w:tcW w:type="dxa" w:w="2160"/>
          </w:tcPr>
          <w:p>
            <w:r/>
            <w:r>
              <w:rPr>
                <w:sz w:val="19"/>
              </w:rPr>
              <w:t>Daniel Okafor</w:t>
            </w:r>
          </w:p>
        </w:tc>
        <w:tc>
          <w:tcPr>
            <w:tcW w:type="dxa" w:w="1152"/>
          </w:tcPr>
          <w:p>
            <w:r/>
            <w:r>
              <w:rPr>
                <w:sz w:val="19"/>
              </w:rPr>
              <w:t>Consumer</w:t>
            </w:r>
          </w:p>
        </w:tc>
        <w:tc>
          <w:tcPr>
            <w:tcW w:type="dxa" w:w="720"/>
          </w:tcPr>
          <w:p>
            <w:r/>
            <w:r>
              <w:rPr>
                <w:sz w:val="19"/>
              </w:rPr>
              <w:t>Low</w:t>
            </w:r>
          </w:p>
        </w:tc>
        <w:tc>
          <w:tcPr>
            <w:tcW w:type="dxa" w:w="1728"/>
          </w:tcPr>
          <w:p>
            <w:pPr>
              <w:jc w:val="right"/>
            </w:pPr>
            <w:r/>
            <w:r>
              <w:rPr>
                <w:sz w:val="19"/>
              </w:rPr>
              <w:t>$0.00</w:t>
            </w:r>
          </w:p>
        </w:tc>
        <w:tc>
          <w:tcPr>
            <w:tcW w:type="dxa" w:w="3744"/>
          </w:tcPr>
          <w:p>
            <w:r/>
            <w:r>
              <w:rPr>
                <w:sz w:val="19"/>
              </w:rPr>
              <w:t>Clean recovery — one reminder, bot self-serve, promise kept, closed</w:t>
            </w:r>
          </w:p>
        </w:tc>
      </w:tr>
      <w:tr>
        <w:tc>
          <w:tcPr>
            <w:tcW w:type="dxa" w:w="432"/>
          </w:tcPr>
          <w:p>
            <w:r/>
            <w:r>
              <w:rPr>
                <w:sz w:val="19"/>
              </w:rPr>
              <w:t>C</w:t>
            </w:r>
          </w:p>
        </w:tc>
        <w:tc>
          <w:tcPr>
            <w:tcW w:type="dxa" w:w="2160"/>
          </w:tcPr>
          <w:p>
            <w:r/>
            <w:r>
              <w:rPr>
                <w:sz w:val="19"/>
              </w:rPr>
              <w:t>Meridian Freight Logistics LLC</w:t>
            </w:r>
          </w:p>
        </w:tc>
        <w:tc>
          <w:tcPr>
            <w:tcW w:type="dxa" w:w="1152"/>
          </w:tcPr>
          <w:p>
            <w:r/>
            <w:r>
              <w:rPr>
                <w:sz w:val="19"/>
              </w:rPr>
              <w:t>Enterprise</w:t>
            </w:r>
          </w:p>
        </w:tc>
        <w:tc>
          <w:tcPr>
            <w:tcW w:type="dxa" w:w="720"/>
          </w:tcPr>
          <w:p>
            <w:r/>
            <w:r>
              <w:rPr>
                <w:sz w:val="19"/>
              </w:rPr>
              <w:t>High</w:t>
            </w:r>
          </w:p>
        </w:tc>
        <w:tc>
          <w:tcPr>
            <w:tcW w:type="dxa" w:w="1728"/>
          </w:tcPr>
          <w:p>
            <w:pPr>
              <w:jc w:val="right"/>
            </w:pPr>
            <w:r/>
            <w:r>
              <w:rPr>
                <w:sz w:val="19"/>
              </w:rPr>
              <w:t>$14,820.00</w:t>
            </w:r>
          </w:p>
        </w:tc>
        <w:tc>
          <w:tcPr>
            <w:tcW w:type="dxa" w:w="3744"/>
          </w:tcPr>
          <w:p>
            <w:r/>
            <w:r>
              <w:rPr>
                <w:sz w:val="19"/>
              </w:rPr>
              <w:t>Disputed account — dispute part-upheld, payment plan broken, legal</w:t>
            </w:r>
          </w:p>
        </w:tc>
      </w:tr>
    </w:tbl>
    <w:p>
      <w:pPr>
        <w:spacing w:after="40"/>
      </w:pPr>
    </w:p>
    <w:p>
      <w:r>
        <w:rPr>
          <w:b/>
          <w:i w:val="0"/>
          <w:sz w:val="20"/>
        </w:rPr>
        <w:t>Every account's ledger ties exactly: billed − paid = outstanding.</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584"/>
            <w:shd w:val="clear" w:fill="EEF2F9"/>
          </w:tcPr>
          <w:p>
            <w:r/>
            <w:r>
              <w:rPr>
                <w:b/>
                <w:color w:val="1B2233"/>
                <w:sz w:val="18"/>
              </w:rPr>
              <w:t>Account</w:t>
            </w:r>
          </w:p>
        </w:tc>
        <w:tc>
          <w:tcPr>
            <w:tcW w:type="dxa" w:w="2736"/>
            <w:shd w:val="clear" w:fill="EEF2F9"/>
          </w:tcPr>
          <w:p>
            <w:r/>
            <w:r>
              <w:rPr>
                <w:b/>
                <w:color w:val="1B2233"/>
                <w:sz w:val="18"/>
              </w:rPr>
              <w:t>Customer</w:t>
            </w:r>
          </w:p>
        </w:tc>
        <w:tc>
          <w:tcPr>
            <w:tcW w:type="dxa" w:w="1872"/>
            <w:shd w:val="clear" w:fill="EEF2F9"/>
          </w:tcPr>
          <w:p>
            <w:pPr>
              <w:jc w:val="right"/>
            </w:pPr>
            <w:r/>
            <w:r>
              <w:rPr>
                <w:b/>
                <w:color w:val="1B2233"/>
                <w:sz w:val="18"/>
              </w:rPr>
              <w:t>Billed</w:t>
            </w:r>
          </w:p>
        </w:tc>
        <w:tc>
          <w:tcPr>
            <w:tcW w:type="dxa" w:w="1872"/>
            <w:shd w:val="clear" w:fill="EEF2F9"/>
          </w:tcPr>
          <w:p>
            <w:pPr>
              <w:jc w:val="right"/>
            </w:pPr>
            <w:r/>
            <w:r>
              <w:rPr>
                <w:b/>
                <w:color w:val="1B2233"/>
                <w:sz w:val="18"/>
              </w:rPr>
              <w:t>Paid</w:t>
            </w:r>
          </w:p>
        </w:tc>
        <w:tc>
          <w:tcPr>
            <w:tcW w:type="dxa" w:w="2016"/>
            <w:shd w:val="clear" w:fill="EEF2F9"/>
          </w:tcPr>
          <w:p>
            <w:pPr>
              <w:jc w:val="right"/>
            </w:pPr>
            <w:r/>
            <w:r>
              <w:rPr>
                <w:b/>
                <w:color w:val="1B2233"/>
                <w:sz w:val="18"/>
              </w:rPr>
              <w:t>Outstanding</w:t>
            </w:r>
          </w:p>
        </w:tc>
      </w:tr>
      <w:tr>
        <w:tc>
          <w:tcPr>
            <w:tcW w:type="dxa" w:w="1584"/>
          </w:tcPr>
          <w:p>
            <w:r/>
            <w:r>
              <w:rPr>
                <w:sz w:val="19"/>
              </w:rPr>
              <w:t>ACC-10066</w:t>
            </w:r>
          </w:p>
        </w:tc>
        <w:tc>
          <w:tcPr>
            <w:tcW w:type="dxa" w:w="2736"/>
          </w:tcPr>
          <w:p>
            <w:r/>
            <w:r>
              <w:rPr>
                <w:sz w:val="19"/>
              </w:rPr>
              <w:t>Priya Raghavan</w:t>
            </w:r>
          </w:p>
        </w:tc>
        <w:tc>
          <w:tcPr>
            <w:tcW w:type="dxa" w:w="1872"/>
          </w:tcPr>
          <w:p>
            <w:pPr>
              <w:jc w:val="right"/>
            </w:pPr>
            <w:r/>
            <w:r>
              <w:rPr>
                <w:sz w:val="19"/>
              </w:rPr>
              <w:t>$3,215.00</w:t>
            </w:r>
          </w:p>
        </w:tc>
        <w:tc>
          <w:tcPr>
            <w:tcW w:type="dxa" w:w="1872"/>
          </w:tcPr>
          <w:p>
            <w:pPr>
              <w:jc w:val="right"/>
            </w:pPr>
            <w:r/>
            <w:r>
              <w:rPr>
                <w:sz w:val="19"/>
              </w:rPr>
              <w:t>$750.00</w:t>
            </w:r>
          </w:p>
        </w:tc>
        <w:tc>
          <w:tcPr>
            <w:tcW w:type="dxa" w:w="2016"/>
          </w:tcPr>
          <w:p>
            <w:pPr>
              <w:jc w:val="right"/>
            </w:pPr>
            <w:r/>
            <w:r>
              <w:rPr>
                <w:sz w:val="19"/>
              </w:rPr>
              <w:t>$2,465.00</w:t>
            </w:r>
          </w:p>
        </w:tc>
      </w:tr>
      <w:tr>
        <w:tc>
          <w:tcPr>
            <w:tcW w:type="dxa" w:w="1584"/>
          </w:tcPr>
          <w:p>
            <w:r/>
            <w:r>
              <w:rPr>
                <w:sz w:val="19"/>
              </w:rPr>
              <w:t>ACC-10067</w:t>
            </w:r>
          </w:p>
        </w:tc>
        <w:tc>
          <w:tcPr>
            <w:tcW w:type="dxa" w:w="2736"/>
          </w:tcPr>
          <w:p>
            <w:r/>
            <w:r>
              <w:rPr>
                <w:sz w:val="19"/>
              </w:rPr>
              <w:t>Daniel Okafor</w:t>
            </w:r>
          </w:p>
        </w:tc>
        <w:tc>
          <w:tcPr>
            <w:tcW w:type="dxa" w:w="1872"/>
          </w:tcPr>
          <w:p>
            <w:pPr>
              <w:jc w:val="right"/>
            </w:pPr>
            <w:r/>
            <w:r>
              <w:rPr>
                <w:sz w:val="19"/>
              </w:rPr>
              <w:t>$326.00</w:t>
            </w:r>
          </w:p>
        </w:tc>
        <w:tc>
          <w:tcPr>
            <w:tcW w:type="dxa" w:w="1872"/>
          </w:tcPr>
          <w:p>
            <w:pPr>
              <w:jc w:val="right"/>
            </w:pPr>
            <w:r/>
            <w:r>
              <w:rPr>
                <w:sz w:val="19"/>
              </w:rPr>
              <w:t>$326.00</w:t>
            </w:r>
          </w:p>
        </w:tc>
        <w:tc>
          <w:tcPr>
            <w:tcW w:type="dxa" w:w="2016"/>
          </w:tcPr>
          <w:p>
            <w:pPr>
              <w:jc w:val="right"/>
            </w:pPr>
            <w:r/>
            <w:r>
              <w:rPr>
                <w:sz w:val="19"/>
              </w:rPr>
              <w:t>$0.00</w:t>
            </w:r>
          </w:p>
        </w:tc>
      </w:tr>
      <w:tr>
        <w:tc>
          <w:tcPr>
            <w:tcW w:type="dxa" w:w="1584"/>
          </w:tcPr>
          <w:p>
            <w:r/>
            <w:r>
              <w:rPr>
                <w:sz w:val="19"/>
              </w:rPr>
              <w:t>ACC-20007</w:t>
            </w:r>
          </w:p>
        </w:tc>
        <w:tc>
          <w:tcPr>
            <w:tcW w:type="dxa" w:w="2736"/>
          </w:tcPr>
          <w:p>
            <w:r/>
            <w:r>
              <w:rPr>
                <w:sz w:val="19"/>
              </w:rPr>
              <w:t>Meridian Freight Logistics LLC</w:t>
            </w:r>
          </w:p>
        </w:tc>
        <w:tc>
          <w:tcPr>
            <w:tcW w:type="dxa" w:w="1872"/>
          </w:tcPr>
          <w:p>
            <w:pPr>
              <w:jc w:val="right"/>
            </w:pPr>
            <w:r/>
            <w:r>
              <w:rPr>
                <w:sz w:val="19"/>
              </w:rPr>
              <w:t>$19,070.00</w:t>
            </w:r>
          </w:p>
        </w:tc>
        <w:tc>
          <w:tcPr>
            <w:tcW w:type="dxa" w:w="1872"/>
          </w:tcPr>
          <w:p>
            <w:pPr>
              <w:jc w:val="right"/>
            </w:pPr>
            <w:r/>
            <w:r>
              <w:rPr>
                <w:sz w:val="19"/>
              </w:rPr>
              <w:t>$4,250.00</w:t>
            </w:r>
          </w:p>
        </w:tc>
        <w:tc>
          <w:tcPr>
            <w:tcW w:type="dxa" w:w="2016"/>
          </w:tcPr>
          <w:p>
            <w:pPr>
              <w:jc w:val="right"/>
            </w:pPr>
            <w:r/>
            <w:r>
              <w:rPr>
                <w:sz w:val="19"/>
              </w:rPr>
              <w:t>$14,820.00</w:t>
            </w:r>
          </w:p>
        </w:tc>
      </w:tr>
    </w:tbl>
    <w:p>
      <w:pPr>
        <w:spacing w:after="40"/>
      </w:pPr>
    </w:p>
    <w:p>
      <w:r>
        <w:rPr>
          <w:b w:val="0"/>
          <w:i/>
          <w:color w:val="5B6677"/>
          <w:sz w:val="19"/>
        </w:rPr>
        <w:t>Meridian was billed $21,020; $1,950 was credited when the dispute was partly upheld, which is why its invoice line reads $19,070.</w:t>
      </w:r>
    </w:p>
    <w:p>
      <w:r>
        <w:br w:type="page"/>
      </w:r>
    </w:p>
    <w:p>
      <w:pPr>
        <w:pStyle w:val="Heading1"/>
        <w:spacing w:before="360" w:after="80"/>
      </w:pPr>
      <w:r>
        <w:rPr>
          <w:rFonts w:ascii="Calibri" w:hAnsi="Calibri"/>
          <w:color w:val="2C5AD8"/>
        </w:rPr>
        <w:t>Journey A — Priya Raghavan: the full escalation</w:t>
      </w:r>
    </w:p>
    <w:p>
      <w:pPr>
        <w:spacing w:before="120" w:after="200"/>
        <w:ind w:left="403"/>
      </w:pPr>
      <w:r>
        <w:rPr>
          <w:i/>
          <w:color w:val="2C5AD8"/>
          <w:sz w:val="21"/>
        </w:rPr>
        <w:t>“This is what happens when someone stops paying and keeps not paying. Watch the account move itself through the operation.”</w:t>
      </w:r>
    </w:p>
    <w:p>
      <w:pPr>
        <w:spacing w:before="240" w:after="40"/>
      </w:pPr>
      <w:r>
        <w:rPr>
          <w:b/>
          <w:color w:val="1B2233"/>
          <w:sz w:val="23"/>
        </w:rPr>
        <w:t>1.  She falls behind</w:t>
      </w:r>
    </w:p>
    <w:p>
      <w:pPr>
        <w:spacing w:after="120"/>
      </w:pPr>
      <w:r>
        <w:rPr>
          <w:color w:val="5B6677"/>
          <w:sz w:val="18"/>
        </w:rPr>
        <w:t>Portfolio Management → Customer 360</w:t>
      </w:r>
    </w:p>
    <w:p>
      <w:pPr>
        <w:pStyle w:val="ListBullet"/>
        <w:spacing w:after="60"/>
      </w:pPr>
      <w:r>
        <w:rPr>
          <w:b/>
        </w:rPr>
        <w:t xml:space="preserve">Balance: </w:t>
      </w:r>
      <w:r>
        <w:t>$3,215.00 billed across three cycles, $750.00 received</w:t>
      </w:r>
    </w:p>
    <w:p>
      <w:pPr>
        <w:pStyle w:val="ListBullet"/>
        <w:spacing w:after="60"/>
      </w:pPr>
      <w:r>
        <w:rPr>
          <w:b/>
        </w:rPr>
        <w:t xml:space="preserve">Age: </w:t>
      </w:r>
      <w:r>
        <w:t>96 days past due, in the 90+ bucket, risk High</w:t>
      </w:r>
    </w:p>
    <w:p>
      <w:pPr>
        <w:pStyle w:val="ListBullet"/>
        <w:spacing w:after="60"/>
      </w:pPr>
      <w:r>
        <w:rPr>
          <w:b/>
        </w:rPr>
        <w:t xml:space="preserve">Owner: </w:t>
      </w:r>
      <w:r>
        <w:t>Robert Kim, running Standard Dunning</w:t>
      </w:r>
    </w:p>
    <w:p>
      <w:pPr>
        <w:spacing w:before="120" w:after="200"/>
        <w:ind w:left="403"/>
      </w:pPr>
      <w:r>
        <w:rPr>
          <w:i/>
          <w:color w:val="2C5AD8"/>
          <w:sz w:val="21"/>
        </w:rPr>
        <w:t>“The account is 96 days down. Nobody typed that — it comes from the invoices and the payments underneath it.”</w:t>
      </w:r>
    </w:p>
    <w:p>
      <w:pPr>
        <w:spacing w:before="240" w:after="40"/>
      </w:pPr>
      <w:r>
        <w:rPr>
          <w:b/>
          <w:color w:val="1B2233"/>
          <w:sz w:val="23"/>
        </w:rPr>
        <w:t>2.  Dunning runs on its own</w:t>
      </w:r>
    </w:p>
    <w:p>
      <w:pPr>
        <w:spacing w:after="120"/>
      </w:pPr>
      <w:r>
        <w:rPr>
          <w:color w:val="5B6677"/>
          <w:sz w:val="18"/>
        </w:rPr>
        <w:t>Strategy Management → Strategy Performance</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864"/>
            <w:shd w:val="clear" w:fill="EEF2F9"/>
          </w:tcPr>
          <w:p>
            <w:r/>
            <w:r>
              <w:rPr>
                <w:b/>
                <w:color w:val="1B2233"/>
                <w:sz w:val="18"/>
              </w:rPr>
              <w:t>Day</w:t>
            </w:r>
          </w:p>
        </w:tc>
        <w:tc>
          <w:tcPr>
            <w:tcW w:type="dxa" w:w="3312"/>
            <w:shd w:val="clear" w:fill="EEF2F9"/>
          </w:tcPr>
          <w:p>
            <w:r/>
            <w:r>
              <w:rPr>
                <w:b/>
                <w:color w:val="1B2233"/>
                <w:sz w:val="18"/>
              </w:rPr>
              <w:t>Step</w:t>
            </w:r>
          </w:p>
        </w:tc>
        <w:tc>
          <w:tcPr>
            <w:tcW w:type="dxa" w:w="1440"/>
            <w:shd w:val="clear" w:fill="EEF2F9"/>
          </w:tcPr>
          <w:p>
            <w:r/>
            <w:r>
              <w:rPr>
                <w:b/>
                <w:color w:val="1B2233"/>
                <w:sz w:val="18"/>
              </w:rPr>
              <w:t>Channel</w:t>
            </w:r>
          </w:p>
        </w:tc>
        <w:tc>
          <w:tcPr>
            <w:tcW w:type="dxa" w:w="1872"/>
            <w:shd w:val="clear" w:fill="EEF2F9"/>
          </w:tcPr>
          <w:p>
            <w:r/>
            <w:r>
              <w:rPr>
                <w:b/>
                <w:color w:val="1B2233"/>
                <w:sz w:val="18"/>
              </w:rPr>
              <w:t>Outcome</w:t>
            </w:r>
          </w:p>
        </w:tc>
        <w:tc>
          <w:tcPr>
            <w:tcW w:type="dxa" w:w="1152"/>
            <w:shd w:val="clear" w:fill="EEF2F9"/>
          </w:tcPr>
          <w:p>
            <w:pPr>
              <w:jc w:val="right"/>
            </w:pPr>
            <w:r/>
            <w:r>
              <w:rPr>
                <w:b/>
                <w:color w:val="1B2233"/>
                <w:sz w:val="18"/>
              </w:rPr>
              <w:t>Cost</w:t>
            </w:r>
          </w:p>
        </w:tc>
      </w:tr>
      <w:tr>
        <w:tc>
          <w:tcPr>
            <w:tcW w:type="dxa" w:w="864"/>
          </w:tcPr>
          <w:p>
            <w:r/>
            <w:r>
              <w:rPr>
                <w:sz w:val="19"/>
              </w:rPr>
              <w:t>−95</w:t>
            </w:r>
          </w:p>
        </w:tc>
        <w:tc>
          <w:tcPr>
            <w:tcW w:type="dxa" w:w="3312"/>
          </w:tcPr>
          <w:p>
            <w:r/>
            <w:r>
              <w:rPr>
                <w:sz w:val="19"/>
              </w:rPr>
              <w:t>SMS + Email combo</w:t>
            </w:r>
          </w:p>
        </w:tc>
        <w:tc>
          <w:tcPr>
            <w:tcW w:type="dxa" w:w="1440"/>
          </w:tcPr>
          <w:p>
            <w:r/>
            <w:r>
              <w:rPr>
                <w:sz w:val="19"/>
              </w:rPr>
              <w:t>Email</w:t>
            </w:r>
          </w:p>
        </w:tc>
        <w:tc>
          <w:tcPr>
            <w:tcW w:type="dxa" w:w="1872"/>
          </w:tcPr>
          <w:p>
            <w:r/>
            <w:r>
              <w:rPr>
                <w:sz w:val="19"/>
              </w:rPr>
              <w:t>OPENED</w:t>
            </w:r>
          </w:p>
        </w:tc>
        <w:tc>
          <w:tcPr>
            <w:tcW w:type="dxa" w:w="1152"/>
          </w:tcPr>
          <w:p>
            <w:pPr>
              <w:jc w:val="right"/>
            </w:pPr>
            <w:r/>
            <w:r>
              <w:rPr>
                <w:sz w:val="19"/>
              </w:rPr>
              <w:t>0.002</w:t>
            </w:r>
          </w:p>
        </w:tc>
      </w:tr>
      <w:tr>
        <w:tc>
          <w:tcPr>
            <w:tcW w:type="dxa" w:w="864"/>
          </w:tcPr>
          <w:p>
            <w:r/>
            <w:r>
              <w:rPr>
                <w:sz w:val="19"/>
              </w:rPr>
              <w:t>−95</w:t>
            </w:r>
          </w:p>
        </w:tc>
        <w:tc>
          <w:tcPr>
            <w:tcW w:type="dxa" w:w="3312"/>
          </w:tcPr>
          <w:p>
            <w:r/>
            <w:r>
              <w:rPr>
                <w:sz w:val="19"/>
              </w:rPr>
              <w:t>SMS + Email combo</w:t>
            </w:r>
          </w:p>
        </w:tc>
        <w:tc>
          <w:tcPr>
            <w:tcW w:type="dxa" w:w="1440"/>
          </w:tcPr>
          <w:p>
            <w:r/>
            <w:r>
              <w:rPr>
                <w:sz w:val="19"/>
              </w:rPr>
              <w:t>SMS</w:t>
            </w:r>
          </w:p>
        </w:tc>
        <w:tc>
          <w:tcPr>
            <w:tcW w:type="dxa" w:w="1872"/>
          </w:tcPr>
          <w:p>
            <w:r/>
            <w:r>
              <w:rPr>
                <w:sz w:val="19"/>
              </w:rPr>
              <w:t>DELIVERED</w:t>
            </w:r>
          </w:p>
        </w:tc>
        <w:tc>
          <w:tcPr>
            <w:tcW w:type="dxa" w:w="1152"/>
          </w:tcPr>
          <w:p>
            <w:pPr>
              <w:jc w:val="right"/>
            </w:pPr>
            <w:r/>
            <w:r>
              <w:rPr>
                <w:sz w:val="19"/>
              </w:rPr>
              <w:t>0.015</w:t>
            </w:r>
          </w:p>
        </w:tc>
      </w:tr>
      <w:tr>
        <w:tc>
          <w:tcPr>
            <w:tcW w:type="dxa" w:w="864"/>
          </w:tcPr>
          <w:p>
            <w:r/>
            <w:r>
              <w:rPr>
                <w:sz w:val="19"/>
              </w:rPr>
              <w:t>−88</w:t>
            </w:r>
          </w:p>
        </w:tc>
        <w:tc>
          <w:tcPr>
            <w:tcW w:type="dxa" w:w="3312"/>
          </w:tcPr>
          <w:p>
            <w:r/>
            <w:r>
              <w:rPr>
                <w:sz w:val="19"/>
              </w:rPr>
              <w:t>AI Dialer attempt</w:t>
            </w:r>
          </w:p>
        </w:tc>
        <w:tc>
          <w:tcPr>
            <w:tcW w:type="dxa" w:w="1440"/>
          </w:tcPr>
          <w:p>
            <w:r/>
            <w:r>
              <w:rPr>
                <w:sz w:val="19"/>
              </w:rPr>
              <w:t>Dialer</w:t>
            </w:r>
          </w:p>
        </w:tc>
        <w:tc>
          <w:tcPr>
            <w:tcW w:type="dxa" w:w="1872"/>
          </w:tcPr>
          <w:p>
            <w:r/>
            <w:r>
              <w:rPr>
                <w:sz w:val="19"/>
              </w:rPr>
              <w:t>NO_ANSWER</w:t>
            </w:r>
          </w:p>
        </w:tc>
        <w:tc>
          <w:tcPr>
            <w:tcW w:type="dxa" w:w="1152"/>
          </w:tcPr>
          <w:p>
            <w:pPr>
              <w:jc w:val="right"/>
            </w:pPr>
            <w:r/>
            <w:r>
              <w:rPr>
                <w:sz w:val="19"/>
              </w:rPr>
              <w:t>0.450</w:t>
            </w:r>
          </w:p>
        </w:tc>
      </w:tr>
      <w:tr>
        <w:tc>
          <w:tcPr>
            <w:tcW w:type="dxa" w:w="864"/>
          </w:tcPr>
          <w:p>
            <w:r/>
            <w:r>
              <w:rPr>
                <w:sz w:val="19"/>
              </w:rPr>
              <w:t>−80</w:t>
            </w:r>
          </w:p>
        </w:tc>
        <w:tc>
          <w:tcPr>
            <w:tcW w:type="dxa" w:w="3312"/>
          </w:tcPr>
          <w:p>
            <w:r/>
            <w:r>
              <w:rPr>
                <w:sz w:val="19"/>
              </w:rPr>
              <w:t>AI Voicebot negotiation</w:t>
            </w:r>
          </w:p>
        </w:tc>
        <w:tc>
          <w:tcPr>
            <w:tcW w:type="dxa" w:w="1440"/>
          </w:tcPr>
          <w:p>
            <w:r/>
            <w:r>
              <w:rPr>
                <w:sz w:val="19"/>
              </w:rPr>
              <w:t>WhatsApp</w:t>
            </w:r>
          </w:p>
        </w:tc>
        <w:tc>
          <w:tcPr>
            <w:tcW w:type="dxa" w:w="1872"/>
          </w:tcPr>
          <w:p>
            <w:r/>
            <w:r>
              <w:rPr>
                <w:sz w:val="19"/>
              </w:rPr>
              <w:t>CONTACTED</w:t>
            </w:r>
          </w:p>
        </w:tc>
        <w:tc>
          <w:tcPr>
            <w:tcW w:type="dxa" w:w="1152"/>
          </w:tcPr>
          <w:p>
            <w:pPr>
              <w:jc w:val="right"/>
            </w:pPr>
            <w:r/>
            <w:r>
              <w:rPr>
                <w:sz w:val="19"/>
              </w:rPr>
              <w:t>0.035</w:t>
            </w:r>
          </w:p>
        </w:tc>
      </w:tr>
    </w:tbl>
    <w:p>
      <w:pPr>
        <w:spacing w:after="40"/>
      </w:pPr>
    </w:p>
    <w:p>
      <w:pPr>
        <w:spacing w:before="120" w:after="200"/>
        <w:ind w:left="403"/>
      </w:pPr>
      <w:r>
        <w:rPr>
          <w:i/>
          <w:color w:val="2C5AD8"/>
          <w:sz w:val="21"/>
        </w:rPr>
        <w:t>“Four touches for half a dirham. The dialer costs thirty times an SMS, which is exactly the trade-off this screen exists to show you.”</w:t>
      </w:r>
    </w:p>
    <w:p>
      <w:pPr>
        <w:spacing w:before="240" w:after="40"/>
      </w:pPr>
      <w:r>
        <w:rPr>
          <w:b/>
          <w:color w:val="1B2233"/>
          <w:sz w:val="23"/>
        </w:rPr>
        <w:t>3.  A promise is taken — and broken</w:t>
      </w:r>
    </w:p>
    <w:p>
      <w:pPr>
        <w:spacing w:after="120"/>
      </w:pPr>
      <w:r>
        <w:rPr>
          <w:color w:val="5B6677"/>
          <w:sz w:val="18"/>
        </w:rPr>
        <w:t>Collections Workspace</w:t>
      </w:r>
    </w:p>
    <w:p>
      <w:pPr>
        <w:pStyle w:val="ListBullet"/>
        <w:spacing w:after="60"/>
      </w:pPr>
      <w:r>
        <w:rPr>
          <w:b/>
        </w:rPr>
        <w:t xml:space="preserve">PTP-R001253: </w:t>
      </w:r>
      <w:r>
        <w:t>$900.00 agreed over WhatsApp — status BROKEN</w:t>
      </w:r>
    </w:p>
    <w:p>
      <w:pPr>
        <w:spacing w:before="240" w:after="40"/>
      </w:pPr>
      <w:r>
        <w:rPr>
          <w:b/>
          <w:color w:val="1B2233"/>
          <w:sz w:val="23"/>
        </w:rPr>
        <w:t>4.  The broken promise raises a case</w:t>
      </w:r>
    </w:p>
    <w:p>
      <w:pPr>
        <w:spacing w:after="120"/>
      </w:pPr>
      <w:r>
        <w:rPr>
          <w:color w:val="5B6677"/>
          <w:sz w:val="18"/>
        </w:rPr>
        <w:t>Collections Workspace → CASE-000150</w:t>
      </w:r>
    </w:p>
    <w:p>
      <w:pPr>
        <w:pStyle w:val="ListBullet"/>
        <w:spacing w:after="60"/>
      </w:pPr>
      <w:r>
        <w:rPr>
          <w:b/>
        </w:rPr>
        <w:t xml:space="preserve">Raised automatically: </w:t>
      </w:r>
      <w:r>
        <w:t>source BROKEN_PTP, queue LEGAL, owner Robert Kim</w:t>
      </w:r>
    </w:p>
    <w:p>
      <w:pPr>
        <w:pStyle w:val="ListBullet"/>
        <w:spacing w:after="60"/>
      </w:pPr>
      <w:r>
        <w:rPr>
          <w:b/>
        </w:rPr>
        <w:t xml:space="preserve">Every case carries a reason: </w:t>
      </w:r>
      <w:r>
        <w:t>a description is written on the case, so whoever picks it up knows why it exists</w:t>
      </w:r>
    </w:p>
    <w:p>
      <w:pPr>
        <w:spacing w:before="120" w:after="200"/>
        <w:ind w:left="403"/>
      </w:pPr>
      <w:r>
        <w:rPr>
          <w:i/>
          <w:color w:val="2C5AD8"/>
          <w:sz w:val="21"/>
        </w:rPr>
        <w:t>“The case wasn't created by a person. The broken promise created it.”</w:t>
      </w:r>
    </w:p>
    <w:p>
      <w:pPr>
        <w:spacing w:before="240" w:after="40"/>
      </w:pPr>
      <w:r>
        <w:rPr>
          <w:b/>
          <w:color w:val="1B2233"/>
          <w:sz w:val="23"/>
        </w:rPr>
        <w:t>5.  The chatbot talks to her first</w:t>
      </w:r>
    </w:p>
    <w:p>
      <w:pPr>
        <w:spacing w:after="120"/>
      </w:pPr>
      <w:r>
        <w:rPr>
          <w:color w:val="5B6677"/>
          <w:sz w:val="18"/>
        </w:rPr>
        <w:t>Operations Management → AI Engagement Center → Live Chat</w:t>
      </w:r>
    </w:p>
    <w:p>
      <w:pPr>
        <w:spacing w:after="60"/>
        <w:ind w:left="403"/>
      </w:pPr>
      <w:r>
        <w:rPr>
          <w:b/>
          <w:color w:val="2C5AD8"/>
          <w:sz w:val="19"/>
        </w:rPr>
        <w:t xml:space="preserve">Bot:  </w:t>
      </w:r>
      <w:r>
        <w:rPr>
          <w:sz w:val="19"/>
        </w:rPr>
        <w:t>Hello Priya — your account is $2,465 past due. I can set up a payment plan right now if that would help.</w:t>
      </w:r>
    </w:p>
    <w:p>
      <w:pPr>
        <w:spacing w:after="60"/>
        <w:ind w:left="403"/>
      </w:pPr>
      <w:r>
        <w:rPr>
          <w:b/>
          <w:color w:val="1B2233"/>
          <w:sz w:val="19"/>
        </w:rPr>
        <w:t xml:space="preserve">Priya:  </w:t>
      </w:r>
      <w:r>
        <w:rPr>
          <w:sz w:val="19"/>
        </w:rPr>
        <w:t>I lost my job last month. I can't pay all of it.</w:t>
      </w:r>
    </w:p>
    <w:p>
      <w:pPr>
        <w:spacing w:after="60"/>
        <w:ind w:left="403"/>
      </w:pPr>
      <w:r>
        <w:rPr>
          <w:b/>
          <w:color w:val="2C5AD8"/>
          <w:sz w:val="19"/>
        </w:rPr>
        <w:t xml:space="preserve">Bot:  </w:t>
      </w:r>
      <w:r>
        <w:rPr>
          <w:sz w:val="19"/>
        </w:rPr>
        <w:t>Thank you for telling me. We can split this over three months, starting with $400. Shall I arrange that?</w:t>
      </w:r>
    </w:p>
    <w:p>
      <w:pPr>
        <w:spacing w:after="60"/>
        <w:ind w:left="403"/>
      </w:pPr>
      <w:r>
        <w:rPr>
          <w:b/>
          <w:color w:val="1B2233"/>
          <w:sz w:val="19"/>
        </w:rPr>
        <w:t xml:space="preserve">Priya:  </w:t>
      </w:r>
      <w:r>
        <w:rPr>
          <w:sz w:val="19"/>
        </w:rPr>
        <w:t>I want to talk to someone about it.</w:t>
      </w:r>
    </w:p>
    <w:p>
      <w:pPr>
        <w:spacing w:before="120" w:after="200"/>
        <w:ind w:left="403"/>
      </w:pPr>
      <w:r>
        <w:rPr>
          <w:i/>
          <w:color w:val="2C5AD8"/>
          <w:sz w:val="21"/>
        </w:rPr>
        <w:t>“The assistant did the first three turns. The moment she asked for a person it stopped negotiating and handed over — that's a guardrail, not a fallback.”</w:t>
      </w:r>
    </w:p>
    <w:tbl>
      <w:tblPr>
        <w:tblStyle w:val="TableGrid"/>
        <w:tblW w:type="auto" w:w="0"/>
        <w:tblLook w:firstColumn="1" w:firstRow="1" w:lastColumn="0" w:lastRow="0" w:noHBand="0" w:noVBand="1" w:val="04A0"/>
      </w:tblPr>
      <w:tblGrid>
        <w:gridCol w:w="9792"/>
      </w:tblGrid>
      <w:tr>
        <w:tc>
          <w:tcPr>
            <w:tcW w:type="dxa" w:w="9792"/>
            <w:shd w:val="clear" w:fill="FFF7EC"/>
          </w:tcPr>
          <w:p>
            <w:r/>
            <w:r>
              <w:rPr>
                <w:b/>
                <w:color w:val="B45409"/>
                <w:sz w:val="20"/>
              </w:rPr>
              <w:t>Do this one live</w:t>
            </w:r>
          </w:p>
          <w:p>
            <w:r>
              <w:rPr>
                <w:sz w:val="19"/>
              </w:rPr>
              <w:t>There is one conversation waiting in the queue right now: Priya has come back today about a letter from a law firm. Click Accept — the full bot transcript is already there, and you can reply into the same conversation. This is the moment to show rather than describe.</w:t>
            </w:r>
          </w:p>
        </w:tc>
      </w:tr>
    </w:tbl>
    <w:p>
      <w:pPr>
        <w:spacing w:after="40"/>
      </w:pPr>
    </w:p>
    <w:p>
      <w:pPr>
        <w:spacing w:before="240" w:after="40"/>
      </w:pPr>
      <w:r>
        <w:rPr>
          <w:b/>
          <w:color w:val="1B2233"/>
          <w:sz w:val="23"/>
        </w:rPr>
        <w:t>6.  The agent works it</w:t>
      </w:r>
    </w:p>
    <w:p>
      <w:pPr>
        <w:spacing w:after="120"/>
      </w:pPr>
      <w:r>
        <w:rPr>
          <w:color w:val="5B6677"/>
          <w:sz w:val="18"/>
        </w:rPr>
        <w:t>CASE-000150 → Timeline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fill="EEF2F9"/>
          </w:tcPr>
          <w:p>
            <w:r/>
            <w:r>
              <w:rPr>
                <w:b/>
                <w:color w:val="1B2233"/>
                <w:sz w:val="18"/>
              </w:rPr>
              <w:t>Day</w:t>
            </w:r>
          </w:p>
        </w:tc>
        <w:tc>
          <w:tcPr>
            <w:tcW w:type="dxa" w:w="4032"/>
            <w:shd w:val="clear" w:fill="EEF2F9"/>
          </w:tcPr>
          <w:p>
            <w:r/>
            <w:r>
              <w:rPr>
                <w:b/>
                <w:color w:val="1B2233"/>
                <w:sz w:val="18"/>
              </w:rPr>
              <w:t>What</w:t>
            </w:r>
          </w:p>
        </w:tc>
        <w:tc>
          <w:tcPr>
            <w:tcW w:type="dxa" w:w="1296"/>
            <w:shd w:val="clear" w:fill="EEF2F9"/>
          </w:tcPr>
          <w:p>
            <w:r/>
            <w:r>
              <w:rPr>
                <w:b/>
                <w:color w:val="1B2233"/>
                <w:sz w:val="18"/>
              </w:rPr>
              <w:t>Channel</w:t>
            </w:r>
          </w:p>
        </w:tc>
        <w:tc>
          <w:tcPr>
            <w:tcW w:type="dxa" w:w="2304"/>
            <w:shd w:val="clear" w:fill="EEF2F9"/>
          </w:tcPr>
          <w:p>
            <w:r/>
            <w:r>
              <w:rPr>
                <w:b/>
                <w:color w:val="1B2233"/>
                <w:sz w:val="18"/>
              </w:rPr>
              <w:t>Outcome</w:t>
            </w:r>
          </w:p>
        </w:tc>
      </w:tr>
      <w:tr>
        <w:tc>
          <w:tcPr>
            <w:tcW w:type="dxa" w:w="864"/>
          </w:tcPr>
          <w:p>
            <w:r/>
            <w:r>
              <w:rPr>
                <w:sz w:val="19"/>
              </w:rPr>
              <w:t>−54</w:t>
            </w:r>
          </w:p>
        </w:tc>
        <w:tc>
          <w:tcPr>
            <w:tcW w:type="dxa" w:w="4032"/>
          </w:tcPr>
          <w:p>
            <w:r/>
            <w:r>
              <w:rPr>
                <w:sz w:val="19"/>
              </w:rPr>
              <w:t>Agent call after chatbot handover</w:t>
            </w:r>
          </w:p>
        </w:tc>
        <w:tc>
          <w:tcPr>
            <w:tcW w:type="dxa" w:w="1296"/>
          </w:tcPr>
          <w:p>
            <w:r/>
            <w:r>
              <w:rPr>
                <w:sz w:val="19"/>
              </w:rPr>
              <w:t>Dialer</w:t>
            </w:r>
          </w:p>
        </w:tc>
        <w:tc>
          <w:tcPr>
            <w:tcW w:type="dxa" w:w="2304"/>
          </w:tcPr>
          <w:p>
            <w:r/>
            <w:r>
              <w:rPr>
                <w:sz w:val="19"/>
              </w:rPr>
              <w:t>PROMISE_MADE</w:t>
            </w:r>
          </w:p>
        </w:tc>
      </w:tr>
      <w:tr>
        <w:tc>
          <w:tcPr>
            <w:tcW w:type="dxa" w:w="864"/>
          </w:tcPr>
          <w:p>
            <w:r/>
            <w:r>
              <w:rPr>
                <w:sz w:val="19"/>
              </w:rPr>
              <w:t>−53</w:t>
            </w:r>
          </w:p>
        </w:tc>
        <w:tc>
          <w:tcPr>
            <w:tcW w:type="dxa" w:w="4032"/>
          </w:tcPr>
          <w:p>
            <w:r/>
            <w:r>
              <w:rPr>
                <w:sz w:val="19"/>
              </w:rPr>
              <w:t>Confirming the arrangement</w:t>
            </w:r>
          </w:p>
        </w:tc>
        <w:tc>
          <w:tcPr>
            <w:tcW w:type="dxa" w:w="1296"/>
          </w:tcPr>
          <w:p>
            <w:r/>
            <w:r>
              <w:rPr>
                <w:sz w:val="19"/>
              </w:rPr>
              <w:t>SMS</w:t>
            </w:r>
          </w:p>
        </w:tc>
        <w:tc>
          <w:tcPr>
            <w:tcW w:type="dxa" w:w="2304"/>
          </w:tcPr>
          <w:p>
            <w:r/>
            <w:r>
              <w:rPr>
                <w:sz w:val="19"/>
              </w:rPr>
              <w:t>Delivered</w:t>
            </w:r>
          </w:p>
        </w:tc>
      </w:tr>
      <w:tr>
        <w:tc>
          <w:tcPr>
            <w:tcW w:type="dxa" w:w="864"/>
          </w:tcPr>
          <w:p>
            <w:r/>
            <w:r>
              <w:rPr>
                <w:sz w:val="19"/>
              </w:rPr>
              <w:t>−39</w:t>
            </w:r>
          </w:p>
        </w:tc>
        <w:tc>
          <w:tcPr>
            <w:tcW w:type="dxa" w:w="4032"/>
          </w:tcPr>
          <w:p>
            <w:r/>
            <w:r>
              <w:rPr>
                <w:sz w:val="19"/>
              </w:rPr>
              <w:t>Second instalment missed</w:t>
            </w:r>
          </w:p>
        </w:tc>
        <w:tc>
          <w:tcPr>
            <w:tcW w:type="dxa" w:w="1296"/>
          </w:tcPr>
          <w:p>
            <w:r/>
            <w:r>
              <w:rPr>
                <w:sz w:val="19"/>
              </w:rPr>
              <w:t>WhatsApp</w:t>
            </w:r>
          </w:p>
        </w:tc>
        <w:tc>
          <w:tcPr>
            <w:tcW w:type="dxa" w:w="2304"/>
          </w:tcPr>
          <w:p>
            <w:r/>
            <w:r>
              <w:rPr>
                <w:sz w:val="19"/>
              </w:rPr>
              <w:t>NO_ANSWER</w:t>
            </w:r>
          </w:p>
        </w:tc>
      </w:tr>
      <w:tr>
        <w:tc>
          <w:tcPr>
            <w:tcW w:type="dxa" w:w="864"/>
          </w:tcPr>
          <w:p>
            <w:r/>
            <w:r>
              <w:rPr>
                <w:sz w:val="19"/>
              </w:rPr>
              <w:t>−35</w:t>
            </w:r>
          </w:p>
        </w:tc>
        <w:tc>
          <w:tcPr>
            <w:tcW w:type="dxa" w:w="4032"/>
          </w:tcPr>
          <w:p>
            <w:r/>
            <w:r>
              <w:rPr>
                <w:sz w:val="19"/>
              </w:rPr>
              <w:t>Case re-typed: Broken PTP → Legal Follow-up</w:t>
            </w:r>
          </w:p>
        </w:tc>
        <w:tc>
          <w:tcPr>
            <w:tcW w:type="dxa" w:w="1296"/>
          </w:tcPr>
          <w:p>
            <w:r/>
            <w:r>
              <w:rPr>
                <w:sz w:val="19"/>
              </w:rPr>
              <w:t>Dialer</w:t>
            </w:r>
          </w:p>
        </w:tc>
        <w:tc>
          <w:tcPr>
            <w:tcW w:type="dxa" w:w="2304"/>
          </w:tcPr>
          <w:p>
            <w:r/>
            <w:r>
              <w:rPr>
                <w:sz w:val="19"/>
              </w:rPr>
              <w:t>RESOLVED</w:t>
            </w:r>
          </w:p>
        </w:tc>
      </w:tr>
      <w:tr>
        <w:tc>
          <w:tcPr>
            <w:tcW w:type="dxa" w:w="864"/>
          </w:tcPr>
          <w:p>
            <w:r/>
            <w:r>
              <w:rPr>
                <w:sz w:val="19"/>
              </w:rPr>
              <w:t>−0</w:t>
            </w:r>
          </w:p>
        </w:tc>
        <w:tc>
          <w:tcPr>
            <w:tcW w:type="dxa" w:w="4032"/>
          </w:tcPr>
          <w:p>
            <w:r/>
            <w:r>
              <w:rPr>
                <w:sz w:val="19"/>
              </w:rPr>
              <w:t>Reminder sent with a payment link</w:t>
            </w:r>
          </w:p>
        </w:tc>
        <w:tc>
          <w:tcPr>
            <w:tcW w:type="dxa" w:w="1296"/>
          </w:tcPr>
          <w:p>
            <w:r/>
            <w:r>
              <w:rPr>
                <w:sz w:val="19"/>
              </w:rPr>
              <w:t>WhatsApp</w:t>
            </w:r>
          </w:p>
        </w:tc>
        <w:tc>
          <w:tcPr>
            <w:tcW w:type="dxa" w:w="2304"/>
          </w:tcPr>
          <w:p>
            <w:r/>
            <w:r>
              <w:rPr>
                <w:sz w:val="19"/>
              </w:rPr>
              <w:t>Delivered</w:t>
            </w:r>
          </w:p>
        </w:tc>
      </w:tr>
    </w:tbl>
    <w:p>
      <w:pPr>
        <w:spacing w:after="40"/>
      </w:pPr>
    </w:p>
    <w:p>
      <w:pPr>
        <w:pStyle w:val="ListBullet"/>
        <w:spacing w:after="60"/>
      </w:pPr>
      <w:r>
        <w:rPr>
          <w:b/>
        </w:rPr>
        <w:t xml:space="preserve">PTP-R001254: </w:t>
      </w:r>
      <w:r>
        <w:t>$1,200.00 in two parts — $400.00 arrived, the rest did not. Status BROKEN.</w:t>
      </w:r>
    </w:p>
    <w:p>
      <w:pPr>
        <w:spacing w:before="240" w:after="40"/>
      </w:pPr>
      <w:r>
        <w:rPr>
          <w:b/>
          <w:color w:val="1B2233"/>
          <w:sz w:val="23"/>
        </w:rPr>
        <w:t>7.  The case changes type — it does not spawn a second one</w:t>
      </w:r>
    </w:p>
    <w:p>
      <w:pPr>
        <w:spacing w:after="120"/>
      </w:pPr>
      <w:r>
        <w:rPr>
          <w:color w:val="5B6677"/>
          <w:sz w:val="18"/>
        </w:rPr>
        <w:t>CASE-000150 → Audit</w:t>
      </w:r>
    </w:p>
    <w:p>
      <w:pPr>
        <w:spacing w:before="80" w:after="200"/>
        <w:ind w:left="288"/>
      </w:pPr>
      <w:r>
        <w:rPr>
          <w:rFonts w:ascii="Consolas" w:hAnsi="Consolas"/>
          <w:color w:val="242938"/>
          <w:sz w:val="18"/>
        </w:rPr>
        <w:t>TYPE_CHANGED  case_type  Broken PTP → Legal Followup</w:t>
        <w:br/>
        <w:t>Second arrangement broken; balance referred for legal follow-up.</w:t>
      </w:r>
    </w:p>
    <w:p>
      <w:pPr>
        <w:spacing w:before="120" w:after="200"/>
        <w:ind w:left="403"/>
      </w:pPr>
      <w:r>
        <w:rPr>
          <w:i/>
          <w:color w:val="2C5AD8"/>
          <w:sz w:val="21"/>
        </w:rPr>
        <w:t>“One account, one case. When the situation changes the case changes type — the queue moves and the SLA resets. You never end up with four cards for one customer.”</w:t>
      </w:r>
    </w:p>
    <w:p>
      <w:pPr>
        <w:spacing w:before="240" w:after="40"/>
      </w:pPr>
      <w:r>
        <w:rPr>
          <w:b/>
          <w:color w:val="1B2233"/>
          <w:sz w:val="23"/>
        </w:rPr>
        <w:t>8.  Out to an agency, then into legal</w:t>
      </w:r>
    </w:p>
    <w:p>
      <w:pPr>
        <w:spacing w:after="120"/>
      </w:pPr>
      <w:r>
        <w:rPr>
          <w:color w:val="5B6677"/>
          <w:sz w:val="18"/>
        </w:rPr>
        <w:t>Recovery Management → Recovery Workspace</w:t>
      </w:r>
    </w:p>
    <w:p>
      <w:pPr>
        <w:pStyle w:val="ListBullet"/>
        <w:spacing w:after="60"/>
      </w:pPr>
      <w:r>
        <w:rPr>
          <w:b/>
        </w:rPr>
        <w:t xml:space="preserve">PL-1092: </w:t>
      </w:r>
      <w:r>
        <w:t>$2,065.00 placed with Meridian Recovery Solutions, status ACTIVE, commission 12.5%</w:t>
      </w:r>
    </w:p>
    <w:p>
      <w:pPr>
        <w:pStyle w:val="ListBullet"/>
        <w:spacing w:after="60"/>
      </w:pPr>
      <w:r>
        <w:rPr>
          <w:b/>
        </w:rPr>
        <w:t xml:space="preserve">Agency has collected: </w:t>
      </w:r>
      <w:r>
        <w:t>$350.00 recovered — and there is a matching payment on the ledger, so Subscriber 360 shows the same figure</w:t>
      </w:r>
    </w:p>
    <w:p>
      <w:pPr>
        <w:pStyle w:val="ListBullet"/>
        <w:spacing w:after="60"/>
      </w:pPr>
      <w:r>
        <w:rPr>
          <w:b/>
        </w:rPr>
        <w:t xml:space="preserve">LC-2026012: </w:t>
      </w:r>
      <w:r>
        <w:t>$1,715.00 claimed, Al Tamimi &amp; Partners, stage Pre-Legal</w:t>
      </w:r>
    </w:p>
    <w:p>
      <w:pPr>
        <w:spacing w:before="120" w:after="200"/>
        <w:ind w:left="403"/>
      </w:pPr>
      <w:r>
        <w:rPr>
          <w:i/>
          <w:color w:val="2C5AD8"/>
          <w:sz w:val="21"/>
        </w:rPr>
        <w:t>“Recovery and Subscriber 360 can't disagree, because the agency recovery is a payment row — not a number typed onto a placement.”</w:t>
      </w:r>
    </w:p>
    <w:p>
      <w:r>
        <w:rPr>
          <w:b/>
          <w:i w:val="0"/>
          <w:sz w:val="21"/>
        </w:rPr>
        <w:t>Where she stands now: $2,465.00 owed, case open as Legal Followup, with an agency, a legal file open, and a customer waiting in the chat queue.</w:t>
      </w:r>
    </w:p>
    <w:p>
      <w:r>
        <w:br w:type="page"/>
      </w:r>
    </w:p>
    <w:p>
      <w:pPr>
        <w:pStyle w:val="Heading1"/>
        <w:spacing w:before="360" w:after="80"/>
      </w:pPr>
      <w:r>
        <w:rPr>
          <w:rFonts w:ascii="Calibri" w:hAnsi="Calibri"/>
          <w:color w:val="2C5AD8"/>
        </w:rPr>
        <w:t>Journey B — Daniel Okafor: the clean recovery</w:t>
      </w:r>
    </w:p>
    <w:p>
      <w:pPr>
        <w:spacing w:before="120" w:after="200"/>
        <w:ind w:left="403"/>
      </w:pPr>
      <w:r>
        <w:rPr>
          <w:i/>
          <w:color w:val="2C5AD8"/>
          <w:sz w:val="21"/>
        </w:rPr>
        <w:t>“Not everyone is a problem. Most people just forgot.”</w:t>
      </w:r>
    </w:p>
    <w:p>
      <w:pPr>
        <w:pStyle w:val="ListBullet"/>
        <w:spacing w:after="60"/>
      </w:pPr>
      <w:r>
        <w:rPr>
          <w:b/>
        </w:rPr>
        <w:t xml:space="preserve">One missed bill: </w:t>
      </w:r>
      <w:r>
        <w:t>$326.00, twelve days late, risk Low — strategy Soft Reminder</w:t>
      </w:r>
    </w:p>
    <w:p>
      <w:pPr>
        <w:pStyle w:val="ListBullet"/>
        <w:spacing w:after="60"/>
      </w:pPr>
      <w:r>
        <w:rPr>
          <w:b/>
        </w:rPr>
        <w:t xml:space="preserve">One SMS: </w:t>
      </w:r>
      <w:r>
        <w:t>sent automatically on day 1, costing 1.5 fils</w:t>
      </w:r>
    </w:p>
    <w:p>
      <w:r>
        <w:rPr>
          <w:b w:val="0"/>
          <w:i w:val="0"/>
          <w:sz w:val="20"/>
        </w:rPr>
        <w:t>He replies to the assistant:</w:t>
      </w:r>
    </w:p>
    <w:p>
      <w:pPr>
        <w:spacing w:after="60"/>
        <w:ind w:left="403"/>
      </w:pPr>
      <w:r>
        <w:rPr>
          <w:b/>
          <w:color w:val="1B2233"/>
          <w:sz w:val="19"/>
        </w:rPr>
        <w:t xml:space="preserve">Daniel:  </w:t>
      </w:r>
      <w:r>
        <w:rPr>
          <w:sz w:val="19"/>
        </w:rPr>
        <w:t>I got a text about a bill — I thought my card was on autopay.</w:t>
      </w:r>
    </w:p>
    <w:p>
      <w:pPr>
        <w:spacing w:after="60"/>
        <w:ind w:left="403"/>
      </w:pPr>
      <w:r>
        <w:rPr>
          <w:b/>
          <w:color w:val="2C5AD8"/>
          <w:sz w:val="19"/>
        </w:rPr>
        <w:t xml:space="preserve">Bot:  </w:t>
      </w:r>
      <w:r>
        <w:rPr>
          <w:sz w:val="19"/>
        </w:rPr>
        <w:t>Your autopay card expired on the 3rd, so the July bill of $326 was not taken. I can send you a payment link now.</w:t>
      </w:r>
    </w:p>
    <w:p>
      <w:pPr>
        <w:spacing w:after="60"/>
        <w:ind w:left="403"/>
      </w:pPr>
      <w:r>
        <w:rPr>
          <w:b/>
          <w:color w:val="1B2233"/>
          <w:sz w:val="19"/>
        </w:rPr>
        <w:t xml:space="preserve">Daniel:  </w:t>
      </w:r>
      <w:r>
        <w:rPr>
          <w:sz w:val="19"/>
        </w:rPr>
        <w:t>Yes please, send it. I'll pay this week.</w:t>
      </w:r>
    </w:p>
    <w:p>
      <w:pPr>
        <w:spacing w:after="60"/>
        <w:ind w:left="403"/>
      </w:pPr>
      <w:r>
        <w:rPr>
          <w:b/>
          <w:color w:val="2C5AD8"/>
          <w:sz w:val="19"/>
        </w:rPr>
        <w:t xml:space="preserve">Bot:  </w:t>
      </w:r>
      <w:r>
        <w:rPr>
          <w:sz w:val="19"/>
        </w:rPr>
        <w:t>Sent. I have noted a promise to pay $326 by Friday. Thank you.</w:t>
      </w:r>
    </w:p>
    <w:p>
      <w:pPr>
        <w:pStyle w:val="ListBullet"/>
        <w:spacing w:after="60"/>
      </w:pPr>
      <w:r>
        <w:rPr>
          <w:b/>
        </w:rPr>
        <w:t xml:space="preserve">PTP-R001255: </w:t>
      </w:r>
      <w:r>
        <w:t>$326.00 — status KEPT, paid in full five days later</w:t>
      </w:r>
    </w:p>
    <w:p>
      <w:pPr>
        <w:pStyle w:val="ListBullet"/>
        <w:spacing w:after="60"/>
      </w:pPr>
      <w:r>
        <w:rPr>
          <w:b/>
        </w:rPr>
        <w:t xml:space="preserve">CASE-000151: </w:t>
      </w:r>
      <w:r>
        <w:t>went Resolved → Closed, resolution “Paid in full”</w:t>
      </w:r>
    </w:p>
    <w:p>
      <w:pPr>
        <w:pStyle w:val="ListBullet"/>
        <w:spacing w:after="60"/>
      </w:pPr>
      <w:r>
        <w:rPr>
          <w:b/>
        </w:rPr>
        <w:t xml:space="preserve">Account now: </w:t>
      </w:r>
      <w:r>
        <w:t>$0.00, Current, 0 days past due</w:t>
      </w:r>
    </w:p>
    <w:p>
      <w:pPr>
        <w:spacing w:before="120" w:after="200"/>
        <w:ind w:left="403"/>
      </w:pPr>
      <w:r>
        <w:rPr>
          <w:i/>
          <w:color w:val="2C5AD8"/>
          <w:sz w:val="21"/>
        </w:rPr>
        <w:t>“Total cost of collecting this: one SMS. The assistant handled all of it, and the case closed itself when the money arrived.”</w:t>
      </w:r>
    </w:p>
    <w:p>
      <w:r>
        <w:br w:type="page"/>
      </w:r>
    </w:p>
    <w:p>
      <w:pPr>
        <w:pStyle w:val="Heading1"/>
        <w:spacing w:before="360" w:after="80"/>
      </w:pPr>
      <w:r>
        <w:rPr>
          <w:rFonts w:ascii="Calibri" w:hAnsi="Calibri"/>
          <w:color w:val="2C5AD8"/>
        </w:rPr>
        <w:t>Journey C — Meridian Freight Logistics LLC: the disputed enterprise</w:t>
      </w:r>
    </w:p>
    <w:p>
      <w:pPr>
        <w:spacing w:before="120" w:after="200"/>
        <w:ind w:left="403"/>
      </w:pPr>
      <w:r>
        <w:rPr>
          <w:i/>
          <w:color w:val="2C5AD8"/>
          <w:sz w:val="21"/>
        </w:rPr>
        <w:t>“Enterprise doesn't behave like consumer. They don't go quiet — they argue, and they're often partly right.”</w:t>
      </w:r>
    </w:p>
    <w:p>
      <w:pPr>
        <w:spacing w:before="240" w:after="40"/>
      </w:pPr>
      <w:r>
        <w:rPr>
          <w:b/>
          <w:color w:val="1B2233"/>
          <w:sz w:val="23"/>
        </w:rPr>
        <w:t>1.  Two quarters unpaid</w:t>
      </w:r>
    </w:p>
    <w:p>
      <w:pPr>
        <w:spacing w:after="120"/>
      </w:pPr>
      <w:r>
        <w:rPr>
          <w:color w:val="5B6677"/>
          <w:sz w:val="18"/>
        </w:rPr>
        <w:t>Customer 360</w:t>
      </w:r>
    </w:p>
    <w:p>
      <w:pPr>
        <w:pStyle w:val="ListBullet"/>
        <w:spacing w:after="60"/>
      </w:pPr>
      <w:r>
        <w:rPr>
          <w:b/>
        </w:rPr>
        <w:t xml:space="preserve">Position: </w:t>
      </w:r>
      <w:r>
        <w:t>$14,820.00 outstanding, 104 days past due, owner Lisa Davis, strategy Pre-Legal</w:t>
      </w:r>
    </w:p>
    <w:p>
      <w:pPr>
        <w:spacing w:before="240" w:after="40"/>
      </w:pPr>
      <w:r>
        <w:rPr>
          <w:b/>
          <w:color w:val="1B2233"/>
          <w:sz w:val="23"/>
        </w:rPr>
        <w:t>2.  Chased through the right channel</w:t>
      </w:r>
    </w:p>
    <w:p>
      <w:pPr>
        <w:spacing w:after="120"/>
      </w:pPr>
      <w:r>
        <w:rPr>
          <w:color w:val="5B6677"/>
          <w:sz w:val="18"/>
        </w:rPr>
        <w:t>Contact history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fill="EEF2F9"/>
          </w:tcPr>
          <w:p>
            <w:r/>
            <w:r>
              <w:rPr>
                <w:b/>
                <w:color w:val="1B2233"/>
                <w:sz w:val="18"/>
              </w:rPr>
              <w:t>Day</w:t>
            </w:r>
          </w:p>
        </w:tc>
        <w:tc>
          <w:tcPr>
            <w:tcW w:type="dxa" w:w="3744"/>
            <w:shd w:val="clear" w:fill="EEF2F9"/>
          </w:tcPr>
          <w:p>
            <w:r/>
            <w:r>
              <w:rPr>
                <w:b/>
                <w:color w:val="1B2233"/>
                <w:sz w:val="18"/>
              </w:rPr>
              <w:t>Step</w:t>
            </w:r>
          </w:p>
        </w:tc>
        <w:tc>
          <w:tcPr>
            <w:tcW w:type="dxa" w:w="1440"/>
            <w:shd w:val="clear" w:fill="EEF2F9"/>
          </w:tcPr>
          <w:p>
            <w:r/>
            <w:r>
              <w:rPr>
                <w:b/>
                <w:color w:val="1B2233"/>
                <w:sz w:val="18"/>
              </w:rPr>
              <w:t>Channel</w:t>
            </w:r>
          </w:p>
        </w:tc>
        <w:tc>
          <w:tcPr>
            <w:tcW w:type="dxa" w:w="2304"/>
            <w:shd w:val="clear" w:fill="EEF2F9"/>
          </w:tcPr>
          <w:p>
            <w:r/>
            <w:r>
              <w:rPr>
                <w:b/>
                <w:color w:val="1B2233"/>
                <w:sz w:val="18"/>
              </w:rPr>
              <w:t>Outcome</w:t>
            </w:r>
          </w:p>
        </w:tc>
      </w:tr>
      <w:tr>
        <w:tc>
          <w:tcPr>
            <w:tcW w:type="dxa" w:w="864"/>
          </w:tcPr>
          <w:p>
            <w:r/>
            <w:r>
              <w:rPr>
                <w:sz w:val="19"/>
              </w:rPr>
              <w:t>−100</w:t>
            </w:r>
          </w:p>
        </w:tc>
        <w:tc>
          <w:tcPr>
            <w:tcW w:type="dxa" w:w="3744"/>
          </w:tcPr>
          <w:p>
            <w:r/>
            <w:r>
              <w:rPr>
                <w:sz w:val="19"/>
              </w:rPr>
              <w:t>Dedicated enterprise email</w:t>
            </w:r>
          </w:p>
        </w:tc>
        <w:tc>
          <w:tcPr>
            <w:tcW w:type="dxa" w:w="1440"/>
          </w:tcPr>
          <w:p>
            <w:r/>
            <w:r>
              <w:rPr>
                <w:sz w:val="19"/>
              </w:rPr>
              <w:t>Email</w:t>
            </w:r>
          </w:p>
        </w:tc>
        <w:tc>
          <w:tcPr>
            <w:tcW w:type="dxa" w:w="2304"/>
          </w:tcPr>
          <w:p>
            <w:r/>
            <w:r>
              <w:rPr>
                <w:sz w:val="19"/>
              </w:rPr>
              <w:t>OPENED</w:t>
            </w:r>
          </w:p>
        </w:tc>
      </w:tr>
      <w:tr>
        <w:tc>
          <w:tcPr>
            <w:tcW w:type="dxa" w:w="864"/>
          </w:tcPr>
          <w:p>
            <w:r/>
            <w:r>
              <w:rPr>
                <w:sz w:val="19"/>
              </w:rPr>
              <w:t>−95</w:t>
            </w:r>
          </w:p>
        </w:tc>
        <w:tc>
          <w:tcPr>
            <w:tcW w:type="dxa" w:w="3744"/>
          </w:tcPr>
          <w:p>
            <w:r/>
            <w:r>
              <w:rPr>
                <w:sz w:val="19"/>
              </w:rPr>
              <w:t>Email with invoice pack</w:t>
            </w:r>
          </w:p>
        </w:tc>
        <w:tc>
          <w:tcPr>
            <w:tcW w:type="dxa" w:w="1440"/>
          </w:tcPr>
          <w:p>
            <w:r/>
            <w:r>
              <w:rPr>
                <w:sz w:val="19"/>
              </w:rPr>
              <w:t>Email</w:t>
            </w:r>
          </w:p>
        </w:tc>
        <w:tc>
          <w:tcPr>
            <w:tcW w:type="dxa" w:w="2304"/>
          </w:tcPr>
          <w:p>
            <w:r/>
            <w:r>
              <w:rPr>
                <w:sz w:val="19"/>
              </w:rPr>
              <w:t>CONTACTED</w:t>
            </w:r>
          </w:p>
        </w:tc>
      </w:tr>
      <w:tr>
        <w:tc>
          <w:tcPr>
            <w:tcW w:type="dxa" w:w="864"/>
          </w:tcPr>
          <w:p>
            <w:r/>
            <w:r>
              <w:rPr>
                <w:sz w:val="19"/>
              </w:rPr>
              <w:t>−88</w:t>
            </w:r>
          </w:p>
        </w:tc>
        <w:tc>
          <w:tcPr>
            <w:tcW w:type="dxa" w:w="3744"/>
          </w:tcPr>
          <w:p>
            <w:r/>
            <w:r>
              <w:rPr>
                <w:sz w:val="19"/>
              </w:rPr>
              <w:t>Relationship manager alert</w:t>
            </w:r>
          </w:p>
        </w:tc>
        <w:tc>
          <w:tcPr>
            <w:tcW w:type="dxa" w:w="1440"/>
          </w:tcPr>
          <w:p>
            <w:r/>
            <w:r>
              <w:rPr>
                <w:sz w:val="19"/>
              </w:rPr>
              <w:t>Dialer</w:t>
            </w:r>
          </w:p>
        </w:tc>
        <w:tc>
          <w:tcPr>
            <w:tcW w:type="dxa" w:w="2304"/>
          </w:tcPr>
          <w:p>
            <w:r/>
            <w:r>
              <w:rPr>
                <w:sz w:val="19"/>
              </w:rPr>
              <w:t>CONTACTED</w:t>
            </w:r>
          </w:p>
        </w:tc>
      </w:tr>
    </w:tbl>
    <w:p>
      <w:pPr>
        <w:spacing w:after="40"/>
      </w:pPr>
    </w:p>
    <w:p>
      <w:pPr>
        <w:spacing w:before="240" w:after="40"/>
      </w:pPr>
      <w:r>
        <w:rPr>
          <w:b/>
          <w:color w:val="1B2233"/>
          <w:sz w:val="23"/>
        </w:rPr>
        <w:t>3.  They dispute the bill</w:t>
      </w:r>
    </w:p>
    <w:p>
      <w:pPr>
        <w:spacing w:after="120"/>
      </w:pPr>
      <w:r>
        <w:rPr>
          <w:color w:val="5B6677"/>
          <w:sz w:val="18"/>
        </w:rPr>
        <w:t>CASE-000152 → Dispute</w:t>
      </w:r>
    </w:p>
    <w:p>
      <w:pPr>
        <w:pStyle w:val="ListBullet"/>
        <w:spacing w:after="60"/>
      </w:pPr>
      <w:r>
        <w:rPr>
          <w:b/>
        </w:rPr>
        <w:t xml:space="preserve">DSP-R001252: </w:t>
      </w:r>
      <w:r>
        <w:t>$3,200.00 disputed — AP states 46 IoT SIMs were decommissioned in March but billed in Q2.</w:t>
      </w:r>
    </w:p>
    <w:p>
      <w:pPr>
        <w:pStyle w:val="ListBullet"/>
        <w:spacing w:after="60"/>
      </w:pPr>
      <w:r>
        <w:rPr>
          <w:b/>
        </w:rPr>
        <w:t xml:space="preserve">Outcome: </w:t>
      </w:r>
      <w:r>
        <w:t>Partly upheld: 28 of the 46 SIMs were decommissioned. $1,950 credited.</w:t>
      </w:r>
    </w:p>
    <w:p>
      <w:pPr>
        <w:spacing w:before="120" w:after="200"/>
        <w:ind w:left="403"/>
      </w:pPr>
      <w:r>
        <w:rPr>
          <w:i/>
          <w:color w:val="2C5AD8"/>
          <w:sz w:val="21"/>
        </w:rPr>
        <w:t>“Collection paused while the dispute was open, which is what the SLA pause is for. We didn't chase them for money that turned out not to be owed.”</w:t>
      </w:r>
    </w:p>
    <w:p>
      <w:pPr>
        <w:spacing w:before="240" w:after="40"/>
      </w:pPr>
      <w:r>
        <w:rPr>
          <w:b/>
          <w:color w:val="1B2233"/>
          <w:sz w:val="23"/>
        </w:rPr>
        <w:t>4.  A plan is agreed, and broken</w:t>
      </w:r>
    </w:p>
    <w:p>
      <w:pPr>
        <w:spacing w:after="120"/>
      </w:pPr>
      <w:r>
        <w:rPr>
          <w:color w:val="5B6677"/>
          <w:sz w:val="18"/>
        </w:rPr>
        <w:t>CASE-000152 → Timeline</w:t>
      </w:r>
    </w:p>
    <w:p>
      <w:pPr>
        <w:pStyle w:val="ListBullet"/>
        <w:spacing w:after="60"/>
      </w:pPr>
      <w:r>
        <w:rPr>
          <w:b/>
        </w:rPr>
        <w:t xml:space="preserve">PTP-R001256: </w:t>
      </w:r>
      <w:r>
        <w:t>$8,000.00 over two instalments — $4,250.00 cleared, the second did not. Status BROKEN.</w:t>
      </w:r>
    </w:p>
    <w:p>
      <w:pPr>
        <w:spacing w:before="240" w:after="40"/>
      </w:pPr>
      <w:r>
        <w:rPr>
          <w:b/>
          <w:color w:val="1B2233"/>
          <w:sz w:val="23"/>
        </w:rPr>
        <w:t>5.  The case is re-typed twice</w:t>
      </w:r>
    </w:p>
    <w:p>
      <w:pPr>
        <w:spacing w:after="120"/>
      </w:pPr>
      <w:r>
        <w:rPr>
          <w:color w:val="5B6677"/>
          <w:sz w:val="18"/>
        </w:rPr>
        <w:t>CASE-000152 → Audit</w:t>
      </w:r>
    </w:p>
    <w:p>
      <w:pPr>
        <w:spacing w:before="80" w:after="200"/>
        <w:ind w:left="288"/>
      </w:pPr>
      <w:r>
        <w:rPr>
          <w:rFonts w:ascii="Consolas" w:hAnsi="Consolas"/>
          <w:color w:val="242938"/>
          <w:sz w:val="18"/>
        </w:rPr>
        <w:t>TYPE_CHANGED  Dispute → Payment Plan</w:t>
        <w:br/>
        <w:t>Dispute settled; account moved to an instalment arrangement.</w:t>
      </w:r>
    </w:p>
    <w:p>
      <w:pPr>
        <w:spacing w:before="80" w:after="200"/>
        <w:ind w:left="288"/>
      </w:pPr>
      <w:r>
        <w:rPr>
          <w:rFonts w:ascii="Consolas" w:hAnsi="Consolas"/>
          <w:color w:val="242938"/>
          <w:sz w:val="18"/>
        </w:rPr>
        <w:t>TYPE_CHANGED  Payment Plan → Legal Followup</w:t>
        <w:br/>
        <w:t>Instalment plan broken; escalating to pre-legal.</w:t>
      </w:r>
    </w:p>
    <w:p>
      <w:pPr>
        <w:spacing w:before="240" w:after="40"/>
      </w:pPr>
      <w:r>
        <w:rPr>
          <w:b/>
          <w:color w:val="1B2233"/>
          <w:sz w:val="23"/>
        </w:rPr>
        <w:t>6.  Agency and legal</w:t>
      </w:r>
    </w:p>
    <w:p>
      <w:pPr>
        <w:spacing w:after="120"/>
      </w:pPr>
      <w:r>
        <w:rPr>
          <w:color w:val="5B6677"/>
          <w:sz w:val="18"/>
        </w:rPr>
        <w:t>Recovery Workspace</w:t>
      </w:r>
    </w:p>
    <w:p>
      <w:pPr>
        <w:pStyle w:val="ListBullet"/>
        <w:spacing w:after="60"/>
      </w:pPr>
      <w:r>
        <w:rPr>
          <w:b/>
        </w:rPr>
        <w:t xml:space="preserve">PL-1093: </w:t>
      </w:r>
      <w:r>
        <w:t>$14,820.00 placed with Meridian Recovery Solutions, status LEGAL, commission 15.0%</w:t>
      </w:r>
    </w:p>
    <w:p>
      <w:pPr>
        <w:pStyle w:val="ListBullet"/>
        <w:spacing w:after="60"/>
      </w:pPr>
      <w:r>
        <w:rPr>
          <w:b/>
        </w:rPr>
        <w:t xml:space="preserve">LC-2026013: </w:t>
      </w:r>
      <w:r>
        <w:t>$14,820.00 claimed, Hadef &amp; Partners, stage Filed, success probability 68%</w:t>
      </w:r>
    </w:p>
    <w:p>
      <w:r>
        <w:br w:type="page"/>
      </w:r>
    </w:p>
    <w:p>
      <w:pPr>
        <w:pStyle w:val="Heading1"/>
        <w:spacing w:before="360" w:after="80"/>
      </w:pPr>
      <w:r>
        <w:rPr>
          <w:rFonts w:ascii="Calibri" w:hAnsi="Calibri"/>
          <w:color w:val="2C5AD8"/>
        </w:rPr>
        <w:t>The cross-checks that make it credible</w:t>
      </w:r>
    </w:p>
    <w:p>
      <w:r>
        <w:rPr>
          <w:b w:val="0"/>
          <w:i w:val="0"/>
          <w:sz w:val="21"/>
        </w:rPr>
        <w:t>These are the questions a sharp audience asks. Have the answers ready.</w:t>
      </w:r>
    </w:p>
    <w:p>
      <w:r>
        <w:rPr>
          <w:b/>
          <w:i w:val="0"/>
          <w:sz w:val="21"/>
        </w:rPr>
        <w:t>“Do these numbers agree with each other?”</w:t>
      </w:r>
    </w:p>
    <w:p>
      <w:r>
        <w:rPr>
          <w:b w:val="0"/>
          <w:i w:val="0"/>
          <w:sz w:val="21"/>
        </w:rPr>
        <w:t>Run the consistency script on screen. Eighteen checks and two reconciliations, ending in “Everything agrees.”</w:t>
      </w:r>
    </w:p>
    <w:p>
      <w:pPr>
        <w:spacing w:before="80" w:after="200"/>
        <w:ind w:left="288"/>
      </w:pPr>
      <w:r>
        <w:rPr>
          <w:rFonts w:ascii="Consolas" w:hAnsi="Consolas"/>
          <w:color w:val="242938"/>
          <w:sz w:val="18"/>
        </w:rPr>
        <w:t>PYTHONPATH=. .venv/bin/python scripts/verify_consistency.py</w:t>
      </w:r>
    </w:p>
    <w:p>
      <w:r>
        <w:rPr>
          <w:b/>
          <w:i w:val="0"/>
          <w:sz w:val="21"/>
        </w:rPr>
        <w:t>“Where does the recovery figure come from?”</w:t>
      </w:r>
    </w:p>
    <w:p>
      <w:r>
        <w:rPr>
          <w:b w:val="0"/>
          <w:i w:val="0"/>
          <w:sz w:val="21"/>
        </w:rPr>
        <w:t>Recovery Workspace shows $350.00 recovered on Priya's placement. Open her Subscriber 360 — the same amount is a payment row. The agency figure is derived from the ledger, not typed alongside it.</w:t>
      </w:r>
    </w:p>
    <w:p>
      <w:r>
        <w:rPr>
          <w:b/>
          <w:i w:val="0"/>
          <w:sz w:val="21"/>
        </w:rPr>
        <w:t>“Is the Portfolio number the same as the Collections number?”</w:t>
      </w:r>
    </w:p>
    <w:p>
      <w:r>
        <w:rPr>
          <w:b w:val="0"/>
          <w:i w:val="0"/>
          <w:sz w:val="21"/>
        </w:rPr>
        <w:t>They differ deliberately, and each screen says why: Portfolio counts only delinquent balances as under collection; the collections book also holds accounts that are not past due yet, and that figure is stated separately.</w:t>
      </w:r>
    </w:p>
    <w:p>
      <w:r>
        <w:rPr>
          <w:b/>
          <w:i w:val="0"/>
          <w:sz w:val="21"/>
        </w:rPr>
        <w:t>“Could you have simulated this before running it?”</w:t>
      </w:r>
    </w:p>
    <w:p>
      <w:r>
        <w:rPr>
          <w:b w:val="0"/>
          <w:i w:val="0"/>
          <w:sz w:val="21"/>
        </w:rPr>
        <w:t>Strategy Management → Strategy Simulation. Pick Standard Dunning and press Run. It walks the real accounts through the real workflow using response rates measured from these very conversations, and shows the cost and recovery it would expect. Every rate is listed with whether it was measured or assumed.</w:t>
      </w:r>
    </w:p>
    <w:p>
      <w:pPr>
        <w:pStyle w:val="Heading1"/>
        <w:spacing w:before="360" w:after="80"/>
      </w:pPr>
      <w:r>
        <w:rPr>
          <w:rFonts w:ascii="Calibri" w:hAnsi="Calibri"/>
          <w:color w:val="2C5AD8"/>
        </w:rPr>
        <w:t>Suggested running order</w:t>
      </w:r>
    </w:p>
    <w:p>
      <w:r>
        <w:rPr>
          <w:b w:val="0"/>
          <w:i w:val="0"/>
          <w:color w:val="5B6677"/>
          <w:sz w:val="19"/>
        </w:rPr>
        <w:t>Twelve to fifteen minutes across nine screens.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504"/>
            <w:shd w:val="clear" w:fill="EEF2F9"/>
          </w:tcPr>
          <w:p>
            <w:r/>
            <w:r>
              <w:rPr>
                <w:b/>
                <w:color w:val="1B2233"/>
                <w:sz w:val="18"/>
              </w:rPr>
              <w:t>#</w:t>
            </w:r>
          </w:p>
        </w:tc>
        <w:tc>
          <w:tcPr>
            <w:tcW w:type="dxa" w:w="2736"/>
            <w:shd w:val="clear" w:fill="EEF2F9"/>
          </w:tcPr>
          <w:p>
            <w:r/>
            <w:r>
              <w:rPr>
                <w:b/>
                <w:color w:val="1B2233"/>
                <w:sz w:val="18"/>
              </w:rPr>
              <w:t>Screen</w:t>
            </w:r>
          </w:p>
        </w:tc>
        <w:tc>
          <w:tcPr>
            <w:tcW w:type="dxa" w:w="4896"/>
            <w:shd w:val="clear" w:fill="EEF2F9"/>
          </w:tcPr>
          <w:p>
            <w:r/>
            <w:r>
              <w:rPr>
                <w:b/>
                <w:color w:val="1B2233"/>
                <w:sz w:val="18"/>
              </w:rPr>
              <w:t>What to show</w:t>
            </w:r>
          </w:p>
        </w:tc>
        <w:tc>
          <w:tcPr>
            <w:tcW w:type="dxa" w:w="720"/>
            <w:shd w:val="clear" w:fill="EEF2F9"/>
          </w:tcPr>
          <w:p>
            <w:pPr>
              <w:jc w:val="right"/>
            </w:pPr>
            <w:r/>
            <w:r>
              <w:rPr>
                <w:b/>
                <w:color w:val="1B2233"/>
                <w:sz w:val="18"/>
              </w:rPr>
              <w:t>Min</w:t>
            </w:r>
          </w:p>
        </w:tc>
      </w:tr>
      <w:tr>
        <w:tc>
          <w:tcPr>
            <w:tcW w:type="dxa" w:w="504"/>
          </w:tcPr>
          <w:p>
            <w:r/>
            <w:r>
              <w:rPr>
                <w:sz w:val="19"/>
              </w:rPr>
              <w:t>1</w:t>
            </w:r>
          </w:p>
        </w:tc>
        <w:tc>
          <w:tcPr>
            <w:tcW w:type="dxa" w:w="2736"/>
          </w:tcPr>
          <w:p>
            <w:r/>
            <w:r>
              <w:rPr>
                <w:sz w:val="19"/>
              </w:rPr>
              <w:t>Portfolio Dashboard</w:t>
            </w:r>
          </w:p>
        </w:tc>
        <w:tc>
          <w:tcPr>
            <w:tcW w:type="dxa" w:w="4896"/>
          </w:tcPr>
          <w:p>
            <w:r/>
            <w:r>
              <w:rPr>
                <w:sz w:val="19"/>
              </w:rPr>
              <w:t>The whole book, coverage, where the money sits</w:t>
            </w:r>
          </w:p>
        </w:tc>
        <w:tc>
          <w:tcPr>
            <w:tcW w:type="dxa" w:w="720"/>
          </w:tcPr>
          <w:p>
            <w:pPr>
              <w:jc w:val="right"/>
            </w:pPr>
            <w:r/>
            <w:r>
              <w:rPr>
                <w:sz w:val="19"/>
              </w:rPr>
              <w:t>2</w:t>
            </w:r>
          </w:p>
        </w:tc>
      </w:tr>
      <w:tr>
        <w:tc>
          <w:tcPr>
            <w:tcW w:type="dxa" w:w="504"/>
          </w:tcPr>
          <w:p>
            <w:r/>
            <w:r>
              <w:rPr>
                <w:sz w:val="19"/>
              </w:rPr>
              <w:t>2</w:t>
            </w:r>
          </w:p>
        </w:tc>
        <w:tc>
          <w:tcPr>
            <w:tcW w:type="dxa" w:w="2736"/>
          </w:tcPr>
          <w:p>
            <w:r/>
            <w:r>
              <w:rPr>
                <w:sz w:val="19"/>
              </w:rPr>
              <w:t>Customer 360 — Priya</w:t>
            </w:r>
          </w:p>
        </w:tc>
        <w:tc>
          <w:tcPr>
            <w:tcW w:type="dxa" w:w="4896"/>
          </w:tcPr>
          <w:p>
            <w:r/>
            <w:r>
              <w:rPr>
                <w:sz w:val="19"/>
              </w:rPr>
              <w:t>96 DPD, the bills, the balance</w:t>
            </w:r>
          </w:p>
        </w:tc>
        <w:tc>
          <w:tcPr>
            <w:tcW w:type="dxa" w:w="720"/>
          </w:tcPr>
          <w:p>
            <w:pPr>
              <w:jc w:val="right"/>
            </w:pPr>
            <w:r/>
            <w:r>
              <w:rPr>
                <w:sz w:val="19"/>
              </w:rPr>
              <w:t>1</w:t>
            </w:r>
          </w:p>
        </w:tc>
      </w:tr>
      <w:tr>
        <w:tc>
          <w:tcPr>
            <w:tcW w:type="dxa" w:w="504"/>
          </w:tcPr>
          <w:p>
            <w:r/>
            <w:r>
              <w:rPr>
                <w:sz w:val="19"/>
              </w:rPr>
              <w:t>3</w:t>
            </w:r>
          </w:p>
        </w:tc>
        <w:tc>
          <w:tcPr>
            <w:tcW w:type="dxa" w:w="2736"/>
          </w:tcPr>
          <w:p>
            <w:r/>
            <w:r>
              <w:rPr>
                <w:sz w:val="19"/>
              </w:rPr>
              <w:t>Strategy Performance</w:t>
            </w:r>
          </w:p>
        </w:tc>
        <w:tc>
          <w:tcPr>
            <w:tcW w:type="dxa" w:w="4896"/>
          </w:tcPr>
          <w:p>
            <w:r/>
            <w:r>
              <w:rPr>
                <w:sz w:val="19"/>
              </w:rPr>
              <w:t>The dunning touches and what they cost</w:t>
            </w:r>
          </w:p>
        </w:tc>
        <w:tc>
          <w:tcPr>
            <w:tcW w:type="dxa" w:w="720"/>
          </w:tcPr>
          <w:p>
            <w:pPr>
              <w:jc w:val="right"/>
            </w:pPr>
            <w:r/>
            <w:r>
              <w:rPr>
                <w:sz w:val="19"/>
              </w:rPr>
              <w:t>1.5</w:t>
            </w:r>
          </w:p>
        </w:tc>
      </w:tr>
      <w:tr>
        <w:tc>
          <w:tcPr>
            <w:tcW w:type="dxa" w:w="504"/>
          </w:tcPr>
          <w:p>
            <w:r/>
            <w:r>
              <w:rPr>
                <w:sz w:val="19"/>
              </w:rPr>
              <w:t>4</w:t>
            </w:r>
          </w:p>
        </w:tc>
        <w:tc>
          <w:tcPr>
            <w:tcW w:type="dxa" w:w="2736"/>
          </w:tcPr>
          <w:p>
            <w:r/>
            <w:r>
              <w:rPr>
                <w:sz w:val="19"/>
              </w:rPr>
              <w:t>Collections Workspace</w:t>
            </w:r>
          </w:p>
        </w:tc>
        <w:tc>
          <w:tcPr>
            <w:tcW w:type="dxa" w:w="4896"/>
          </w:tcPr>
          <w:p>
            <w:r/>
            <w:r>
              <w:rPr>
                <w:sz w:val="19"/>
              </w:rPr>
              <w:t>Timeline, broken promises, the audit trail</w:t>
            </w:r>
          </w:p>
        </w:tc>
        <w:tc>
          <w:tcPr>
            <w:tcW w:type="dxa" w:w="720"/>
          </w:tcPr>
          <w:p>
            <w:pPr>
              <w:jc w:val="right"/>
            </w:pPr>
            <w:r/>
            <w:r>
              <w:rPr>
                <w:sz w:val="19"/>
              </w:rPr>
              <w:t>3</w:t>
            </w:r>
          </w:p>
        </w:tc>
      </w:tr>
      <w:tr>
        <w:tc>
          <w:tcPr>
            <w:tcW w:type="dxa" w:w="504"/>
          </w:tcPr>
          <w:p>
            <w:r/>
            <w:r>
              <w:rPr>
                <w:sz w:val="19"/>
              </w:rPr>
              <w:t>5</w:t>
            </w:r>
          </w:p>
        </w:tc>
        <w:tc>
          <w:tcPr>
            <w:tcW w:type="dxa" w:w="2736"/>
          </w:tcPr>
          <w:p>
            <w:r/>
            <w:r>
              <w:rPr>
                <w:sz w:val="19"/>
              </w:rPr>
              <w:t>AI Engagement Center</w:t>
            </w:r>
          </w:p>
        </w:tc>
        <w:tc>
          <w:tcPr>
            <w:tcW w:type="dxa" w:w="4896"/>
          </w:tcPr>
          <w:p>
            <w:r/>
            <w:r>
              <w:rPr>
                <w:sz w:val="19"/>
              </w:rPr>
              <w:t>Read the transcript, accept the live handoff</w:t>
            </w:r>
          </w:p>
        </w:tc>
        <w:tc>
          <w:tcPr>
            <w:tcW w:type="dxa" w:w="720"/>
          </w:tcPr>
          <w:p>
            <w:pPr>
              <w:jc w:val="right"/>
            </w:pPr>
            <w:r/>
            <w:r>
              <w:rPr>
                <w:sz w:val="19"/>
              </w:rPr>
              <w:t>2</w:t>
            </w:r>
          </w:p>
        </w:tc>
      </w:tr>
      <w:tr>
        <w:tc>
          <w:tcPr>
            <w:tcW w:type="dxa" w:w="504"/>
          </w:tcPr>
          <w:p>
            <w:r/>
            <w:r>
              <w:rPr>
                <w:sz w:val="19"/>
              </w:rPr>
              <w:t>6</w:t>
            </w:r>
          </w:p>
        </w:tc>
        <w:tc>
          <w:tcPr>
            <w:tcW w:type="dxa" w:w="2736"/>
          </w:tcPr>
          <w:p>
            <w:r/>
            <w:r>
              <w:rPr>
                <w:sz w:val="19"/>
              </w:rPr>
              <w:t>Customer 360 — Daniel</w:t>
            </w:r>
          </w:p>
        </w:tc>
        <w:tc>
          <w:tcPr>
            <w:tcW w:type="dxa" w:w="4896"/>
          </w:tcPr>
          <w:p>
            <w:r/>
            <w:r>
              <w:rPr>
                <w:sz w:val="19"/>
              </w:rPr>
              <w:t>The clean path, closed case, zero balance</w:t>
            </w:r>
          </w:p>
        </w:tc>
        <w:tc>
          <w:tcPr>
            <w:tcW w:type="dxa" w:w="720"/>
          </w:tcPr>
          <w:p>
            <w:pPr>
              <w:jc w:val="right"/>
            </w:pPr>
            <w:r/>
            <w:r>
              <w:rPr>
                <w:sz w:val="19"/>
              </w:rPr>
              <w:t>1</w:t>
            </w:r>
          </w:p>
        </w:tc>
      </w:tr>
      <w:tr>
        <w:tc>
          <w:tcPr>
            <w:tcW w:type="dxa" w:w="504"/>
          </w:tcPr>
          <w:p>
            <w:r/>
            <w:r>
              <w:rPr>
                <w:sz w:val="19"/>
              </w:rPr>
              <w:t>7</w:t>
            </w:r>
          </w:p>
        </w:tc>
        <w:tc>
          <w:tcPr>
            <w:tcW w:type="dxa" w:w="2736"/>
          </w:tcPr>
          <w:p>
            <w:r/>
            <w:r>
              <w:rPr>
                <w:sz w:val="19"/>
              </w:rPr>
              <w:t>Collections Workspace</w:t>
            </w:r>
          </w:p>
        </w:tc>
        <w:tc>
          <w:tcPr>
            <w:tcW w:type="dxa" w:w="4896"/>
          </w:tcPr>
          <w:p>
            <w:r/>
            <w:r>
              <w:rPr>
                <w:sz w:val="19"/>
              </w:rPr>
              <w:t>Dispute → plan → legal, two type changes</w:t>
            </w:r>
          </w:p>
        </w:tc>
        <w:tc>
          <w:tcPr>
            <w:tcW w:type="dxa" w:w="720"/>
          </w:tcPr>
          <w:p>
            <w:pPr>
              <w:jc w:val="right"/>
            </w:pPr>
            <w:r/>
            <w:r>
              <w:rPr>
                <w:sz w:val="19"/>
              </w:rPr>
              <w:t>2</w:t>
            </w:r>
          </w:p>
        </w:tc>
      </w:tr>
      <w:tr>
        <w:tc>
          <w:tcPr>
            <w:tcW w:type="dxa" w:w="504"/>
          </w:tcPr>
          <w:p>
            <w:r/>
            <w:r>
              <w:rPr>
                <w:sz w:val="19"/>
              </w:rPr>
              <w:t>8</w:t>
            </w:r>
          </w:p>
        </w:tc>
        <w:tc>
          <w:tcPr>
            <w:tcW w:type="dxa" w:w="2736"/>
          </w:tcPr>
          <w:p>
            <w:r/>
            <w:r>
              <w:rPr>
                <w:sz w:val="19"/>
              </w:rPr>
              <w:t>Recovery Workspace</w:t>
            </w:r>
          </w:p>
        </w:tc>
        <w:tc>
          <w:tcPr>
            <w:tcW w:type="dxa" w:w="4896"/>
          </w:tcPr>
          <w:p>
            <w:r/>
            <w:r>
              <w:rPr>
                <w:sz w:val="19"/>
              </w:rPr>
              <w:t>Both placements, the legal files</w:t>
            </w:r>
          </w:p>
        </w:tc>
        <w:tc>
          <w:tcPr>
            <w:tcW w:type="dxa" w:w="720"/>
          </w:tcPr>
          <w:p>
            <w:pPr>
              <w:jc w:val="right"/>
            </w:pPr>
            <w:r/>
            <w:r>
              <w:rPr>
                <w:sz w:val="19"/>
              </w:rPr>
              <w:t>1.5</w:t>
            </w:r>
          </w:p>
        </w:tc>
      </w:tr>
      <w:tr>
        <w:tc>
          <w:tcPr>
            <w:tcW w:type="dxa" w:w="504"/>
          </w:tcPr>
          <w:p>
            <w:r/>
            <w:r>
              <w:rPr>
                <w:sz w:val="19"/>
              </w:rPr>
              <w:t>9</w:t>
            </w:r>
          </w:p>
        </w:tc>
        <w:tc>
          <w:tcPr>
            <w:tcW w:type="dxa" w:w="2736"/>
          </w:tcPr>
          <w:p>
            <w:r/>
            <w:r>
              <w:rPr>
                <w:sz w:val="19"/>
              </w:rPr>
              <w:t>Strategy Simulation</w:t>
            </w:r>
          </w:p>
        </w:tc>
        <w:tc>
          <w:tcPr>
            <w:tcW w:type="dxa" w:w="4896"/>
          </w:tcPr>
          <w:p>
            <w:r/>
            <w:r>
              <w:rPr>
                <w:sz w:val="19"/>
              </w:rPr>
              <w:t>Run it live, talk through the assumptions</w:t>
            </w:r>
          </w:p>
        </w:tc>
        <w:tc>
          <w:tcPr>
            <w:tcW w:type="dxa" w:w="720"/>
          </w:tcPr>
          <w:p>
            <w:pPr>
              <w:jc w:val="right"/>
            </w:pPr>
            <w:r/>
            <w:r>
              <w:rPr>
                <w:sz w:val="19"/>
              </w:rPr>
              <w:t>1.5</w:t>
            </w:r>
          </w:p>
        </w:tc>
      </w:tr>
    </w:tbl>
    <w:p>
      <w:pPr>
        <w:spacing w:after="40"/>
      </w:pPr>
    </w:p>
    <w:p>
      <w:pPr>
        <w:pStyle w:val="Heading1"/>
        <w:spacing w:before="360" w:after="80"/>
      </w:pPr>
      <w:r>
        <w:rPr>
          <w:rFonts w:ascii="Calibri" w:hAnsi="Calibri"/>
          <w:color w:val="2C5AD8"/>
        </w:rPr>
        <w:t>Rebuilding the demo</w:t>
      </w:r>
    </w:p>
    <w:p>
      <w:r>
        <w:rPr>
          <w:b w:val="0"/>
          <w:i w:val="0"/>
          <w:sz w:val="21"/>
        </w:rPr>
        <w:t>The seed clears its own three customers first, so it is safe to re-run as often as you like. All dates are relative to today, so the timelines stay correct whenever the demo is given. It touches nothing outside these three customers.</w:t>
      </w:r>
    </w:p>
    <w:p>
      <w:pPr>
        <w:spacing w:before="80" w:after="200"/>
        <w:ind w:left="288"/>
      </w:pPr>
      <w:r>
        <w:rPr>
          <w:rFonts w:ascii="Consolas" w:hAnsi="Consolas"/>
          <w:color w:val="242938"/>
          <w:sz w:val="18"/>
        </w:rPr>
        <w:t>cd Assure+_MS</w:t>
        <w:br/>
        <w:t>PYTHONPATH=. .venv/bin/python migrations/sql/062_demo_lifecycles.py</w:t>
        <w:br/>
        <w:t>PYTHONPATH=. .venv/bin/python scripts/verify_consistency.py</w:t>
      </w:r>
    </w:p>
    <w:tbl>
      <w:tblPr>
        <w:tblStyle w:val="TableGrid"/>
        <w:tblW w:type="auto" w:w="0"/>
        <w:tblLook w:firstColumn="1" w:firstRow="1" w:lastColumn="0" w:lastRow="0" w:noHBand="0" w:noVBand="1" w:val="04A0"/>
      </w:tblPr>
      <w:tblGrid>
        <w:gridCol w:w="9792"/>
      </w:tblGrid>
      <w:tr>
        <w:tc>
          <w:tcPr>
            <w:tcW w:type="dxa" w:w="9792"/>
            <w:shd w:val="clear" w:fill="FFF7EC"/>
          </w:tcPr>
          <w:p>
            <w:r/>
            <w:r>
              <w:rPr>
                <w:b/>
                <w:color w:val="B45409"/>
                <w:sz w:val="20"/>
              </w:rPr>
              <w:t>One caveat</w:t>
            </w:r>
          </w:p>
          <w:p>
            <w:r>
              <w:rPr>
                <w:sz w:val="19"/>
              </w:rPr>
              <w:t>The demo payments change what agents have collected. If you re-run the seed, re-run the agent roll-up (step 8 of 057_reconcile_book.py) before showing the Agent Performance screen, or its figures will lag the ledger.</w:t>
            </w:r>
          </w:p>
        </w:tc>
      </w:tr>
    </w:tbl>
    <w:p>
      <w:pPr>
        <w:spacing w:after="40"/>
      </w:pPr>
    </w:p>
    <w:p>
      <w:pPr>
        <w:spacing w:before="40" w:after="40"/>
        <w:pBdr>
          <w:bottom w:val="single" w:sz="6" w:color="D6DCE6"/>
        </w:pBdr>
      </w:pPr>
    </w:p>
    <w:p>
      <w:r>
        <w:rPr>
          <w:b w:val="0"/>
          <w:i/>
          <w:color w:val="5B6677"/>
          <w:sz w:val="18"/>
        </w:rPr>
        <w:t>Generated from the live database — 95 accounts, $69,915.76 receivables, $55,402.91 of it delinquent.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