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C5AD8"/>
          <w:sz w:val="56"/>
        </w:rPr>
        <w:t>RADONaix Assure+</w:t>
      </w:r>
    </w:p>
    <w:p>
      <w:r>
        <w:rPr>
          <w:color w:val="5B6677"/>
          <w:sz w:val="26"/>
        </w:rPr>
        <w:t>Demo walkthrough — every measure explained, and three customers followed from first missed bill to court</w:t>
      </w:r>
    </w:p>
    <w:p>
      <w:pPr>
        <w:spacing w:before="40" w:after="40"/>
        <w:pBdr>
          <w:bottom w:val="single" w:sz="6" w:color="D6DCE6"/>
        </w:pBdr>
      </w:pPr>
    </w:p>
    <w:p>
      <w:r>
        <w:rPr>
          <w:b w:val="0"/>
          <w:i w:val="0"/>
          <w:sz w:val="21"/>
        </w:rPr>
        <w:t>This is the document to read before presenting, and the one to send afterwards. It has four parts.</w:t>
      </w:r>
    </w:p>
    <w:tbl>
      <w:tblPr>
        <w:tblStyle w:val="TableGrid"/>
        <w:tblW w:type="auto" w:w="0"/>
        <w:jc w:val="left"/>
        <w:tblLook w:firstColumn="1" w:firstRow="1" w:lastColumn="0" w:lastRow="0" w:noHBand="0" w:noVBand="1" w:val="04A0"/>
      </w:tblPr>
      <w:tblGrid>
        <w:gridCol w:w="4896"/>
        <w:gridCol w:w="4896"/>
      </w:tblGrid>
      <w:tr>
        <w:tc>
          <w:tcPr>
            <w:tcW w:type="dxa" w:w="2160"/>
            <w:shd w:val="clear" w:fill="EEF2F9"/>
          </w:tcPr>
          <w:p>
            <w:r/>
            <w:r>
              <w:rPr>
                <w:b/>
                <w:color w:val="1B2233"/>
                <w:sz w:val="18"/>
              </w:rPr>
              <w:t>Part</w:t>
            </w:r>
          </w:p>
        </w:tc>
        <w:tc>
          <w:tcPr>
            <w:tcW w:type="dxa" w:w="7776"/>
            <w:shd w:val="clear" w:fill="EEF2F9"/>
          </w:tcPr>
          <w:p>
            <w:r/>
            <w:r>
              <w:rPr>
                <w:b/>
                <w:color w:val="1B2233"/>
                <w:sz w:val="18"/>
              </w:rPr>
              <w:t>What it covers</w:t>
            </w:r>
          </w:p>
        </w:tc>
      </w:tr>
      <w:tr>
        <w:tc>
          <w:tcPr>
            <w:tcW w:type="dxa" w:w="2160"/>
          </w:tcPr>
          <w:p>
            <w:r/>
            <w:r>
              <w:rPr>
                <w:sz w:val="19"/>
              </w:rPr>
              <w:t>1  The map</w:t>
            </w:r>
          </w:p>
        </w:tc>
        <w:tc>
          <w:tcPr>
            <w:tcW w:type="dxa" w:w="7776"/>
          </w:tcPr>
          <w:p>
            <w:r/>
            <w:r>
              <w:rPr>
                <w:sz w:val="19"/>
              </w:rPr>
              <w:t>Every module, and the one question each screen answers</w:t>
            </w:r>
          </w:p>
        </w:tc>
      </w:tr>
      <w:tr>
        <w:tc>
          <w:tcPr>
            <w:tcW w:type="dxa" w:w="2160"/>
          </w:tcPr>
          <w:p>
            <w:r/>
            <w:r>
              <w:rPr>
                <w:sz w:val="19"/>
              </w:rPr>
              <w:t>2  The stories</w:t>
            </w:r>
          </w:p>
        </w:tc>
        <w:tc>
          <w:tcPr>
            <w:tcW w:type="dxa" w:w="7776"/>
          </w:tcPr>
          <w:p>
            <w:r/>
            <w:r>
              <w:rPr>
                <w:sz w:val="19"/>
              </w:rPr>
              <w:t>Three customers followed step by step, with the data behind each step</w:t>
            </w:r>
          </w:p>
        </w:tc>
      </w:tr>
      <w:tr>
        <w:tc>
          <w:tcPr>
            <w:tcW w:type="dxa" w:w="2160"/>
          </w:tcPr>
          <w:p>
            <w:r/>
            <w:r>
              <w:rPr>
                <w:sz w:val="19"/>
              </w:rPr>
              <w:t>3  The measures</w:t>
            </w:r>
          </w:p>
        </w:tc>
        <w:tc>
          <w:tcPr>
            <w:tcW w:type="dxa" w:w="7776"/>
          </w:tcPr>
          <w:p>
            <w:r/>
            <w:r>
              <w:rPr>
                <w:sz w:val="19"/>
              </w:rPr>
              <w:t>Every KPI: what it counts, how it is worked out, where it comes from</w:t>
            </w:r>
          </w:p>
        </w:tc>
      </w:tr>
      <w:tr>
        <w:tc>
          <w:tcPr>
            <w:tcW w:type="dxa" w:w="2160"/>
          </w:tcPr>
          <w:p>
            <w:r/>
            <w:r>
              <w:rPr>
                <w:sz w:val="19"/>
              </w:rPr>
              <w:t>4  The proof</w:t>
            </w:r>
          </w:p>
        </w:tc>
        <w:tc>
          <w:tcPr>
            <w:tcW w:type="dxa" w:w="7776"/>
          </w:tcPr>
          <w:p>
            <w:r/>
            <w:r>
              <w:rPr>
                <w:sz w:val="19"/>
              </w:rPr>
              <w:t>Which figures must agree with which, and evidence that they do</w:t>
            </w:r>
          </w:p>
        </w:tc>
      </w:tr>
    </w:tbl>
    <w:p>
      <w:pPr>
        <w:spacing w:after="40"/>
      </w:pPr>
    </w:p>
    <w:p>
      <w:r>
        <w:rPr>
          <w:b w:val="0"/>
          <w:i/>
          <w:color w:val="5B6677"/>
          <w:sz w:val="19"/>
        </w:rPr>
        <w:t>Every number in this document was read from the live system as it was written. Nothing is illustrative.</w:t>
      </w:r>
    </w:p>
    <w:p>
      <w:r>
        <w:br w:type="page"/>
      </w:r>
    </w:p>
    <w:p>
      <w:pPr>
        <w:pStyle w:val="Heading1"/>
        <w:spacing w:before="360" w:after="80"/>
      </w:pPr>
      <w:r>
        <w:rPr>
          <w:rFonts w:ascii="Calibri" w:hAnsi="Calibri"/>
          <w:color w:val="2C5AD8"/>
        </w:rPr>
        <w:t>Part 1 — The map</w:t>
      </w:r>
    </w:p>
    <w:p>
      <w:r>
        <w:rPr>
          <w:b w:val="0"/>
          <w:i w:val="0"/>
          <w:sz w:val="21"/>
        </w:rPr>
        <w:t>Five modules. Each screen exists to answer one question; where two screens look similar, the difference is stated on the screen itself.</w:t>
      </w:r>
    </w:p>
    <w:p>
      <w:pPr>
        <w:pStyle w:val="Heading2"/>
        <w:spacing w:before="240" w:after="80"/>
      </w:pPr>
      <w:r>
        <w:rPr>
          <w:rFonts w:ascii="Calibri" w:hAnsi="Calibri"/>
          <w:color w:val="1B2233"/>
        </w:rPr>
        <w:t>Portfolio Management</w:t>
      </w:r>
    </w:p>
    <w:tbl>
      <w:tblPr>
        <w:tblStyle w:val="TableGrid"/>
        <w:tblW w:type="auto" w:w="0"/>
        <w:jc w:val="left"/>
        <w:tblLook w:firstColumn="1" w:firstRow="1" w:lastColumn="0" w:lastRow="0" w:noHBand="0" w:noVBand="1" w:val="04A0"/>
      </w:tblPr>
      <w:tblGrid>
        <w:gridCol w:w="4896"/>
        <w:gridCol w:w="4896"/>
      </w:tblGrid>
      <w:tr>
        <w:tc>
          <w:tcPr>
            <w:tcW w:type="dxa" w:w="2736"/>
            <w:shd w:val="clear" w:fill="EEF2F9"/>
          </w:tcPr>
          <w:p>
            <w:r/>
            <w:r>
              <w:rPr>
                <w:b/>
                <w:color w:val="1B2233"/>
                <w:sz w:val="18"/>
              </w:rPr>
              <w:t>Screen</w:t>
            </w:r>
          </w:p>
        </w:tc>
        <w:tc>
          <w:tcPr>
            <w:tcW w:type="dxa" w:w="7200"/>
            <w:shd w:val="clear" w:fill="EEF2F9"/>
          </w:tcPr>
          <w:p>
            <w:r/>
            <w:r>
              <w:rPr>
                <w:b/>
                <w:color w:val="1B2233"/>
                <w:sz w:val="18"/>
              </w:rPr>
              <w:t>The question it answers</w:t>
            </w:r>
          </w:p>
        </w:tc>
      </w:tr>
      <w:tr>
        <w:tc>
          <w:tcPr>
            <w:tcW w:type="dxa" w:w="2736"/>
          </w:tcPr>
          <w:p>
            <w:r/>
            <w:r>
              <w:rPr>
                <w:sz w:val="19"/>
              </w:rPr>
              <w:t>Portfolio Dashboard</w:t>
            </w:r>
          </w:p>
        </w:tc>
        <w:tc>
          <w:tcPr>
            <w:tcW w:type="dxa" w:w="7200"/>
          </w:tcPr>
          <w:p>
            <w:r/>
            <w:r>
              <w:rPr>
                <w:sz w:val="19"/>
              </w:rPr>
              <w:t>How big is the book, how much has gone bad, and how much of the bad is being worked?</w:t>
            </w:r>
          </w:p>
        </w:tc>
      </w:tr>
      <w:tr>
        <w:tc>
          <w:tcPr>
            <w:tcW w:type="dxa" w:w="2736"/>
          </w:tcPr>
          <w:p>
            <w:r/>
            <w:r>
              <w:rPr>
                <w:sz w:val="19"/>
              </w:rPr>
              <w:t>Risk Grid Analytics</w:t>
            </w:r>
          </w:p>
        </w:tc>
        <w:tc>
          <w:tcPr>
            <w:tcW w:type="dxa" w:w="7200"/>
          </w:tcPr>
          <w:p>
            <w:r/>
            <w:r>
              <w:rPr>
                <w:sz w:val="19"/>
              </w:rPr>
              <w:t>Which combinations of age and risk hold the exposure?</w:t>
            </w:r>
          </w:p>
        </w:tc>
      </w:tr>
      <w:tr>
        <w:tc>
          <w:tcPr>
            <w:tcW w:type="dxa" w:w="2736"/>
          </w:tcPr>
          <w:p>
            <w:r/>
            <w:r>
              <w:rPr>
                <w:sz w:val="19"/>
              </w:rPr>
              <w:t>Customer 360</w:t>
            </w:r>
          </w:p>
        </w:tc>
        <w:tc>
          <w:tcPr>
            <w:tcW w:type="dxa" w:w="7200"/>
          </w:tcPr>
          <w:p>
            <w:r/>
            <w:r>
              <w:rPr>
                <w:sz w:val="19"/>
              </w:rPr>
              <w:t>Everything known about one customer, on one page</w:t>
            </w:r>
          </w:p>
        </w:tc>
      </w:tr>
      <w:tr>
        <w:tc>
          <w:tcPr>
            <w:tcW w:type="dxa" w:w="2736"/>
          </w:tcPr>
          <w:p>
            <w:r/>
            <w:r>
              <w:rPr>
                <w:sz w:val="19"/>
              </w:rPr>
              <w:t>Performance Reports</w:t>
            </w:r>
          </w:p>
        </w:tc>
        <w:tc>
          <w:tcPr>
            <w:tcW w:type="dxa" w:w="7200"/>
          </w:tcPr>
          <w:p>
            <w:r/>
            <w:r>
              <w:rPr>
                <w:sz w:val="19"/>
              </w:rPr>
              <w:t>The registers: promises, disputes, legal and agency</w:t>
            </w:r>
          </w:p>
        </w:tc>
      </w:tr>
    </w:tbl>
    <w:p>
      <w:pPr>
        <w:spacing w:after="40"/>
      </w:pPr>
    </w:p>
    <w:p>
      <w:pPr>
        <w:pStyle w:val="Heading2"/>
        <w:spacing w:before="240" w:after="80"/>
      </w:pPr>
      <w:r>
        <w:rPr>
          <w:rFonts w:ascii="Calibri" w:hAnsi="Calibri"/>
          <w:color w:val="1B2233"/>
        </w:rPr>
        <w:t>Collection Management</w:t>
      </w:r>
    </w:p>
    <w:tbl>
      <w:tblPr>
        <w:tblStyle w:val="TableGrid"/>
        <w:tblW w:type="auto" w:w="0"/>
        <w:jc w:val="left"/>
        <w:tblLook w:firstColumn="1" w:firstRow="1" w:lastColumn="0" w:lastRow="0" w:noHBand="0" w:noVBand="1" w:val="04A0"/>
      </w:tblPr>
      <w:tblGrid>
        <w:gridCol w:w="4896"/>
        <w:gridCol w:w="4896"/>
      </w:tblGrid>
      <w:tr>
        <w:tc>
          <w:tcPr>
            <w:tcW w:type="dxa" w:w="2736"/>
            <w:shd w:val="clear" w:fill="EEF2F9"/>
          </w:tcPr>
          <w:p>
            <w:r/>
            <w:r>
              <w:rPr>
                <w:b/>
                <w:color w:val="1B2233"/>
                <w:sz w:val="18"/>
              </w:rPr>
              <w:t>Screen</w:t>
            </w:r>
          </w:p>
        </w:tc>
        <w:tc>
          <w:tcPr>
            <w:tcW w:type="dxa" w:w="7200"/>
            <w:shd w:val="clear" w:fill="EEF2F9"/>
          </w:tcPr>
          <w:p>
            <w:r/>
            <w:r>
              <w:rPr>
                <w:b/>
                <w:color w:val="1B2233"/>
                <w:sz w:val="18"/>
              </w:rPr>
              <w:t>The question it answers</w:t>
            </w:r>
          </w:p>
        </w:tc>
      </w:tr>
      <w:tr>
        <w:tc>
          <w:tcPr>
            <w:tcW w:type="dxa" w:w="2736"/>
          </w:tcPr>
          <w:p>
            <w:r/>
            <w:r>
              <w:rPr>
                <w:sz w:val="19"/>
              </w:rPr>
              <w:t>Collections Workspace</w:t>
            </w:r>
          </w:p>
        </w:tc>
        <w:tc>
          <w:tcPr>
            <w:tcW w:type="dxa" w:w="7200"/>
          </w:tcPr>
          <w:p>
            <w:r/>
            <w:r>
              <w:rPr>
                <w:sz w:val="19"/>
              </w:rPr>
              <w:t>What needs working today, and the case board</w:t>
            </w:r>
          </w:p>
        </w:tc>
      </w:tr>
      <w:tr>
        <w:tc>
          <w:tcPr>
            <w:tcW w:type="dxa" w:w="2736"/>
          </w:tcPr>
          <w:p>
            <w:r/>
            <w:r>
              <w:rPr>
                <w:sz w:val="19"/>
              </w:rPr>
              <w:t>Collections Dashboard</w:t>
            </w:r>
          </w:p>
        </w:tc>
        <w:tc>
          <w:tcPr>
            <w:tcW w:type="dxa" w:w="7200"/>
          </w:tcPr>
          <w:p>
            <w:r/>
            <w:r>
              <w:rPr>
                <w:sz w:val="19"/>
              </w:rPr>
              <w:t>How is collection going — cash, promises, SLA, speed</w:t>
            </w:r>
          </w:p>
        </w:tc>
      </w:tr>
    </w:tbl>
    <w:p>
      <w:pPr>
        <w:spacing w:after="40"/>
      </w:pPr>
    </w:p>
    <w:p>
      <w:pPr>
        <w:pStyle w:val="Heading2"/>
        <w:spacing w:before="240" w:after="80"/>
      </w:pPr>
      <w:r>
        <w:rPr>
          <w:rFonts w:ascii="Calibri" w:hAnsi="Calibri"/>
          <w:color w:val="1B2233"/>
        </w:rPr>
        <w:t>Strategy Management</w:t>
      </w:r>
    </w:p>
    <w:tbl>
      <w:tblPr>
        <w:tblStyle w:val="TableGrid"/>
        <w:tblW w:type="auto" w:w="0"/>
        <w:jc w:val="left"/>
        <w:tblLook w:firstColumn="1" w:firstRow="1" w:lastColumn="0" w:lastRow="0" w:noHBand="0" w:noVBand="1" w:val="04A0"/>
      </w:tblPr>
      <w:tblGrid>
        <w:gridCol w:w="4896"/>
        <w:gridCol w:w="4896"/>
      </w:tblGrid>
      <w:tr>
        <w:tc>
          <w:tcPr>
            <w:tcW w:type="dxa" w:w="2736"/>
            <w:shd w:val="clear" w:fill="EEF2F9"/>
          </w:tcPr>
          <w:p>
            <w:r/>
            <w:r>
              <w:rPr>
                <w:b/>
                <w:color w:val="1B2233"/>
                <w:sz w:val="18"/>
              </w:rPr>
              <w:t>Screen</w:t>
            </w:r>
          </w:p>
        </w:tc>
        <w:tc>
          <w:tcPr>
            <w:tcW w:type="dxa" w:w="7200"/>
            <w:shd w:val="clear" w:fill="EEF2F9"/>
          </w:tcPr>
          <w:p>
            <w:r/>
            <w:r>
              <w:rPr>
                <w:b/>
                <w:color w:val="1B2233"/>
                <w:sz w:val="18"/>
              </w:rPr>
              <w:t>The question it answers</w:t>
            </w:r>
          </w:p>
        </w:tc>
      </w:tr>
      <w:tr>
        <w:tc>
          <w:tcPr>
            <w:tcW w:type="dxa" w:w="2736"/>
          </w:tcPr>
          <w:p>
            <w:r/>
            <w:r>
              <w:rPr>
                <w:sz w:val="19"/>
              </w:rPr>
              <w:t>Strategy Dashboard</w:t>
            </w:r>
          </w:p>
        </w:tc>
        <w:tc>
          <w:tcPr>
            <w:tcW w:type="dxa" w:w="7200"/>
          </w:tcPr>
          <w:p>
            <w:r/>
            <w:r>
              <w:rPr>
                <w:sz w:val="19"/>
              </w:rPr>
              <w:t>Which journeys are working, and what each channel costs</w:t>
            </w:r>
          </w:p>
        </w:tc>
      </w:tr>
      <w:tr>
        <w:tc>
          <w:tcPr>
            <w:tcW w:type="dxa" w:w="2736"/>
          </w:tcPr>
          <w:p>
            <w:r/>
            <w:r>
              <w:rPr>
                <w:sz w:val="19"/>
              </w:rPr>
              <w:t>Strategy Designer</w:t>
            </w:r>
          </w:p>
        </w:tc>
        <w:tc>
          <w:tcPr>
            <w:tcW w:type="dxa" w:w="7200"/>
          </w:tcPr>
          <w:p>
            <w:r/>
            <w:r>
              <w:rPr>
                <w:sz w:val="19"/>
              </w:rPr>
              <w:t>Building the journey itself</w:t>
            </w:r>
          </w:p>
        </w:tc>
      </w:tr>
      <w:tr>
        <w:tc>
          <w:tcPr>
            <w:tcW w:type="dxa" w:w="2736"/>
          </w:tcPr>
          <w:p>
            <w:r/>
            <w:r>
              <w:rPr>
                <w:sz w:val="19"/>
              </w:rPr>
              <w:t>Strategy Versions</w:t>
            </w:r>
          </w:p>
        </w:tc>
        <w:tc>
          <w:tcPr>
            <w:tcW w:type="dxa" w:w="7200"/>
          </w:tcPr>
          <w:p>
            <w:r/>
            <w:r>
              <w:rPr>
                <w:sz w:val="19"/>
              </w:rPr>
              <w:t>What a strategy used to be, with rollback and branching</w:t>
            </w:r>
          </w:p>
        </w:tc>
      </w:tr>
      <w:tr>
        <w:tc>
          <w:tcPr>
            <w:tcW w:type="dxa" w:w="2736"/>
          </w:tcPr>
          <w:p>
            <w:r/>
            <w:r>
              <w:rPr>
                <w:sz w:val="19"/>
              </w:rPr>
              <w:t>Strategy Simulation</w:t>
            </w:r>
          </w:p>
        </w:tc>
        <w:tc>
          <w:tcPr>
            <w:tcW w:type="dxa" w:w="7200"/>
          </w:tcPr>
          <w:p>
            <w:r/>
            <w:r>
              <w:rPr>
                <w:sz w:val="19"/>
              </w:rPr>
              <w:t>What would this journey do if we ran it?</w:t>
            </w:r>
          </w:p>
        </w:tc>
      </w:tr>
    </w:tbl>
    <w:p>
      <w:pPr>
        <w:spacing w:after="40"/>
      </w:pPr>
    </w:p>
    <w:p>
      <w:pPr>
        <w:pStyle w:val="Heading2"/>
        <w:spacing w:before="240" w:after="80"/>
      </w:pPr>
      <w:r>
        <w:rPr>
          <w:rFonts w:ascii="Calibri" w:hAnsi="Calibri"/>
          <w:color w:val="1B2233"/>
        </w:rPr>
        <w:t>Recovery Management</w:t>
      </w:r>
    </w:p>
    <w:tbl>
      <w:tblPr>
        <w:tblStyle w:val="TableGrid"/>
        <w:tblW w:type="auto" w:w="0"/>
        <w:jc w:val="left"/>
        <w:tblLook w:firstColumn="1" w:firstRow="1" w:lastColumn="0" w:lastRow="0" w:noHBand="0" w:noVBand="1" w:val="04A0"/>
      </w:tblPr>
      <w:tblGrid>
        <w:gridCol w:w="4896"/>
        <w:gridCol w:w="4896"/>
      </w:tblGrid>
      <w:tr>
        <w:tc>
          <w:tcPr>
            <w:tcW w:type="dxa" w:w="2736"/>
            <w:shd w:val="clear" w:fill="EEF2F9"/>
          </w:tcPr>
          <w:p>
            <w:r/>
            <w:r>
              <w:rPr>
                <w:b/>
                <w:color w:val="1B2233"/>
                <w:sz w:val="18"/>
              </w:rPr>
              <w:t>Screen</w:t>
            </w:r>
          </w:p>
        </w:tc>
        <w:tc>
          <w:tcPr>
            <w:tcW w:type="dxa" w:w="7200"/>
            <w:shd w:val="clear" w:fill="EEF2F9"/>
          </w:tcPr>
          <w:p>
            <w:r/>
            <w:r>
              <w:rPr>
                <w:b/>
                <w:color w:val="1B2233"/>
                <w:sz w:val="18"/>
              </w:rPr>
              <w:t>The question it answers</w:t>
            </w:r>
          </w:p>
        </w:tc>
      </w:tr>
      <w:tr>
        <w:tc>
          <w:tcPr>
            <w:tcW w:type="dxa" w:w="2736"/>
          </w:tcPr>
          <w:p>
            <w:r/>
            <w:r>
              <w:rPr>
                <w:sz w:val="19"/>
              </w:rPr>
              <w:t>Recovery Workspace</w:t>
            </w:r>
          </w:p>
        </w:tc>
        <w:tc>
          <w:tcPr>
            <w:tcW w:type="dxa" w:w="7200"/>
          </w:tcPr>
          <w:p>
            <w:r/>
            <w:r>
              <w:rPr>
                <w:sz w:val="19"/>
              </w:rPr>
              <w:t>What is out with agencies and in legal, and what came back</w:t>
            </w:r>
          </w:p>
        </w:tc>
      </w:tr>
    </w:tbl>
    <w:p>
      <w:pPr>
        <w:spacing w:after="40"/>
      </w:pPr>
    </w:p>
    <w:p>
      <w:pPr>
        <w:pStyle w:val="Heading2"/>
        <w:spacing w:before="240" w:after="80"/>
      </w:pPr>
      <w:r>
        <w:rPr>
          <w:rFonts w:ascii="Calibri" w:hAnsi="Calibri"/>
          <w:color w:val="1B2233"/>
        </w:rPr>
        <w:t>Operations Management</w:t>
      </w:r>
    </w:p>
    <w:tbl>
      <w:tblPr>
        <w:tblStyle w:val="TableGrid"/>
        <w:tblW w:type="auto" w:w="0"/>
        <w:jc w:val="left"/>
        <w:tblLook w:firstColumn="1" w:firstRow="1" w:lastColumn="0" w:lastRow="0" w:noHBand="0" w:noVBand="1" w:val="04A0"/>
      </w:tblPr>
      <w:tblGrid>
        <w:gridCol w:w="4896"/>
        <w:gridCol w:w="4896"/>
      </w:tblGrid>
      <w:tr>
        <w:tc>
          <w:tcPr>
            <w:tcW w:type="dxa" w:w="2736"/>
            <w:shd w:val="clear" w:fill="EEF2F9"/>
          </w:tcPr>
          <w:p>
            <w:r/>
            <w:r>
              <w:rPr>
                <w:b/>
                <w:color w:val="1B2233"/>
                <w:sz w:val="18"/>
              </w:rPr>
              <w:t>Screen</w:t>
            </w:r>
          </w:p>
        </w:tc>
        <w:tc>
          <w:tcPr>
            <w:tcW w:type="dxa" w:w="7200"/>
            <w:shd w:val="clear" w:fill="EEF2F9"/>
          </w:tcPr>
          <w:p>
            <w:r/>
            <w:r>
              <w:rPr>
                <w:b/>
                <w:color w:val="1B2233"/>
                <w:sz w:val="18"/>
              </w:rPr>
              <w:t>The question it answers</w:t>
            </w:r>
          </w:p>
        </w:tc>
      </w:tr>
      <w:tr>
        <w:tc>
          <w:tcPr>
            <w:tcW w:type="dxa" w:w="2736"/>
          </w:tcPr>
          <w:p>
            <w:r/>
            <w:r>
              <w:rPr>
                <w:sz w:val="19"/>
              </w:rPr>
              <w:t>Risk Analytics</w:t>
            </w:r>
          </w:p>
        </w:tc>
        <w:tc>
          <w:tcPr>
            <w:tcW w:type="dxa" w:w="7200"/>
          </w:tcPr>
          <w:p>
            <w:r/>
            <w:r>
              <w:rPr>
                <w:sz w:val="19"/>
              </w:rPr>
              <w:t>How the risk scores are built and how the model performs</w:t>
            </w:r>
          </w:p>
        </w:tc>
      </w:tr>
      <w:tr>
        <w:tc>
          <w:tcPr>
            <w:tcW w:type="dxa" w:w="2736"/>
          </w:tcPr>
          <w:p>
            <w:r/>
            <w:r>
              <w:rPr>
                <w:sz w:val="19"/>
              </w:rPr>
              <w:t>Agent Performance</w:t>
            </w:r>
          </w:p>
        </w:tc>
        <w:tc>
          <w:tcPr>
            <w:tcW w:type="dxa" w:w="7200"/>
          </w:tcPr>
          <w:p>
            <w:r/>
            <w:r>
              <w:rPr>
                <w:sz w:val="19"/>
              </w:rPr>
              <w:t>One collector's month, against target and against the floor</w:t>
            </w:r>
          </w:p>
        </w:tc>
      </w:tr>
      <w:tr>
        <w:tc>
          <w:tcPr>
            <w:tcW w:type="dxa" w:w="2736"/>
          </w:tcPr>
          <w:p>
            <w:r/>
            <w:r>
              <w:rPr>
                <w:sz w:val="19"/>
              </w:rPr>
              <w:t>AI Guardrails</w:t>
            </w:r>
          </w:p>
        </w:tc>
        <w:tc>
          <w:tcPr>
            <w:tcW w:type="dxa" w:w="7200"/>
          </w:tcPr>
          <w:p>
            <w:r/>
            <w:r>
              <w:rPr>
                <w:sz w:val="19"/>
              </w:rPr>
              <w:t>What the assistant may say, and what it has caught</w:t>
            </w:r>
          </w:p>
        </w:tc>
      </w:tr>
      <w:tr>
        <w:tc>
          <w:tcPr>
            <w:tcW w:type="dxa" w:w="2736"/>
          </w:tcPr>
          <w:p>
            <w:r/>
            <w:r>
              <w:rPr>
                <w:sz w:val="19"/>
              </w:rPr>
              <w:t>AI Engagement Center</w:t>
            </w:r>
          </w:p>
        </w:tc>
        <w:tc>
          <w:tcPr>
            <w:tcW w:type="dxa" w:w="7200"/>
          </w:tcPr>
          <w:p>
            <w:r/>
            <w:r>
              <w:rPr>
                <w:sz w:val="19"/>
              </w:rPr>
              <w:t>The live handoff queue, and every conversation ever had</w:t>
            </w:r>
          </w:p>
        </w:tc>
      </w:tr>
    </w:tbl>
    <w:p>
      <w:pPr>
        <w:spacing w:after="40"/>
      </w:pPr>
    </w:p>
    <w:p>
      <w:r>
        <w:br w:type="page"/>
      </w:r>
    </w:p>
    <w:p>
      <w:pPr>
        <w:pStyle w:val="Heading1"/>
        <w:spacing w:before="360" w:after="80"/>
      </w:pPr>
      <w:r>
        <w:rPr>
          <w:rFonts w:ascii="Calibri" w:hAnsi="Calibri"/>
          <w:color w:val="2C5AD8"/>
        </w:rPr>
        <w:t>Part 2 — Three customers, three stories</w:t>
      </w:r>
    </w:p>
    <w:p>
      <w:r>
        <w:rPr>
          <w:b w:val="0"/>
          <w:i w:val="0"/>
          <w:sz w:val="21"/>
        </w:rPr>
        <w:t>The same product, three very different outcomes. Read these as narratives; the tables under each step are the data that produced them.</w:t>
      </w:r>
    </w:p>
    <w:p>
      <w:pPr>
        <w:pStyle w:val="Heading2"/>
        <w:spacing w:before="240" w:after="80"/>
      </w:pPr>
      <w:r>
        <w:rPr>
          <w:rFonts w:ascii="Calibri" w:hAnsi="Calibri"/>
          <w:color w:val="1B2233"/>
        </w:rPr>
        <w:t>Priya Raghavan — the escalation</w:t>
      </w:r>
    </w:p>
    <w:p>
      <w:r>
        <w:rPr>
          <w:b w:val="0"/>
          <w:i w:val="0"/>
          <w:sz w:val="21"/>
        </w:rPr>
        <w:t>Retail supervisor, Dubai. Credit score 548, risk High at 81.5, behaviour recorded as “Evasive”. Monthly income $7,800.00. She is on Mobile Postpaid — Unlimited 5G 200 — with a credit limit of $3,000.00.</w:t>
      </w:r>
    </w:p>
    <w:p>
      <w:r>
        <w:rPr>
          <w:b/>
          <w:i w:val="0"/>
          <w:sz w:val="21"/>
        </w:rPr>
        <w:t>How she got here</w:t>
      </w:r>
    </w:p>
    <w:tbl>
      <w:tblPr>
        <w:tblStyle w:val="TableGrid"/>
        <w:tblW w:type="auto" w:w="0"/>
        <w:jc w:val="left"/>
        <w:tblLook w:firstColumn="1" w:firstRow="1" w:lastColumn="0" w:lastRow="0" w:noHBand="0" w:noVBand="1" w:val="04A0"/>
      </w:tblPr>
      <w:tblGrid>
        <w:gridCol w:w="1632"/>
        <w:gridCol w:w="1632"/>
        <w:gridCol w:w="1632"/>
        <w:gridCol w:w="1632"/>
        <w:gridCol w:w="1632"/>
        <w:gridCol w:w="1632"/>
      </w:tblGrid>
      <w:tr>
        <w:tc>
          <w:tcPr>
            <w:tcW w:type="dxa" w:w="720"/>
            <w:shd w:val="clear" w:fill="EEF2F9"/>
          </w:tcPr>
          <w:p>
            <w:r/>
            <w:r>
              <w:rPr>
                <w:b/>
                <w:color w:val="1B2233"/>
                <w:sz w:val="18"/>
              </w:rPr>
              <w:t>Day</w:t>
            </w:r>
          </w:p>
        </w:tc>
        <w:tc>
          <w:tcPr>
            <w:tcW w:type="dxa" w:w="1872"/>
            <w:shd w:val="clear" w:fill="EEF2F9"/>
          </w:tcPr>
          <w:p>
            <w:r/>
            <w:r>
              <w:rPr>
                <w:b/>
                <w:color w:val="1B2233"/>
                <w:sz w:val="18"/>
              </w:rPr>
              <w:t>Invoice</w:t>
            </w:r>
          </w:p>
        </w:tc>
        <w:tc>
          <w:tcPr>
            <w:tcW w:type="dxa" w:w="2880"/>
            <w:shd w:val="clear" w:fill="EEF2F9"/>
          </w:tcPr>
          <w:p>
            <w:r/>
            <w:r>
              <w:rPr>
                <w:b/>
                <w:color w:val="1B2233"/>
                <w:sz w:val="18"/>
              </w:rPr>
              <w:t>For</w:t>
            </w:r>
          </w:p>
        </w:tc>
        <w:tc>
          <w:tcPr>
            <w:tcW w:type="dxa" w:w="1440"/>
            <w:shd w:val="clear" w:fill="EEF2F9"/>
          </w:tcPr>
          <w:p>
            <w:pPr>
              <w:jc w:val="right"/>
            </w:pPr>
            <w:r/>
            <w:r>
              <w:rPr>
                <w:b/>
                <w:color w:val="1B2233"/>
                <w:sz w:val="18"/>
              </w:rPr>
              <w:t>Billed</w:t>
            </w:r>
          </w:p>
        </w:tc>
        <w:tc>
          <w:tcPr>
            <w:tcW w:type="dxa" w:w="1296"/>
            <w:shd w:val="clear" w:fill="EEF2F9"/>
          </w:tcPr>
          <w:p>
            <w:pPr>
              <w:jc w:val="right"/>
            </w:pPr>
            <w:r/>
            <w:r>
              <w:rPr>
                <w:b/>
                <w:color w:val="1B2233"/>
                <w:sz w:val="18"/>
              </w:rPr>
              <w:t>Paid</w:t>
            </w:r>
          </w:p>
        </w:tc>
        <w:tc>
          <w:tcPr>
            <w:tcW w:type="dxa" w:w="1152"/>
            <w:shd w:val="clear" w:fill="EEF2F9"/>
          </w:tcPr>
          <w:p>
            <w:r/>
            <w:r>
              <w:rPr>
                <w:b/>
                <w:color w:val="1B2233"/>
                <w:sz w:val="18"/>
              </w:rPr>
              <w:t>Status</w:t>
            </w:r>
          </w:p>
        </w:tc>
      </w:tr>
      <w:tr>
        <w:tc>
          <w:tcPr>
            <w:tcW w:type="dxa" w:w="720"/>
          </w:tcPr>
          <w:p>
            <w:r/>
            <w:r>
              <w:rPr>
                <w:sz w:val="19"/>
              </w:rPr>
              <w:t>−112</w:t>
            </w:r>
          </w:p>
        </w:tc>
        <w:tc>
          <w:tcPr>
            <w:tcW w:type="dxa" w:w="1872"/>
          </w:tcPr>
          <w:p>
            <w:r/>
            <w:r>
              <w:rPr>
                <w:sz w:val="19"/>
              </w:rPr>
              <w:t>INV-2026-2034</w:t>
            </w:r>
          </w:p>
        </w:tc>
        <w:tc>
          <w:tcPr>
            <w:tcW w:type="dxa" w:w="2880"/>
          </w:tcPr>
          <w:p>
            <w:r/>
            <w:r>
              <w:rPr>
                <w:sz w:val="19"/>
              </w:rPr>
              <w:t>Monthly plan + international roami</w:t>
            </w:r>
          </w:p>
        </w:tc>
        <w:tc>
          <w:tcPr>
            <w:tcW w:type="dxa" w:w="1440"/>
          </w:tcPr>
          <w:p>
            <w:pPr>
              <w:jc w:val="right"/>
            </w:pPr>
            <w:r/>
            <w:r>
              <w:rPr>
                <w:sz w:val="19"/>
              </w:rPr>
              <w:t>$1,085.00</w:t>
            </w:r>
          </w:p>
        </w:tc>
        <w:tc>
          <w:tcPr>
            <w:tcW w:type="dxa" w:w="1296"/>
          </w:tcPr>
          <w:p>
            <w:pPr>
              <w:jc w:val="right"/>
            </w:pPr>
            <w:r/>
            <w:r>
              <w:rPr>
                <w:sz w:val="19"/>
              </w:rPr>
              <w:t>$750.00</w:t>
            </w:r>
          </w:p>
        </w:tc>
        <w:tc>
          <w:tcPr>
            <w:tcW w:type="dxa" w:w="1152"/>
          </w:tcPr>
          <w:p>
            <w:r/>
            <w:r>
              <w:rPr>
                <w:sz w:val="19"/>
              </w:rPr>
              <w:t>OVERDUE</w:t>
            </w:r>
          </w:p>
        </w:tc>
      </w:tr>
      <w:tr>
        <w:tc>
          <w:tcPr>
            <w:tcW w:type="dxa" w:w="720"/>
          </w:tcPr>
          <w:p>
            <w:r/>
            <w:r>
              <w:rPr>
                <w:sz w:val="19"/>
              </w:rPr>
              <w:t>−82</w:t>
            </w:r>
          </w:p>
        </w:tc>
        <w:tc>
          <w:tcPr>
            <w:tcW w:type="dxa" w:w="1872"/>
          </w:tcPr>
          <w:p>
            <w:r/>
            <w:r>
              <w:rPr>
                <w:sz w:val="19"/>
              </w:rPr>
              <w:t>INV-2026-2035</w:t>
            </w:r>
          </w:p>
        </w:tc>
        <w:tc>
          <w:tcPr>
            <w:tcW w:type="dxa" w:w="2880"/>
          </w:tcPr>
          <w:p>
            <w:r/>
            <w:r>
              <w:rPr>
                <w:sz w:val="19"/>
              </w:rPr>
              <w:t>Monthly plan + data add-on</w:t>
            </w:r>
          </w:p>
        </w:tc>
        <w:tc>
          <w:tcPr>
            <w:tcW w:type="dxa" w:w="1440"/>
          </w:tcPr>
          <w:p>
            <w:pPr>
              <w:jc w:val="right"/>
            </w:pPr>
            <w:r/>
            <w:r>
              <w:rPr>
                <w:sz w:val="19"/>
              </w:rPr>
              <w:t>$1,065.00</w:t>
            </w:r>
          </w:p>
        </w:tc>
        <w:tc>
          <w:tcPr>
            <w:tcW w:type="dxa" w:w="1296"/>
          </w:tcPr>
          <w:p>
            <w:pPr>
              <w:jc w:val="right"/>
            </w:pPr>
            <w:r/>
            <w:r>
              <w:rPr>
                <w:sz w:val="19"/>
              </w:rPr>
              <w:t>$0.00</w:t>
            </w:r>
          </w:p>
        </w:tc>
        <w:tc>
          <w:tcPr>
            <w:tcW w:type="dxa" w:w="1152"/>
          </w:tcPr>
          <w:p>
            <w:r/>
            <w:r>
              <w:rPr>
                <w:sz w:val="19"/>
              </w:rPr>
              <w:t>OVERDUE</w:t>
            </w:r>
          </w:p>
        </w:tc>
      </w:tr>
      <w:tr>
        <w:tc>
          <w:tcPr>
            <w:tcW w:type="dxa" w:w="720"/>
          </w:tcPr>
          <w:p>
            <w:r/>
            <w:r>
              <w:rPr>
                <w:sz w:val="19"/>
              </w:rPr>
              <w:t>−52</w:t>
            </w:r>
          </w:p>
        </w:tc>
        <w:tc>
          <w:tcPr>
            <w:tcW w:type="dxa" w:w="1872"/>
          </w:tcPr>
          <w:p>
            <w:r/>
            <w:r>
              <w:rPr>
                <w:sz w:val="19"/>
              </w:rPr>
              <w:t>INV-2026-2036</w:t>
            </w:r>
          </w:p>
        </w:tc>
        <w:tc>
          <w:tcPr>
            <w:tcW w:type="dxa" w:w="2880"/>
          </w:tcPr>
          <w:p>
            <w:r/>
            <w:r>
              <w:rPr>
                <w:sz w:val="19"/>
              </w:rPr>
              <w:t>Monthly plan + late payment fee</w:t>
            </w:r>
          </w:p>
        </w:tc>
        <w:tc>
          <w:tcPr>
            <w:tcW w:type="dxa" w:w="1440"/>
          </w:tcPr>
          <w:p>
            <w:pPr>
              <w:jc w:val="right"/>
            </w:pPr>
            <w:r/>
            <w:r>
              <w:rPr>
                <w:sz w:val="19"/>
              </w:rPr>
              <w:t>$1,065.00</w:t>
            </w:r>
          </w:p>
        </w:tc>
        <w:tc>
          <w:tcPr>
            <w:tcW w:type="dxa" w:w="1296"/>
          </w:tcPr>
          <w:p>
            <w:pPr>
              <w:jc w:val="right"/>
            </w:pPr>
            <w:r/>
            <w:r>
              <w:rPr>
                <w:sz w:val="19"/>
              </w:rPr>
              <w:t>$0.00</w:t>
            </w:r>
          </w:p>
        </w:tc>
        <w:tc>
          <w:tcPr>
            <w:tcW w:type="dxa" w:w="1152"/>
          </w:tcPr>
          <w:p>
            <w:r/>
            <w:r>
              <w:rPr>
                <w:sz w:val="19"/>
              </w:rPr>
              <w:t>OVERDUE</w:t>
            </w:r>
          </w:p>
        </w:tc>
      </w:tr>
    </w:tbl>
    <w:p>
      <w:pPr>
        <w:spacing w:after="40"/>
      </w:pPr>
    </w:p>
    <w:p>
      <w:r>
        <w:rPr>
          <w:b w:val="0"/>
          <w:i w:val="0"/>
          <w:sz w:val="21"/>
        </w:rPr>
        <w:t>Three cycles billed $3,215.00; $750.00 has been received. She owes $2,465.00 and is 96 days past due, which puts her in the 90+ bucket.</w:t>
      </w:r>
    </w:p>
    <w:p>
      <w:r>
        <w:rPr>
          <w:b/>
          <w:i w:val="0"/>
          <w:sz w:val="21"/>
        </w:rPr>
        <w:t>What the strategy did before anyone picked up the phone</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720"/>
            <w:shd w:val="clear" w:fill="EEF2F9"/>
          </w:tcPr>
          <w:p>
            <w:r/>
            <w:r>
              <w:rPr>
                <w:b/>
                <w:color w:val="1B2233"/>
                <w:sz w:val="18"/>
              </w:rPr>
              <w:t>Day</w:t>
            </w:r>
          </w:p>
        </w:tc>
        <w:tc>
          <w:tcPr>
            <w:tcW w:type="dxa" w:w="3168"/>
            <w:shd w:val="clear" w:fill="EEF2F9"/>
          </w:tcPr>
          <w:p>
            <w:r/>
            <w:r>
              <w:rPr>
                <w:b/>
                <w:color w:val="1B2233"/>
                <w:sz w:val="18"/>
              </w:rPr>
              <w:t>Step</w:t>
            </w:r>
          </w:p>
        </w:tc>
        <w:tc>
          <w:tcPr>
            <w:tcW w:type="dxa" w:w="1440"/>
            <w:shd w:val="clear" w:fill="EEF2F9"/>
          </w:tcPr>
          <w:p>
            <w:r/>
            <w:r>
              <w:rPr>
                <w:b/>
                <w:color w:val="1B2233"/>
                <w:sz w:val="18"/>
              </w:rPr>
              <w:t>Channel</w:t>
            </w:r>
          </w:p>
        </w:tc>
        <w:tc>
          <w:tcPr>
            <w:tcW w:type="dxa" w:w="1872"/>
            <w:shd w:val="clear" w:fill="EEF2F9"/>
          </w:tcPr>
          <w:p>
            <w:r/>
            <w:r>
              <w:rPr>
                <w:b/>
                <w:color w:val="1B2233"/>
                <w:sz w:val="18"/>
              </w:rPr>
              <w:t>Outcome</w:t>
            </w:r>
          </w:p>
        </w:tc>
        <w:tc>
          <w:tcPr>
            <w:tcW w:type="dxa" w:w="1152"/>
            <w:shd w:val="clear" w:fill="EEF2F9"/>
          </w:tcPr>
          <w:p>
            <w:pPr>
              <w:jc w:val="right"/>
            </w:pPr>
            <w:r/>
            <w:r>
              <w:rPr>
                <w:b/>
                <w:color w:val="1B2233"/>
                <w:sz w:val="18"/>
              </w:rPr>
              <w:t>Cost</w:t>
            </w:r>
          </w:p>
        </w:tc>
      </w:tr>
      <w:tr>
        <w:tc>
          <w:tcPr>
            <w:tcW w:type="dxa" w:w="720"/>
          </w:tcPr>
          <w:p>
            <w:r/>
            <w:r>
              <w:rPr>
                <w:sz w:val="19"/>
              </w:rPr>
              <w:t>−95</w:t>
            </w:r>
          </w:p>
        </w:tc>
        <w:tc>
          <w:tcPr>
            <w:tcW w:type="dxa" w:w="3168"/>
          </w:tcPr>
          <w:p>
            <w:r/>
            <w:r>
              <w:rPr>
                <w:sz w:val="19"/>
              </w:rPr>
              <w:t>SMS + Email combo</w:t>
            </w:r>
          </w:p>
        </w:tc>
        <w:tc>
          <w:tcPr>
            <w:tcW w:type="dxa" w:w="1440"/>
          </w:tcPr>
          <w:p>
            <w:r/>
            <w:r>
              <w:rPr>
                <w:sz w:val="19"/>
              </w:rPr>
              <w:t>SMS</w:t>
            </w:r>
          </w:p>
        </w:tc>
        <w:tc>
          <w:tcPr>
            <w:tcW w:type="dxa" w:w="1872"/>
          </w:tcPr>
          <w:p>
            <w:r/>
            <w:r>
              <w:rPr>
                <w:sz w:val="19"/>
              </w:rPr>
              <w:t>DELIVERED</w:t>
            </w:r>
          </w:p>
        </w:tc>
        <w:tc>
          <w:tcPr>
            <w:tcW w:type="dxa" w:w="1152"/>
          </w:tcPr>
          <w:p>
            <w:pPr>
              <w:jc w:val="right"/>
            </w:pPr>
            <w:r/>
            <w:r>
              <w:rPr>
                <w:sz w:val="19"/>
              </w:rPr>
              <w:t>$0.015</w:t>
            </w:r>
          </w:p>
        </w:tc>
      </w:tr>
      <w:tr>
        <w:tc>
          <w:tcPr>
            <w:tcW w:type="dxa" w:w="720"/>
          </w:tcPr>
          <w:p>
            <w:r/>
            <w:r>
              <w:rPr>
                <w:sz w:val="19"/>
              </w:rPr>
              <w:t>−95</w:t>
            </w:r>
          </w:p>
        </w:tc>
        <w:tc>
          <w:tcPr>
            <w:tcW w:type="dxa" w:w="3168"/>
          </w:tcPr>
          <w:p>
            <w:r/>
            <w:r>
              <w:rPr>
                <w:sz w:val="19"/>
              </w:rPr>
              <w:t>SMS + Email combo</w:t>
            </w:r>
          </w:p>
        </w:tc>
        <w:tc>
          <w:tcPr>
            <w:tcW w:type="dxa" w:w="1440"/>
          </w:tcPr>
          <w:p>
            <w:r/>
            <w:r>
              <w:rPr>
                <w:sz w:val="19"/>
              </w:rPr>
              <w:t>Email</w:t>
            </w:r>
          </w:p>
        </w:tc>
        <w:tc>
          <w:tcPr>
            <w:tcW w:type="dxa" w:w="1872"/>
          </w:tcPr>
          <w:p>
            <w:r/>
            <w:r>
              <w:rPr>
                <w:sz w:val="19"/>
              </w:rPr>
              <w:t>OPENED</w:t>
            </w:r>
          </w:p>
        </w:tc>
        <w:tc>
          <w:tcPr>
            <w:tcW w:type="dxa" w:w="1152"/>
          </w:tcPr>
          <w:p>
            <w:pPr>
              <w:jc w:val="right"/>
            </w:pPr>
            <w:r/>
            <w:r>
              <w:rPr>
                <w:sz w:val="19"/>
              </w:rPr>
              <w:t>$0.002</w:t>
            </w:r>
          </w:p>
        </w:tc>
      </w:tr>
      <w:tr>
        <w:tc>
          <w:tcPr>
            <w:tcW w:type="dxa" w:w="720"/>
          </w:tcPr>
          <w:p>
            <w:r/>
            <w:r>
              <w:rPr>
                <w:sz w:val="19"/>
              </w:rPr>
              <w:t>−88</w:t>
            </w:r>
          </w:p>
        </w:tc>
        <w:tc>
          <w:tcPr>
            <w:tcW w:type="dxa" w:w="3168"/>
          </w:tcPr>
          <w:p>
            <w:r/>
            <w:r>
              <w:rPr>
                <w:sz w:val="19"/>
              </w:rPr>
              <w:t>AI Dialer attempt</w:t>
            </w:r>
          </w:p>
        </w:tc>
        <w:tc>
          <w:tcPr>
            <w:tcW w:type="dxa" w:w="1440"/>
          </w:tcPr>
          <w:p>
            <w:r/>
            <w:r>
              <w:rPr>
                <w:sz w:val="19"/>
              </w:rPr>
              <w:t>Dialer</w:t>
            </w:r>
          </w:p>
        </w:tc>
        <w:tc>
          <w:tcPr>
            <w:tcW w:type="dxa" w:w="1872"/>
          </w:tcPr>
          <w:p>
            <w:r/>
            <w:r>
              <w:rPr>
                <w:sz w:val="19"/>
              </w:rPr>
              <w:t>NO_ANSWER</w:t>
            </w:r>
          </w:p>
        </w:tc>
        <w:tc>
          <w:tcPr>
            <w:tcW w:type="dxa" w:w="1152"/>
          </w:tcPr>
          <w:p>
            <w:pPr>
              <w:jc w:val="right"/>
            </w:pPr>
            <w:r/>
            <w:r>
              <w:rPr>
                <w:sz w:val="19"/>
              </w:rPr>
              <w:t>$0.450</w:t>
            </w:r>
          </w:p>
        </w:tc>
      </w:tr>
      <w:tr>
        <w:tc>
          <w:tcPr>
            <w:tcW w:type="dxa" w:w="720"/>
          </w:tcPr>
          <w:p>
            <w:r/>
            <w:r>
              <w:rPr>
                <w:sz w:val="19"/>
              </w:rPr>
              <w:t>−80</w:t>
            </w:r>
          </w:p>
        </w:tc>
        <w:tc>
          <w:tcPr>
            <w:tcW w:type="dxa" w:w="3168"/>
          </w:tcPr>
          <w:p>
            <w:r/>
            <w:r>
              <w:rPr>
                <w:sz w:val="19"/>
              </w:rPr>
              <w:t>AI Voicebot negotiation</w:t>
            </w:r>
          </w:p>
        </w:tc>
        <w:tc>
          <w:tcPr>
            <w:tcW w:type="dxa" w:w="1440"/>
          </w:tcPr>
          <w:p>
            <w:r/>
            <w:r>
              <w:rPr>
                <w:sz w:val="19"/>
              </w:rPr>
              <w:t>WhatsApp</w:t>
            </w:r>
          </w:p>
        </w:tc>
        <w:tc>
          <w:tcPr>
            <w:tcW w:type="dxa" w:w="1872"/>
          </w:tcPr>
          <w:p>
            <w:r/>
            <w:r>
              <w:rPr>
                <w:sz w:val="19"/>
              </w:rPr>
              <w:t>CONTACTED</w:t>
            </w:r>
          </w:p>
        </w:tc>
        <w:tc>
          <w:tcPr>
            <w:tcW w:type="dxa" w:w="1152"/>
          </w:tcPr>
          <w:p>
            <w:pPr>
              <w:jc w:val="right"/>
            </w:pPr>
            <w:r/>
            <w:r>
              <w:rPr>
                <w:sz w:val="19"/>
              </w:rPr>
              <w:t>$0.035</w:t>
            </w:r>
          </w:p>
        </w:tc>
      </w:tr>
    </w:tbl>
    <w:p>
      <w:pPr>
        <w:spacing w:after="40"/>
      </w:pPr>
    </w:p>
    <w:p>
      <w:r>
        <w:rPr>
          <w:b w:val="0"/>
          <w:i w:val="0"/>
          <w:sz w:val="21"/>
        </w:rPr>
        <w:t>Four automated touches. The dialer alone costs thirty times an SMS and was the one nobody answered — which is the trade-off the Strategy Dashboard exists to make visible.</w:t>
      </w:r>
    </w:p>
    <w:p>
      <w:r>
        <w:rPr>
          <w:b/>
          <w:i w:val="0"/>
          <w:sz w:val="21"/>
        </w:rPr>
        <w:t>The promises</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016"/>
            <w:shd w:val="clear" w:fill="EEF2F9"/>
          </w:tcPr>
          <w:p>
            <w:r/>
            <w:r>
              <w:rPr>
                <w:b/>
                <w:color w:val="1B2233"/>
                <w:sz w:val="18"/>
              </w:rPr>
              <w:t>Promise</w:t>
            </w:r>
          </w:p>
        </w:tc>
        <w:tc>
          <w:tcPr>
            <w:tcW w:type="dxa" w:w="1584"/>
            <w:shd w:val="clear" w:fill="EEF2F9"/>
          </w:tcPr>
          <w:p>
            <w:pPr>
              <w:jc w:val="right"/>
            </w:pPr>
            <w:r/>
            <w:r>
              <w:rPr>
                <w:b/>
                <w:color w:val="1B2233"/>
                <w:sz w:val="18"/>
              </w:rPr>
              <w:t>Amount</w:t>
            </w:r>
          </w:p>
        </w:tc>
        <w:tc>
          <w:tcPr>
            <w:tcW w:type="dxa" w:w="1584"/>
            <w:shd w:val="clear" w:fill="EEF2F9"/>
          </w:tcPr>
          <w:p>
            <w:pPr>
              <w:jc w:val="right"/>
            </w:pPr>
            <w:r/>
            <w:r>
              <w:rPr>
                <w:b/>
                <w:color w:val="1B2233"/>
                <w:sz w:val="18"/>
              </w:rPr>
              <w:t>Received</w:t>
            </w:r>
          </w:p>
        </w:tc>
        <w:tc>
          <w:tcPr>
            <w:tcW w:type="dxa" w:w="1584"/>
            <w:shd w:val="clear" w:fill="EEF2F9"/>
          </w:tcPr>
          <w:p>
            <w:r/>
            <w:r>
              <w:rPr>
                <w:b/>
                <w:color w:val="1B2233"/>
                <w:sz w:val="18"/>
              </w:rPr>
              <w:t>Channel</w:t>
            </w:r>
          </w:p>
        </w:tc>
        <w:tc>
          <w:tcPr>
            <w:tcW w:type="dxa" w:w="1440"/>
            <w:shd w:val="clear" w:fill="EEF2F9"/>
          </w:tcPr>
          <w:p>
            <w:r/>
            <w:r>
              <w:rPr>
                <w:b/>
                <w:color w:val="1B2233"/>
                <w:sz w:val="18"/>
              </w:rPr>
              <w:t>Result</w:t>
            </w:r>
          </w:p>
        </w:tc>
      </w:tr>
      <w:tr>
        <w:tc>
          <w:tcPr>
            <w:tcW w:type="dxa" w:w="2016"/>
          </w:tcPr>
          <w:p>
            <w:r/>
            <w:r>
              <w:rPr>
                <w:sz w:val="19"/>
              </w:rPr>
              <w:t>PTP-R001253</w:t>
            </w:r>
          </w:p>
        </w:tc>
        <w:tc>
          <w:tcPr>
            <w:tcW w:type="dxa" w:w="1584"/>
          </w:tcPr>
          <w:p>
            <w:pPr>
              <w:jc w:val="right"/>
            </w:pPr>
            <w:r/>
            <w:r>
              <w:rPr>
                <w:sz w:val="19"/>
              </w:rPr>
              <w:t>$900.00</w:t>
            </w:r>
          </w:p>
        </w:tc>
        <w:tc>
          <w:tcPr>
            <w:tcW w:type="dxa" w:w="1584"/>
          </w:tcPr>
          <w:p>
            <w:pPr>
              <w:jc w:val="right"/>
            </w:pPr>
            <w:r/>
            <w:r>
              <w:rPr>
                <w:sz w:val="19"/>
              </w:rPr>
              <w:t>$0.00</w:t>
            </w:r>
          </w:p>
        </w:tc>
        <w:tc>
          <w:tcPr>
            <w:tcW w:type="dxa" w:w="1584"/>
          </w:tcPr>
          <w:p>
            <w:r/>
            <w:r>
              <w:rPr>
                <w:sz w:val="19"/>
              </w:rPr>
              <w:t>WhatsApp</w:t>
            </w:r>
          </w:p>
        </w:tc>
        <w:tc>
          <w:tcPr>
            <w:tcW w:type="dxa" w:w="1440"/>
          </w:tcPr>
          <w:p>
            <w:r/>
            <w:r>
              <w:rPr>
                <w:sz w:val="19"/>
              </w:rPr>
              <w:t>BROKEN</w:t>
            </w:r>
          </w:p>
        </w:tc>
      </w:tr>
      <w:tr>
        <w:tc>
          <w:tcPr>
            <w:tcW w:type="dxa" w:w="2016"/>
          </w:tcPr>
          <w:p>
            <w:r/>
            <w:r>
              <w:rPr>
                <w:sz w:val="19"/>
              </w:rPr>
              <w:t>PTP-R001254</w:t>
            </w:r>
          </w:p>
        </w:tc>
        <w:tc>
          <w:tcPr>
            <w:tcW w:type="dxa" w:w="1584"/>
          </w:tcPr>
          <w:p>
            <w:pPr>
              <w:jc w:val="right"/>
            </w:pPr>
            <w:r/>
            <w:r>
              <w:rPr>
                <w:sz w:val="19"/>
              </w:rPr>
              <w:t>$1,200.00</w:t>
            </w:r>
          </w:p>
        </w:tc>
        <w:tc>
          <w:tcPr>
            <w:tcW w:type="dxa" w:w="1584"/>
          </w:tcPr>
          <w:p>
            <w:pPr>
              <w:jc w:val="right"/>
            </w:pPr>
            <w:r/>
            <w:r>
              <w:rPr>
                <w:sz w:val="19"/>
              </w:rPr>
              <w:t>$400.00</w:t>
            </w:r>
          </w:p>
        </w:tc>
        <w:tc>
          <w:tcPr>
            <w:tcW w:type="dxa" w:w="1584"/>
          </w:tcPr>
          <w:p>
            <w:r/>
            <w:r>
              <w:rPr>
                <w:sz w:val="19"/>
              </w:rPr>
              <w:t>Dialer</w:t>
            </w:r>
          </w:p>
        </w:tc>
        <w:tc>
          <w:tcPr>
            <w:tcW w:type="dxa" w:w="1440"/>
          </w:tcPr>
          <w:p>
            <w:r/>
            <w:r>
              <w:rPr>
                <w:sz w:val="19"/>
              </w:rPr>
              <w:t>BROKEN</w:t>
            </w:r>
          </w:p>
        </w:tc>
      </w:tr>
    </w:tbl>
    <w:p>
      <w:pPr>
        <w:spacing w:after="40"/>
      </w:pPr>
    </w:p>
    <w:p>
      <w:r>
        <w:rPr>
          <w:b w:val="0"/>
          <w:i w:val="0"/>
          <w:sz w:val="21"/>
        </w:rPr>
        <w:t>The first promise broke outright. The second brought $400 of the $1,200 agreed and then stopped — which is worse than nothing, because it consumed an agent's time as well as the customer's goodwill.</w:t>
      </w:r>
    </w:p>
    <w:p>
      <w:r>
        <w:rPr>
          <w:b/>
          <w:i w:val="0"/>
          <w:sz w:val="21"/>
        </w:rPr>
        <w:t>Where the case came from</w:t>
      </w:r>
    </w:p>
    <w:p>
      <w:pPr>
        <w:pStyle w:val="ListBullet"/>
        <w:spacing w:after="60"/>
      </w:pPr>
      <w:r>
        <w:t>CASE-000150 — raised by the system, source BROKEN_PTP, queue LEGAL, owner Robert Kim</w:t>
      </w:r>
    </w:p>
    <w:p>
      <w:r>
        <w:rPr>
          <w:b w:val="0"/>
          <w:i/>
          <w:color w:val="5B6677"/>
          <w:sz w:val="19"/>
        </w:rPr>
        <w:t>“Promise of $900 for 12 Jun was not honoured after three dunning touches. Account is 96 days past due with $2,465 outstanding.”</w:t>
      </w:r>
    </w:p>
    <w:p>
      <w:r>
        <w:rPr>
          <w:b/>
          <w:i w:val="0"/>
          <w:sz w:val="21"/>
        </w:rPr>
        <w:t>The conversation that changed the approach</w:t>
      </w:r>
    </w:p>
    <w:p>
      <w:pPr>
        <w:spacing w:after="40"/>
        <w:ind w:left="403"/>
      </w:pPr>
      <w:r>
        <w:rPr>
          <w:b/>
          <w:color w:val="2C5AD8"/>
          <w:sz w:val="19"/>
        </w:rPr>
        <w:t xml:space="preserve">Assistant:  </w:t>
      </w:r>
      <w:r>
        <w:rPr>
          <w:sz w:val="19"/>
        </w:rPr>
        <w:t>Hello Priya — your account is $2,465 past due. I can set up a payment plan right now if that would help.</w:t>
      </w:r>
    </w:p>
    <w:p>
      <w:pPr>
        <w:spacing w:after="100"/>
        <w:ind w:left="720"/>
      </w:pPr>
      <w:r>
        <w:rPr>
          <w:i/>
          <w:color w:val="5B6677"/>
          <w:sz w:val="17"/>
        </w:rPr>
        <w:t>reasoning: High-risk account, third dunning cycle. Lead with a plan, not a demand.</w:t>
      </w:r>
    </w:p>
    <w:p>
      <w:pPr>
        <w:spacing w:after="40"/>
        <w:ind w:left="403"/>
      </w:pPr>
      <w:r>
        <w:rPr>
          <w:b/>
          <w:color w:val="1B2233"/>
          <w:sz w:val="19"/>
        </w:rPr>
        <w:t xml:space="preserve">Priya:  </w:t>
      </w:r>
      <w:r>
        <w:rPr>
          <w:sz w:val="19"/>
        </w:rPr>
        <w:t>I lost my job last month. I can't pay all of it.</w:t>
      </w:r>
    </w:p>
    <w:p>
      <w:pPr>
        <w:spacing w:after="100"/>
        <w:ind w:left="720"/>
      </w:pPr>
      <w:r>
        <w:rPr>
          <w:i/>
          <w:color w:val="5B6677"/>
          <w:sz w:val="17"/>
        </w:rPr>
        <w:t>reasoning: Hardship signal — soften, do not push the full balance.</w:t>
      </w:r>
    </w:p>
    <w:p>
      <w:pPr>
        <w:spacing w:after="40"/>
        <w:ind w:left="403"/>
      </w:pPr>
      <w:r>
        <w:rPr>
          <w:b/>
          <w:color w:val="2C5AD8"/>
          <w:sz w:val="19"/>
        </w:rPr>
        <w:t xml:space="preserve">Assistant:  </w:t>
      </w:r>
      <w:r>
        <w:rPr>
          <w:sz w:val="19"/>
        </w:rPr>
        <w:t>Thank you for telling me. We can split this over three months, starting with $400. Shall I arrange that?</w:t>
      </w:r>
    </w:p>
    <w:p>
      <w:pPr>
        <w:spacing w:after="100"/>
        <w:ind w:left="720"/>
      </w:pPr>
      <w:r>
        <w:rPr>
          <w:i/>
          <w:color w:val="5B6677"/>
          <w:sz w:val="17"/>
        </w:rPr>
        <w:t>reasoning: Offer the smallest viable first instalment.</w:t>
      </w:r>
    </w:p>
    <w:p>
      <w:pPr>
        <w:spacing w:after="40"/>
        <w:ind w:left="403"/>
      </w:pPr>
      <w:r>
        <w:rPr>
          <w:b/>
          <w:color w:val="1B2233"/>
          <w:sz w:val="19"/>
        </w:rPr>
        <w:t xml:space="preserve">Priya:  </w:t>
      </w:r>
      <w:r>
        <w:rPr>
          <w:sz w:val="19"/>
        </w:rPr>
        <w:t>I want to talk to someone about it.</w:t>
      </w:r>
    </w:p>
    <w:p>
      <w:pPr>
        <w:spacing w:after="100"/>
        <w:ind w:left="720"/>
      </w:pPr>
      <w:r>
        <w:rPr>
          <w:i/>
          <w:color w:val="5B6677"/>
          <w:sz w:val="17"/>
        </w:rPr>
        <w:t>reasoning: Explicit request for a human. Escalate.</w:t>
      </w:r>
    </w:p>
    <w:p>
      <w:r>
        <w:rPr>
          <w:b w:val="0"/>
          <w:i w:val="0"/>
          <w:sz w:val="21"/>
        </w:rPr>
        <w:t>The assistant declared hardship handling and stopped negotiating the moment she asked for a person. That is a guardrail firing, not the bot failing — and the reasoning line above each turn is stored with the transcript, so a compliance reviewer can see why it said what it said.</w:t>
      </w:r>
    </w:p>
    <w:p>
      <w:r>
        <w:rPr>
          <w:b/>
          <w:i w:val="0"/>
          <w:sz w:val="21"/>
        </w:rPr>
        <w:t>Then the case changed type rather than multiplying</w:t>
      </w:r>
    </w:p>
    <w:p>
      <w:pPr>
        <w:spacing w:before="80" w:after="200"/>
        <w:ind w:left="288"/>
      </w:pPr>
      <w:r>
        <w:rPr>
          <w:rFonts w:ascii="Consolas" w:hAnsi="Consolas"/>
          <w:color w:val="242938"/>
          <w:sz w:val="18"/>
        </w:rPr>
        <w:t>day −35   Broken PTP → Legal Followup</w:t>
        <w:br/>
        <w:t>Second arrangement broken; balance referred for legal follow-up.</w:t>
      </w:r>
    </w:p>
    <w:p>
      <w:r>
        <w:rPr>
          <w:b w:val="0"/>
          <w:i w:val="0"/>
          <w:sz w:val="21"/>
        </w:rPr>
        <w:t>One account carries one case. When the situation moves, the case moves with it: the queue changes, the SLA is re-cut, and the old type stays in the audit trail. You never end up with four cards for one customer.</w:t>
      </w:r>
    </w:p>
    <w:p>
      <w:r>
        <w:rPr>
          <w:b/>
          <w:i w:val="0"/>
          <w:sz w:val="21"/>
        </w:rPr>
        <w:t>Out of the building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296"/>
            <w:shd w:val="clear" w:fill="EEF2F9"/>
          </w:tcPr>
          <w:p>
            <w:r/>
            <w:r>
              <w:rPr>
                <w:b/>
                <w:color w:val="1B2233"/>
                <w:sz w:val="18"/>
              </w:rPr>
            </w:r>
          </w:p>
        </w:tc>
        <w:tc>
          <w:tcPr>
            <w:tcW w:type="dxa" w:w="1728"/>
            <w:shd w:val="clear" w:fill="EEF2F9"/>
          </w:tcPr>
          <w:p>
            <w:r/>
            <w:r>
              <w:rPr>
                <w:b/>
                <w:color w:val="1B2233"/>
                <w:sz w:val="18"/>
              </w:rPr>
              <w:t>Reference</w:t>
            </w:r>
          </w:p>
        </w:tc>
        <w:tc>
          <w:tcPr>
            <w:tcW w:type="dxa" w:w="4320"/>
            <w:shd w:val="clear" w:fill="EEF2F9"/>
          </w:tcPr>
          <w:p>
            <w:r/>
            <w:r>
              <w:rPr>
                <w:b/>
                <w:color w:val="1B2233"/>
                <w:sz w:val="18"/>
              </w:rPr>
              <w:t>Detail</w:t>
            </w:r>
          </w:p>
        </w:tc>
        <w:tc>
          <w:tcPr>
            <w:tcW w:type="dxa" w:w="1584"/>
            <w:shd w:val="clear" w:fill="EEF2F9"/>
          </w:tcPr>
          <w:p>
            <w:pPr>
              <w:jc w:val="right"/>
            </w:pPr>
            <w:r/>
            <w:r>
              <w:rPr>
                <w:b/>
                <w:color w:val="1B2233"/>
                <w:sz w:val="18"/>
              </w:rPr>
              <w:t>Value</w:t>
            </w:r>
          </w:p>
        </w:tc>
      </w:tr>
      <w:tr>
        <w:tc>
          <w:tcPr>
            <w:tcW w:type="dxa" w:w="1296"/>
          </w:tcPr>
          <w:p>
            <w:r/>
            <w:r>
              <w:rPr>
                <w:sz w:val="19"/>
              </w:rPr>
              <w:t>Agency</w:t>
            </w:r>
          </w:p>
        </w:tc>
        <w:tc>
          <w:tcPr>
            <w:tcW w:type="dxa" w:w="1728"/>
          </w:tcPr>
          <w:p>
            <w:r/>
            <w:r>
              <w:rPr>
                <w:sz w:val="19"/>
              </w:rPr>
              <w:t>PL-1092</w:t>
            </w:r>
          </w:p>
        </w:tc>
        <w:tc>
          <w:tcPr>
            <w:tcW w:type="dxa" w:w="4320"/>
          </w:tcPr>
          <w:p>
            <w:r/>
            <w:r>
              <w:rPr>
                <w:sz w:val="19"/>
              </w:rPr>
              <w:t>Meridian Recovery Solutions · ACTIVE · 12.5% commission</w:t>
            </w:r>
          </w:p>
        </w:tc>
        <w:tc>
          <w:tcPr>
            <w:tcW w:type="dxa" w:w="1584"/>
          </w:tcPr>
          <w:p>
            <w:pPr>
              <w:jc w:val="right"/>
            </w:pPr>
            <w:r/>
            <w:r>
              <w:rPr>
                <w:sz w:val="19"/>
              </w:rPr>
              <w:t>$2,065.00</w:t>
            </w:r>
          </w:p>
        </w:tc>
      </w:tr>
      <w:tr>
        <w:tc>
          <w:tcPr>
            <w:tcW w:type="dxa" w:w="1296"/>
          </w:tcPr>
          <w:p>
            <w:r/>
            <w:r>
              <w:rPr>
                <w:sz w:val="19"/>
              </w:rPr>
              <w:t>Recovered</w:t>
            </w:r>
          </w:p>
        </w:tc>
        <w:tc>
          <w:tcPr>
            <w:tcW w:type="dxa" w:w="1728"/>
          </w:tcPr>
          <w:p>
            <w:r/>
            <w:r>
              <w:rPr>
                <w:sz w:val="19"/>
              </w:rPr>
            </w:r>
          </w:p>
        </w:tc>
        <w:tc>
          <w:tcPr>
            <w:tcW w:type="dxa" w:w="4320"/>
          </w:tcPr>
          <w:p>
            <w:r/>
            <w:r>
              <w:rPr>
                <w:sz w:val="19"/>
              </w:rPr>
              <w:t>cash returned by the agency so far</w:t>
            </w:r>
          </w:p>
        </w:tc>
        <w:tc>
          <w:tcPr>
            <w:tcW w:type="dxa" w:w="1584"/>
          </w:tcPr>
          <w:p>
            <w:pPr>
              <w:jc w:val="right"/>
            </w:pPr>
            <w:r/>
            <w:r>
              <w:rPr>
                <w:sz w:val="19"/>
              </w:rPr>
              <w:t>$350.00</w:t>
            </w:r>
          </w:p>
        </w:tc>
      </w:tr>
      <w:tr>
        <w:tc>
          <w:tcPr>
            <w:tcW w:type="dxa" w:w="1296"/>
          </w:tcPr>
          <w:p>
            <w:r/>
            <w:r>
              <w:rPr>
                <w:sz w:val="19"/>
              </w:rPr>
              <w:t>Legal</w:t>
            </w:r>
          </w:p>
        </w:tc>
        <w:tc>
          <w:tcPr>
            <w:tcW w:type="dxa" w:w="1728"/>
          </w:tcPr>
          <w:p>
            <w:r/>
            <w:r>
              <w:rPr>
                <w:sz w:val="19"/>
              </w:rPr>
              <w:t>LC-2026012</w:t>
            </w:r>
          </w:p>
        </w:tc>
        <w:tc>
          <w:tcPr>
            <w:tcW w:type="dxa" w:w="4320"/>
          </w:tcPr>
          <w:p>
            <w:r/>
            <w:r>
              <w:rPr>
                <w:sz w:val="19"/>
              </w:rPr>
              <w:t>Al Tamimi &amp; Partners · stage Pre-Legal</w:t>
            </w:r>
          </w:p>
        </w:tc>
        <w:tc>
          <w:tcPr>
            <w:tcW w:type="dxa" w:w="1584"/>
          </w:tcPr>
          <w:p>
            <w:pPr>
              <w:jc w:val="right"/>
            </w:pPr>
            <w:r/>
            <w:r>
              <w:rPr>
                <w:sz w:val="19"/>
              </w:rPr>
              <w:t>$1,715.00</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EF6FF"/>
          </w:tcPr>
          <w:p>
            <w:r/>
            <w:r>
              <w:rPr>
                <w:b/>
                <w:color w:val="2C5AD8"/>
                <w:sz w:val="20"/>
              </w:rPr>
              <w:t>Where she stands today</w:t>
            </w:r>
          </w:p>
          <w:p>
            <w:r>
              <w:rPr>
                <w:sz w:val="19"/>
              </w:rPr>
              <w:t>$2,465.00 owed. Case CASE-000150 open as Legal Followup, High priority, with Robert Kim. Out with an agency, a legal file open, and — as of this morning — a conversation waiting in the chat queue about the solicitor's letter.</w:t>
            </w:r>
          </w:p>
        </w:tc>
      </w:tr>
    </w:tbl>
    <w:p>
      <w:pPr>
        <w:spacing w:after="40"/>
      </w:pPr>
    </w:p>
    <w:p>
      <w:r>
        <w:br w:type="page"/>
      </w:r>
    </w:p>
    <w:p>
      <w:pPr>
        <w:pStyle w:val="Heading2"/>
        <w:spacing w:before="240" w:after="80"/>
      </w:pPr>
      <w:r>
        <w:rPr>
          <w:rFonts w:ascii="Calibri" w:hAnsi="Calibri"/>
          <w:color w:val="1B2233"/>
        </w:rPr>
        <w:t>Daniel Okafor — the recovery</w:t>
      </w:r>
    </w:p>
    <w:p>
      <w:r>
        <w:rPr>
          <w:b w:val="0"/>
          <w:i w:val="0"/>
          <w:sz w:val="21"/>
        </w:rPr>
        <w:t>Software engineer, Abu Dhabi. Credit score 742, risk Low at 18.0, behaviour “Forgetful”. Income $24,500.00 a month. Nothing about this customer says collections problem — and the product should not treat him like one.</w:t>
      </w:r>
    </w:p>
    <w:tbl>
      <w:tblPr>
        <w:tblStyle w:val="TableGrid"/>
        <w:tblW w:type="auto" w:w="0"/>
        <w:jc w:val="left"/>
        <w:tblLook w:firstColumn="1" w:firstRow="1" w:lastColumn="0" w:lastRow="0" w:noHBand="0" w:noVBand="1" w:val="04A0"/>
      </w:tblPr>
      <w:tblGrid>
        <w:gridCol w:w="3264"/>
        <w:gridCol w:w="3264"/>
        <w:gridCol w:w="3264"/>
      </w:tblGrid>
      <w:tr>
        <w:tc>
          <w:tcPr>
            <w:tcW w:type="dxa" w:w="864"/>
            <w:shd w:val="clear" w:fill="EEF2F9"/>
          </w:tcPr>
          <w:p>
            <w:r/>
            <w:r>
              <w:rPr>
                <w:b/>
                <w:color w:val="1B2233"/>
                <w:sz w:val="18"/>
              </w:rPr>
              <w:t>Day</w:t>
            </w:r>
          </w:p>
        </w:tc>
        <w:tc>
          <w:tcPr>
            <w:tcW w:type="dxa" w:w="3024"/>
            <w:shd w:val="clear" w:fill="EEF2F9"/>
          </w:tcPr>
          <w:p>
            <w:r/>
            <w:r>
              <w:rPr>
                <w:b/>
                <w:color w:val="1B2233"/>
                <w:sz w:val="18"/>
              </w:rPr>
              <w:t>What happened</w:t>
            </w:r>
          </w:p>
        </w:tc>
        <w:tc>
          <w:tcPr>
            <w:tcW w:type="dxa" w:w="5040"/>
            <w:shd w:val="clear" w:fill="EEF2F9"/>
          </w:tcPr>
          <w:p>
            <w:r/>
            <w:r>
              <w:rPr>
                <w:b/>
                <w:color w:val="1B2233"/>
                <w:sz w:val="18"/>
              </w:rPr>
              <w:t>Detail</w:t>
            </w:r>
          </w:p>
        </w:tc>
      </w:tr>
      <w:tr>
        <w:tc>
          <w:tcPr>
            <w:tcW w:type="dxa" w:w="864"/>
          </w:tcPr>
          <w:p>
            <w:r/>
            <w:r>
              <w:rPr>
                <w:sz w:val="19"/>
              </w:rPr>
              <w:t>−27</w:t>
            </w:r>
          </w:p>
        </w:tc>
        <w:tc>
          <w:tcPr>
            <w:tcW w:type="dxa" w:w="3024"/>
          </w:tcPr>
          <w:p>
            <w:r/>
            <w:r>
              <w:rPr>
                <w:sz w:val="19"/>
              </w:rPr>
              <w:t>Bill issued</w:t>
            </w:r>
          </w:p>
        </w:tc>
        <w:tc>
          <w:tcPr>
            <w:tcW w:type="dxa" w:w="5040"/>
          </w:tcPr>
          <w:p>
            <w:r/>
            <w:r>
              <w:rPr>
                <w:sz w:val="19"/>
              </w:rPr>
              <w:t>$326.00 — Monthly plan — family bundle</w:t>
            </w:r>
          </w:p>
        </w:tc>
      </w:tr>
      <w:tr>
        <w:tc>
          <w:tcPr>
            <w:tcW w:type="dxa" w:w="864"/>
          </w:tcPr>
          <w:p>
            <w:r/>
            <w:r>
              <w:rPr>
                <w:sz w:val="19"/>
              </w:rPr>
              <w:t>−12</w:t>
            </w:r>
          </w:p>
        </w:tc>
        <w:tc>
          <w:tcPr>
            <w:tcW w:type="dxa" w:w="3024"/>
          </w:tcPr>
          <w:p>
            <w:r/>
            <w:r>
              <w:rPr>
                <w:sz w:val="19"/>
              </w:rPr>
              <w:t>Missed, one SMS sent</w:t>
            </w:r>
          </w:p>
        </w:tc>
        <w:tc>
          <w:tcPr>
            <w:tcW w:type="dxa" w:w="5040"/>
          </w:tcPr>
          <w:p>
            <w:r/>
            <w:r>
              <w:rPr>
                <w:sz w:val="19"/>
              </w:rPr>
              <w:t>Soft Reminder strategy, cost $0.015</w:t>
            </w:r>
          </w:p>
        </w:tc>
      </w:tr>
      <w:tr>
        <w:tc>
          <w:tcPr>
            <w:tcW w:type="dxa" w:w="864"/>
          </w:tcPr>
          <w:p>
            <w:r/>
            <w:r>
              <w:rPr>
                <w:sz w:val="19"/>
              </w:rPr>
              <w:t>−10</w:t>
            </w:r>
          </w:p>
        </w:tc>
        <w:tc>
          <w:tcPr>
            <w:tcW w:type="dxa" w:w="3024"/>
          </w:tcPr>
          <w:p>
            <w:r/>
            <w:r>
              <w:rPr>
                <w:sz w:val="19"/>
              </w:rPr>
              <w:t>He replied to the assistant</w:t>
            </w:r>
          </w:p>
        </w:tc>
        <w:tc>
          <w:tcPr>
            <w:tcW w:type="dxa" w:w="5040"/>
          </w:tcPr>
          <w:p>
            <w:r/>
            <w:r>
              <w:rPr>
                <w:sz w:val="19"/>
              </w:rPr>
              <w:t>Autopay card had expired — explained, link sent, promise captured</w:t>
            </w:r>
          </w:p>
        </w:tc>
      </w:tr>
      <w:tr>
        <w:tc>
          <w:tcPr>
            <w:tcW w:type="dxa" w:w="864"/>
          </w:tcPr>
          <w:p>
            <w:r/>
            <w:r>
              <w:rPr>
                <w:sz w:val="19"/>
              </w:rPr>
              <w:t>−10</w:t>
            </w:r>
          </w:p>
        </w:tc>
        <w:tc>
          <w:tcPr>
            <w:tcW w:type="dxa" w:w="3024"/>
          </w:tcPr>
          <w:p>
            <w:r/>
            <w:r>
              <w:rPr>
                <w:sz w:val="19"/>
              </w:rPr>
              <w:t>Case opened</w:t>
            </w:r>
          </w:p>
        </w:tc>
        <w:tc>
          <w:tcPr>
            <w:tcW w:type="dxa" w:w="5040"/>
          </w:tcPr>
          <w:p>
            <w:r/>
            <w:r>
              <w:rPr>
                <w:sz w:val="19"/>
              </w:rPr>
              <w:t>CASE-000151, queue EARLY_STAGE</w:t>
            </w:r>
          </w:p>
        </w:tc>
      </w:tr>
      <w:tr>
        <w:tc>
          <w:tcPr>
            <w:tcW w:type="dxa" w:w="864"/>
          </w:tcPr>
          <w:p>
            <w:r/>
            <w:r>
              <w:rPr>
                <w:sz w:val="19"/>
              </w:rPr>
              <w:t>−5</w:t>
            </w:r>
          </w:p>
        </w:tc>
        <w:tc>
          <w:tcPr>
            <w:tcW w:type="dxa" w:w="3024"/>
          </w:tcPr>
          <w:p>
            <w:r/>
            <w:r>
              <w:rPr>
                <w:sz w:val="19"/>
              </w:rPr>
              <w:t>Paid in full</w:t>
            </w:r>
          </w:p>
        </w:tc>
        <w:tc>
          <w:tcPr>
            <w:tcW w:type="dxa" w:w="5040"/>
          </w:tcPr>
          <w:p>
            <w:r/>
            <w:r>
              <w:rPr>
                <w:sz w:val="19"/>
              </w:rPr>
              <w:t>$326.00</w:t>
            </w:r>
          </w:p>
        </w:tc>
      </w:tr>
      <w:tr>
        <w:tc>
          <w:tcPr>
            <w:tcW w:type="dxa" w:w="864"/>
          </w:tcPr>
          <w:p>
            <w:r/>
            <w:r>
              <w:rPr>
                <w:sz w:val="19"/>
              </w:rPr>
              <w:t>−4</w:t>
            </w:r>
          </w:p>
        </w:tc>
        <w:tc>
          <w:tcPr>
            <w:tcW w:type="dxa" w:w="3024"/>
          </w:tcPr>
          <w:p>
            <w:r/>
            <w:r>
              <w:rPr>
                <w:sz w:val="19"/>
              </w:rPr>
              <w:t>Case resolved</w:t>
            </w:r>
          </w:p>
        </w:tc>
        <w:tc>
          <w:tcPr>
            <w:tcW w:type="dxa" w:w="5040"/>
          </w:tcPr>
          <w:p>
            <w:r/>
            <w:r>
              <w:rPr>
                <w:sz w:val="19"/>
              </w:rPr>
              <w:t>Promise honoured</w:t>
            </w:r>
          </w:p>
        </w:tc>
      </w:tr>
      <w:tr>
        <w:tc>
          <w:tcPr>
            <w:tcW w:type="dxa" w:w="864"/>
          </w:tcPr>
          <w:p>
            <w:r/>
            <w:r>
              <w:rPr>
                <w:sz w:val="19"/>
              </w:rPr>
              <w:t>−3</w:t>
            </w:r>
          </w:p>
        </w:tc>
        <w:tc>
          <w:tcPr>
            <w:tcW w:type="dxa" w:w="3024"/>
          </w:tcPr>
          <w:p>
            <w:r/>
            <w:r>
              <w:rPr>
                <w:sz w:val="19"/>
              </w:rPr>
              <w:t>Case closed</w:t>
            </w:r>
          </w:p>
        </w:tc>
        <w:tc>
          <w:tcPr>
            <w:tcW w:type="dxa" w:w="5040"/>
          </w:tcPr>
          <w:p>
            <w:r/>
            <w:r>
              <w:rPr>
                <w:sz w:val="19"/>
              </w:rPr>
              <w:t>Paid in full</w:t>
            </w:r>
          </w:p>
        </w:tc>
      </w:tr>
    </w:tbl>
    <w:p>
      <w:pPr>
        <w:spacing w:after="40"/>
      </w:pPr>
    </w:p>
    <w:p>
      <w:r>
        <w:rPr>
          <w:b/>
          <w:i w:val="0"/>
          <w:sz w:val="21"/>
        </w:rPr>
        <w:t>The conversation</w:t>
      </w:r>
    </w:p>
    <w:p>
      <w:pPr>
        <w:spacing w:after="60"/>
        <w:ind w:left="403"/>
      </w:pPr>
      <w:r>
        <w:rPr>
          <w:b/>
          <w:color w:val="1B2233"/>
          <w:sz w:val="19"/>
        </w:rPr>
        <w:t xml:space="preserve">Daniel:  </w:t>
      </w:r>
      <w:r>
        <w:rPr>
          <w:sz w:val="19"/>
        </w:rPr>
        <w:t>I got a text about a bill — I thought my card was on autopay.</w:t>
      </w:r>
    </w:p>
    <w:p>
      <w:pPr>
        <w:spacing w:after="60"/>
        <w:ind w:left="403"/>
      </w:pPr>
      <w:r>
        <w:rPr>
          <w:b/>
          <w:color w:val="2C5AD8"/>
          <w:sz w:val="19"/>
        </w:rPr>
        <w:t xml:space="preserve">Assistant:  </w:t>
      </w:r>
      <w:r>
        <w:rPr>
          <w:sz w:val="19"/>
        </w:rPr>
        <w:t>Your autopay card expired on the 3rd, so the July bill of $326 was not taken. I can send you a payment link now.</w:t>
      </w:r>
    </w:p>
    <w:p>
      <w:pPr>
        <w:spacing w:after="60"/>
        <w:ind w:left="403"/>
      </w:pPr>
      <w:r>
        <w:rPr>
          <w:b/>
          <w:color w:val="1B2233"/>
          <w:sz w:val="19"/>
        </w:rPr>
        <w:t xml:space="preserve">Daniel:  </w:t>
      </w:r>
      <w:r>
        <w:rPr>
          <w:sz w:val="19"/>
        </w:rPr>
        <w:t>Yes please, send it. I'll pay this week.</w:t>
      </w:r>
    </w:p>
    <w:p>
      <w:pPr>
        <w:spacing w:after="60"/>
        <w:ind w:left="403"/>
      </w:pPr>
      <w:r>
        <w:rPr>
          <w:b/>
          <w:color w:val="2C5AD8"/>
          <w:sz w:val="19"/>
        </w:rPr>
        <w:t xml:space="preserve">Assistant:  </w:t>
      </w:r>
      <w:r>
        <w:rPr>
          <w:sz w:val="19"/>
        </w:rPr>
        <w:t>Sent. I have noted a promise to pay $326 by Friday. Thank you.</w:t>
      </w:r>
    </w:p>
    <w:p>
      <w:r>
        <w:rPr>
          <w:b w:val="0"/>
          <w:i w:val="0"/>
          <w:sz w:val="21"/>
        </w:rPr>
        <w:t>PTP-R001255 was captured for $326.00 and came in at $326.00 — KEPT. The account is now $0.00, current, 0 days past due.</w:t>
      </w:r>
    </w:p>
    <w:tbl>
      <w:tblPr>
        <w:tblStyle w:val="TableGrid"/>
        <w:tblW w:type="auto" w:w="0"/>
        <w:tblLook w:firstColumn="1" w:firstRow="1" w:lastColumn="0" w:lastRow="0" w:noHBand="0" w:noVBand="1" w:val="04A0"/>
      </w:tblPr>
      <w:tblGrid>
        <w:gridCol w:w="9792"/>
      </w:tblGrid>
      <w:tr>
        <w:tc>
          <w:tcPr>
            <w:tcW w:type="dxa" w:w="9792"/>
            <w:shd w:val="clear" w:fill="EEF6FF"/>
          </w:tcPr>
          <w:p>
            <w:r/>
            <w:r>
              <w:rPr>
                <w:b/>
                <w:color w:val="2C5AD8"/>
                <w:sz w:val="20"/>
              </w:rPr>
              <w:t>Why this journey matters in a demo</w:t>
            </w:r>
          </w:p>
          <w:p>
            <w:r>
              <w:rPr>
                <w:sz w:val="19"/>
              </w:rPr>
              <w:t>It cost one SMS — under two cents — and no human time at all. It is the counterweight to Priya: most delinquency is an expired card, not a refusal to pay, and a collections product that treats the two the same burns money and goodwill.</w:t>
            </w:r>
          </w:p>
        </w:tc>
      </w:tr>
    </w:tbl>
    <w:p>
      <w:pPr>
        <w:spacing w:after="40"/>
      </w:pPr>
    </w:p>
    <w:p>
      <w:r>
        <w:br w:type="page"/>
      </w:r>
    </w:p>
    <w:p>
      <w:pPr>
        <w:pStyle w:val="Heading2"/>
        <w:spacing w:before="240" w:after="80"/>
      </w:pPr>
      <w:r>
        <w:rPr>
          <w:rFonts w:ascii="Calibri" w:hAnsi="Calibri"/>
          <w:color w:val="1B2233"/>
        </w:rPr>
        <w:t>Meridian Freight Logistics LLC — the argument</w:t>
      </w:r>
    </w:p>
    <w:p>
      <w:r>
        <w:rPr>
          <w:b w:val="0"/>
          <w:i w:val="0"/>
          <w:sz w:val="21"/>
        </w:rPr>
        <w:t>Enterprise account, Jebel Ali. Contact is Faisal Al Marzooqi, Accounts Payable Manager. Risk High at 76.0, credit score 612, behaviour “Disputed”. Product Enterprise Suite — Fleet IoT + MPLS 200Mbps — on a $60,000.00 limit.</w:t>
      </w:r>
    </w:p>
    <w:tbl>
      <w:tblPr>
        <w:tblStyle w:val="TableGrid"/>
        <w:tblW w:type="auto" w:w="0"/>
        <w:jc w:val="left"/>
        <w:tblLook w:firstColumn="1" w:firstRow="1" w:lastColumn="0" w:lastRow="0" w:noHBand="0" w:noVBand="1" w:val="04A0"/>
      </w:tblPr>
      <w:tblGrid>
        <w:gridCol w:w="3264"/>
        <w:gridCol w:w="3264"/>
        <w:gridCol w:w="3264"/>
      </w:tblGrid>
      <w:tr>
        <w:tc>
          <w:tcPr>
            <w:tcW w:type="dxa" w:w="864"/>
            <w:shd w:val="clear" w:fill="EEF2F9"/>
          </w:tcPr>
          <w:p>
            <w:r/>
            <w:r>
              <w:rPr>
                <w:b/>
                <w:color w:val="1B2233"/>
                <w:sz w:val="18"/>
              </w:rPr>
              <w:t>Day</w:t>
            </w:r>
          </w:p>
        </w:tc>
        <w:tc>
          <w:tcPr>
            <w:tcW w:type="dxa" w:w="3312"/>
            <w:shd w:val="clear" w:fill="EEF2F9"/>
          </w:tcPr>
          <w:p>
            <w:r/>
            <w:r>
              <w:rPr>
                <w:b/>
                <w:color w:val="1B2233"/>
                <w:sz w:val="18"/>
              </w:rPr>
              <w:t>What happened</w:t>
            </w:r>
          </w:p>
        </w:tc>
        <w:tc>
          <w:tcPr>
            <w:tcW w:type="dxa" w:w="4752"/>
            <w:shd w:val="clear" w:fill="EEF2F9"/>
          </w:tcPr>
          <w:p>
            <w:r/>
            <w:r>
              <w:rPr>
                <w:b/>
                <w:color w:val="1B2233"/>
                <w:sz w:val="18"/>
              </w:rPr>
              <w:t>Detail</w:t>
            </w:r>
          </w:p>
        </w:tc>
      </w:tr>
      <w:tr>
        <w:tc>
          <w:tcPr>
            <w:tcW w:type="dxa" w:w="864"/>
          </w:tcPr>
          <w:p>
            <w:r/>
            <w:r>
              <w:rPr>
                <w:sz w:val="19"/>
              </w:rPr>
              <w:t>−119</w:t>
            </w:r>
          </w:p>
        </w:tc>
        <w:tc>
          <w:tcPr>
            <w:tcW w:type="dxa" w:w="3312"/>
          </w:tcPr>
          <w:p>
            <w:r/>
            <w:r>
              <w:rPr>
                <w:sz w:val="19"/>
              </w:rPr>
              <w:t>Q2 invoice issued</w:t>
            </w:r>
          </w:p>
        </w:tc>
        <w:tc>
          <w:tcPr>
            <w:tcW w:type="dxa" w:w="4752"/>
          </w:tcPr>
          <w:p>
            <w:r/>
            <w:r>
              <w:rPr>
                <w:sz w:val="19"/>
              </w:rPr>
              <w:t>$21,020.00 billed across two quarters</w:t>
            </w:r>
          </w:p>
        </w:tc>
      </w:tr>
      <w:tr>
        <w:tc>
          <w:tcPr>
            <w:tcW w:type="dxa" w:w="864"/>
          </w:tcPr>
          <w:p>
            <w:r/>
            <w:r>
              <w:rPr>
                <w:sz w:val="19"/>
              </w:rPr>
              <w:t>−100</w:t>
            </w:r>
          </w:p>
        </w:tc>
        <w:tc>
          <w:tcPr>
            <w:tcW w:type="dxa" w:w="3312"/>
          </w:tcPr>
          <w:p>
            <w:r/>
            <w:r>
              <w:rPr>
                <w:sz w:val="19"/>
              </w:rPr>
              <w:t>Chased by email</w:t>
            </w:r>
          </w:p>
        </w:tc>
        <w:tc>
          <w:tcPr>
            <w:tcW w:type="dxa" w:w="4752"/>
          </w:tcPr>
          <w:p>
            <w:r/>
            <w:r>
              <w:rPr>
                <w:sz w:val="19"/>
              </w:rPr>
              <w:t>Automated, opened but not answered</w:t>
            </w:r>
          </w:p>
        </w:tc>
      </w:tr>
      <w:tr>
        <w:tc>
          <w:tcPr>
            <w:tcW w:type="dxa" w:w="864"/>
          </w:tcPr>
          <w:p>
            <w:r/>
            <w:r>
              <w:rPr>
                <w:sz w:val="19"/>
              </w:rPr>
              <w:t>−95</w:t>
            </w:r>
          </w:p>
        </w:tc>
        <w:tc>
          <w:tcPr>
            <w:tcW w:type="dxa" w:w="3312"/>
          </w:tcPr>
          <w:p>
            <w:r/>
            <w:r>
              <w:rPr>
                <w:sz w:val="19"/>
              </w:rPr>
              <w:t>Statement pack sent</w:t>
            </w:r>
          </w:p>
        </w:tc>
        <w:tc>
          <w:tcPr>
            <w:tcW w:type="dxa" w:w="4752"/>
          </w:tcPr>
          <w:p>
            <w:r/>
            <w:r>
              <w:rPr>
                <w:sz w:val="19"/>
              </w:rPr>
              <w:t>By the relationship manager</w:t>
            </w:r>
          </w:p>
        </w:tc>
      </w:tr>
      <w:tr>
        <w:tc>
          <w:tcPr>
            <w:tcW w:type="dxa" w:w="864"/>
          </w:tcPr>
          <w:p>
            <w:r/>
            <w:r>
              <w:rPr>
                <w:sz w:val="19"/>
              </w:rPr>
              <w:t>−88</w:t>
            </w:r>
          </w:p>
        </w:tc>
        <w:tc>
          <w:tcPr>
            <w:tcW w:type="dxa" w:w="3312"/>
          </w:tcPr>
          <w:p>
            <w:r/>
            <w:r>
              <w:rPr>
                <w:sz w:val="19"/>
              </w:rPr>
              <w:t>RM call</w:t>
            </w:r>
          </w:p>
        </w:tc>
        <w:tc>
          <w:tcPr>
            <w:tcW w:type="dxa" w:w="4752"/>
          </w:tcPr>
          <w:p>
            <w:r/>
            <w:r>
              <w:rPr>
                <w:sz w:val="19"/>
              </w:rPr>
              <w:t>AP disputes the Q2 IoT line charges</w:t>
            </w:r>
          </w:p>
        </w:tc>
      </w:tr>
      <w:tr>
        <w:tc>
          <w:tcPr>
            <w:tcW w:type="dxa" w:w="864"/>
          </w:tcPr>
          <w:p>
            <w:r/>
            <w:r>
              <w:rPr>
                <w:sz w:val="19"/>
              </w:rPr>
              <w:t>−80</w:t>
            </w:r>
          </w:p>
        </w:tc>
        <w:tc>
          <w:tcPr>
            <w:tcW w:type="dxa" w:w="3312"/>
          </w:tcPr>
          <w:p>
            <w:r/>
            <w:r>
              <w:rPr>
                <w:sz w:val="19"/>
              </w:rPr>
              <w:t>Dispute DSP-R001252 raised</w:t>
            </w:r>
          </w:p>
        </w:tc>
        <w:tc>
          <w:tcPr>
            <w:tcW w:type="dxa" w:w="4752"/>
          </w:tcPr>
          <w:p>
            <w:r/>
            <w:r>
              <w:rPr>
                <w:sz w:val="19"/>
              </w:rPr>
              <w:t>$3,200.00 — INCORRECT_AMOUNT</w:t>
            </w:r>
          </w:p>
        </w:tc>
      </w:tr>
      <w:tr>
        <w:tc>
          <w:tcPr>
            <w:tcW w:type="dxa" w:w="864"/>
          </w:tcPr>
          <w:p>
            <w:r/>
            <w:r>
              <w:rPr>
                <w:sz w:val="19"/>
              </w:rPr>
              <w:t>−60</w:t>
            </w:r>
          </w:p>
        </w:tc>
        <w:tc>
          <w:tcPr>
            <w:tcW w:type="dxa" w:w="3312"/>
          </w:tcPr>
          <w:p>
            <w:r/>
            <w:r>
              <w:rPr>
                <w:sz w:val="19"/>
              </w:rPr>
              <w:t>Dispute partly upheld</w:t>
            </w:r>
          </w:p>
        </w:tc>
        <w:tc>
          <w:tcPr>
            <w:tcW w:type="dxa" w:w="4752"/>
          </w:tcPr>
          <w:p>
            <w:r/>
            <w:r>
              <w:rPr>
                <w:sz w:val="19"/>
              </w:rPr>
              <w:t>$1,950 credited; the rest stands</w:t>
            </w:r>
          </w:p>
        </w:tc>
      </w:tr>
      <w:tr>
        <w:tc>
          <w:tcPr>
            <w:tcW w:type="dxa" w:w="864"/>
          </w:tcPr>
          <w:p>
            <w:r/>
            <w:r>
              <w:rPr>
                <w:sz w:val="19"/>
              </w:rPr>
              <w:t>−55</w:t>
            </w:r>
          </w:p>
        </w:tc>
        <w:tc>
          <w:tcPr>
            <w:tcW w:type="dxa" w:w="3312"/>
          </w:tcPr>
          <w:p>
            <w:r/>
            <w:r>
              <w:rPr>
                <w:sz w:val="19"/>
              </w:rPr>
              <w:t>Payment plan agreed</w:t>
            </w:r>
          </w:p>
        </w:tc>
        <w:tc>
          <w:tcPr>
            <w:tcW w:type="dxa" w:w="4752"/>
          </w:tcPr>
          <w:p>
            <w:r/>
            <w:r>
              <w:rPr>
                <w:sz w:val="19"/>
              </w:rPr>
              <w:t>$8,000.00 in two parts</w:t>
            </w:r>
          </w:p>
        </w:tc>
      </w:tr>
      <w:tr>
        <w:tc>
          <w:tcPr>
            <w:tcW w:type="dxa" w:w="864"/>
          </w:tcPr>
          <w:p>
            <w:r/>
            <w:r>
              <w:rPr>
                <w:sz w:val="19"/>
              </w:rPr>
              <w:t>−48</w:t>
            </w:r>
          </w:p>
        </w:tc>
        <w:tc>
          <w:tcPr>
            <w:tcW w:type="dxa" w:w="3312"/>
          </w:tcPr>
          <w:p>
            <w:r/>
            <w:r>
              <w:rPr>
                <w:sz w:val="19"/>
              </w:rPr>
              <w:t>First instalment cleared</w:t>
            </w:r>
          </w:p>
        </w:tc>
        <w:tc>
          <w:tcPr>
            <w:tcW w:type="dxa" w:w="4752"/>
          </w:tcPr>
          <w:p>
            <w:r/>
            <w:r>
              <w:rPr>
                <w:sz w:val="19"/>
              </w:rPr>
              <w:t>$4,250.00</w:t>
            </w:r>
          </w:p>
        </w:tc>
      </w:tr>
      <w:tr>
        <w:tc>
          <w:tcPr>
            <w:tcW w:type="dxa" w:w="864"/>
          </w:tcPr>
          <w:p>
            <w:r/>
            <w:r>
              <w:rPr>
                <w:sz w:val="19"/>
              </w:rPr>
              <w:t>−38</w:t>
            </w:r>
          </w:p>
        </w:tc>
        <w:tc>
          <w:tcPr>
            <w:tcW w:type="dxa" w:w="3312"/>
          </w:tcPr>
          <w:p>
            <w:r/>
            <w:r>
              <w:rPr>
                <w:sz w:val="19"/>
              </w:rPr>
              <w:t>Second instalment missed</w:t>
            </w:r>
          </w:p>
        </w:tc>
        <w:tc>
          <w:tcPr>
            <w:tcW w:type="dxa" w:w="4752"/>
          </w:tcPr>
          <w:p>
            <w:r/>
            <w:r>
              <w:rPr>
                <w:sz w:val="19"/>
              </w:rPr>
              <w:t>Chased by email, no answer</w:t>
            </w:r>
          </w:p>
        </w:tc>
      </w:tr>
      <w:tr>
        <w:tc>
          <w:tcPr>
            <w:tcW w:type="dxa" w:w="864"/>
          </w:tcPr>
          <w:p>
            <w:r/>
            <w:r>
              <w:rPr>
                <w:sz w:val="19"/>
              </w:rPr>
              <w:t>−30</w:t>
            </w:r>
          </w:p>
        </w:tc>
        <w:tc>
          <w:tcPr>
            <w:tcW w:type="dxa" w:w="3312"/>
          </w:tcPr>
          <w:p>
            <w:r/>
            <w:r>
              <w:rPr>
                <w:sz w:val="19"/>
              </w:rPr>
              <w:t>Re-typed to Legal Follow-up</w:t>
            </w:r>
          </w:p>
        </w:tc>
        <w:tc>
          <w:tcPr>
            <w:tcW w:type="dxa" w:w="4752"/>
          </w:tcPr>
          <w:p>
            <w:r/>
            <w:r>
              <w:rPr>
                <w:sz w:val="19"/>
              </w:rPr>
              <w:t>Plan broken</w:t>
            </w:r>
          </w:p>
        </w:tc>
      </w:tr>
      <w:tr>
        <w:tc>
          <w:tcPr>
            <w:tcW w:type="dxa" w:w="864"/>
          </w:tcPr>
          <w:p>
            <w:r/>
            <w:r>
              <w:rPr>
                <w:sz w:val="19"/>
              </w:rPr>
              <w:t>−15</w:t>
            </w:r>
          </w:p>
        </w:tc>
        <w:tc>
          <w:tcPr>
            <w:tcW w:type="dxa" w:w="3312"/>
          </w:tcPr>
          <w:p>
            <w:r/>
            <w:r>
              <w:rPr>
                <w:sz w:val="19"/>
              </w:rPr>
              <w:t>Placed with an agency</w:t>
            </w:r>
          </w:p>
        </w:tc>
        <w:tc>
          <w:tcPr>
            <w:tcW w:type="dxa" w:w="4752"/>
          </w:tcPr>
          <w:p>
            <w:r/>
            <w:r>
              <w:rPr>
                <w:sz w:val="19"/>
              </w:rPr>
              <w:t>$14,820.00</w:t>
            </w:r>
          </w:p>
        </w:tc>
      </w:tr>
      <w:tr>
        <w:tc>
          <w:tcPr>
            <w:tcW w:type="dxa" w:w="864"/>
          </w:tcPr>
          <w:p>
            <w:r/>
            <w:r>
              <w:rPr>
                <w:sz w:val="19"/>
              </w:rPr>
              <w:t>−6</w:t>
            </w:r>
          </w:p>
        </w:tc>
        <w:tc>
          <w:tcPr>
            <w:tcW w:type="dxa" w:w="3312"/>
          </w:tcPr>
          <w:p>
            <w:r/>
            <w:r>
              <w:rPr>
                <w:sz w:val="19"/>
              </w:rPr>
              <w:t>Claim filed</w:t>
            </w:r>
          </w:p>
        </w:tc>
        <w:tc>
          <w:tcPr>
            <w:tcW w:type="dxa" w:w="4752"/>
          </w:tcPr>
          <w:p>
            <w:r/>
            <w:r>
              <w:rPr>
                <w:sz w:val="19"/>
              </w:rPr>
              <w:t>Hadef &amp; Partners</w:t>
            </w:r>
          </w:p>
        </w:tc>
      </w:tr>
    </w:tbl>
    <w:p>
      <w:pPr>
        <w:spacing w:after="40"/>
      </w:pPr>
    </w:p>
    <w:p>
      <w:r>
        <w:rPr>
          <w:b/>
          <w:i w:val="0"/>
          <w:sz w:val="21"/>
        </w:rPr>
        <w:t>What they actually disputed</w:t>
      </w:r>
    </w:p>
    <w:p>
      <w:r>
        <w:rPr>
          <w:b w:val="0"/>
          <w:i/>
          <w:sz w:val="19"/>
        </w:rPr>
        <w:t>“AP states 46 IoT SIMs were decommissioned in March but billed in Q2.”</w:t>
      </w:r>
    </w:p>
    <w:p>
      <w:r>
        <w:rPr>
          <w:b/>
          <w:i w:val="0"/>
          <w:sz w:val="21"/>
        </w:rPr>
        <w:t>Outcome</w:t>
      </w:r>
    </w:p>
    <w:p>
      <w:r>
        <w:rPr>
          <w:b w:val="0"/>
          <w:i/>
          <w:sz w:val="19"/>
        </w:rPr>
        <w:t>“Partly upheld: 28 of the 46 SIMs were decommissioned. $1,950 credited.”</w:t>
      </w:r>
    </w:p>
    <w:p>
      <w:r>
        <w:rPr>
          <w:b w:val="0"/>
          <w:i w:val="0"/>
          <w:sz w:val="21"/>
        </w:rPr>
        <w:t>They were partly right — which is the point. Collection paused while the dispute was open, so the SLA clock did not run against the team for money that turned out not to be owed, and the credit is reflected in the invoice rather than bolted on as an adjustment somewhere else.</w:t>
      </w:r>
    </w:p>
    <w:p>
      <w:r>
        <w:rPr>
          <w:b/>
          <w:i w:val="0"/>
          <w:sz w:val="21"/>
        </w:rPr>
        <w:t>Two type changes on one case</w:t>
      </w:r>
    </w:p>
    <w:p>
      <w:pPr>
        <w:spacing w:before="80" w:after="200"/>
        <w:ind w:left="288"/>
      </w:pPr>
      <w:r>
        <w:rPr>
          <w:rFonts w:ascii="Consolas" w:hAnsi="Consolas"/>
          <w:color w:val="242938"/>
          <w:sz w:val="18"/>
        </w:rPr>
        <w:t>day −58   Dispute → Payment Plan</w:t>
        <w:br/>
        <w:t>Dispute settled; account moved to an instalment arrangement.</w:t>
      </w:r>
    </w:p>
    <w:p>
      <w:pPr>
        <w:spacing w:before="80" w:after="200"/>
        <w:ind w:left="288"/>
      </w:pPr>
      <w:r>
        <w:rPr>
          <w:rFonts w:ascii="Consolas" w:hAnsi="Consolas"/>
          <w:color w:val="242938"/>
          <w:sz w:val="18"/>
        </w:rPr>
        <w:t>day −30   Payment Plan → Legal Followup</w:t>
        <w:br/>
        <w:t>Instalment plan broken; escalating to pre-legal.</w:t>
      </w:r>
    </w:p>
    <w:tbl>
      <w:tblPr>
        <w:tblStyle w:val="TableGrid"/>
        <w:tblW w:type="auto" w:w="0"/>
        <w:tblLook w:firstColumn="1" w:firstRow="1" w:lastColumn="0" w:lastRow="0" w:noHBand="0" w:noVBand="1" w:val="04A0"/>
      </w:tblPr>
      <w:tblGrid>
        <w:gridCol w:w="9792"/>
      </w:tblGrid>
      <w:tr>
        <w:tc>
          <w:tcPr>
            <w:tcW w:type="dxa" w:w="9792"/>
            <w:shd w:val="clear" w:fill="EEF6FF"/>
          </w:tcPr>
          <w:p>
            <w:r/>
            <w:r>
              <w:rPr>
                <w:b/>
                <w:color w:val="2C5AD8"/>
                <w:sz w:val="20"/>
              </w:rPr>
              <w:t>Where they stand today</w:t>
            </w:r>
          </w:p>
          <w:p>
            <w:r>
              <w:rPr>
                <w:sz w:val="19"/>
              </w:rPr>
              <w:t>$14,820.00 owed on 104 days. Case CASE-000152 open as Legal Followup with Lisa Davis. $14,820.00 claimed through Hadef &amp; Partners, legal costs $1,800.00 so far, success probability 68%.</w:t>
            </w:r>
          </w:p>
        </w:tc>
      </w:tr>
    </w:tbl>
    <w:p>
      <w:pPr>
        <w:spacing w:after="40"/>
      </w:pPr>
    </w:p>
    <w:p>
      <w:r>
        <w:br w:type="page"/>
      </w:r>
    </w:p>
    <w:p>
      <w:pPr>
        <w:pStyle w:val="Heading1"/>
        <w:spacing w:before="360" w:after="80"/>
      </w:pPr>
      <w:r>
        <w:rPr>
          <w:rFonts w:ascii="Calibri" w:hAnsi="Calibri"/>
          <w:color w:val="2C5AD8"/>
        </w:rPr>
        <w:t>Part 3 — Every measure, explained</w:t>
      </w:r>
    </w:p>
    <w:p>
      <w:r>
        <w:rPr>
          <w:b w:val="0"/>
          <w:i w:val="0"/>
          <w:sz w:val="21"/>
        </w:rPr>
        <w:t>For each KPI: what it counts, how it is worked out, and the value it holds right now. Where a measure could be read two ways, the definition chosen is stated — that is usually the question an audience asks.</w:t>
      </w:r>
    </w:p>
    <w:p>
      <w:pPr>
        <w:pStyle w:val="Heading2"/>
        <w:spacing w:before="240" w:after="80"/>
      </w:pPr>
      <w:r>
        <w:rPr>
          <w:rFonts w:ascii="Calibri" w:hAnsi="Calibri"/>
          <w:color w:val="1B2233"/>
        </w:rPr>
        <w:t>Portfolio Dashboard</w:t>
      </w:r>
    </w:p>
    <w:p>
      <w:r>
        <w:rPr>
          <w:b w:val="0"/>
          <w:i w:val="0"/>
          <w:color w:val="5B6677"/>
          <w:sz w:val="19"/>
        </w:rPr>
        <w:t>The landing screen. Deliberately the whole book, not the collections desk.</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EEF2F9"/>
          </w:tcPr>
          <w:p>
            <w:r/>
            <w:r>
              <w:rPr>
                <w:b/>
                <w:color w:val="1B2233"/>
                <w:sz w:val="18"/>
              </w:rPr>
              <w:t>Measure</w:t>
            </w:r>
          </w:p>
        </w:tc>
        <w:tc>
          <w:tcPr>
            <w:tcW w:type="dxa" w:w="6192"/>
            <w:shd w:val="clear" w:fill="EEF2F9"/>
          </w:tcPr>
          <w:p>
            <w:r/>
            <w:r>
              <w:rPr>
                <w:b/>
                <w:color w:val="1B2233"/>
                <w:sz w:val="18"/>
              </w:rPr>
              <w:t>What it means and how it is worked out</w:t>
            </w:r>
          </w:p>
        </w:tc>
        <w:tc>
          <w:tcPr>
            <w:tcW w:type="dxa" w:w="1584"/>
            <w:shd w:val="clear" w:fill="EEF2F9"/>
          </w:tcPr>
          <w:p>
            <w:pPr>
              <w:jc w:val="right"/>
            </w:pPr>
            <w:r/>
            <w:r>
              <w:rPr>
                <w:b/>
                <w:color w:val="1B2233"/>
                <w:sz w:val="18"/>
              </w:rPr>
              <w:t>Now</w:t>
            </w:r>
          </w:p>
        </w:tc>
      </w:tr>
      <w:tr>
        <w:tc>
          <w:tcPr>
            <w:tcW w:type="dxa" w:w="2160"/>
          </w:tcPr>
          <w:p>
            <w:r/>
            <w:r>
              <w:rPr>
                <w:sz w:val="19"/>
              </w:rPr>
              <w:t>Total receivables</w:t>
            </w:r>
          </w:p>
        </w:tc>
        <w:tc>
          <w:tcPr>
            <w:tcW w:type="dxa" w:w="6192"/>
          </w:tcPr>
          <w:p>
            <w:r/>
            <w:r>
              <w:rPr>
                <w:sz w:val="19"/>
              </w:rPr>
              <w:t>Every account's outstanding balance added up — the whole book, not only what is delinquent. Source: customer_schema.account.</w:t>
            </w:r>
          </w:p>
        </w:tc>
        <w:tc>
          <w:tcPr>
            <w:tcW w:type="dxa" w:w="1584"/>
          </w:tcPr>
          <w:p>
            <w:pPr>
              <w:jc w:val="right"/>
            </w:pPr>
            <w:r/>
            <w:r>
              <w:rPr>
                <w:sz w:val="19"/>
              </w:rPr>
              <w:t>$69,915.76</w:t>
            </w:r>
          </w:p>
        </w:tc>
      </w:tr>
      <w:tr>
        <w:tc>
          <w:tcPr>
            <w:tcW w:type="dxa" w:w="2160"/>
          </w:tcPr>
          <w:p>
            <w:r/>
            <w:r>
              <w:rPr>
                <w:sz w:val="19"/>
              </w:rPr>
              <w:t>Delinquent balance</w:t>
            </w:r>
          </w:p>
        </w:tc>
        <w:tc>
          <w:tcPr>
            <w:tcW w:type="dxa" w:w="6192"/>
          </w:tcPr>
          <w:p>
            <w:r/>
            <w:r>
              <w:rPr>
                <w:sz w:val="19"/>
              </w:rPr>
              <w:t>Outstanding on accounts more than zero days past due, and its share of the book. This is the entry point to collections.</w:t>
            </w:r>
          </w:p>
        </w:tc>
        <w:tc>
          <w:tcPr>
            <w:tcW w:type="dxa" w:w="1584"/>
          </w:tcPr>
          <w:p>
            <w:pPr>
              <w:jc w:val="right"/>
            </w:pPr>
            <w:r/>
            <w:r>
              <w:rPr>
                <w:sz w:val="19"/>
              </w:rPr>
              <w:t>$55,402.91</w:t>
            </w:r>
          </w:p>
        </w:tc>
      </w:tr>
      <w:tr>
        <w:tc>
          <w:tcPr>
            <w:tcW w:type="dxa" w:w="2160"/>
          </w:tcPr>
          <w:p>
            <w:r/>
            <w:r>
              <w:rPr>
                <w:sz w:val="19"/>
              </w:rPr>
              <w:t xml:space="preserve">  of it 90+</w:t>
            </w:r>
          </w:p>
        </w:tc>
        <w:tc>
          <w:tcPr>
            <w:tcW w:type="dxa" w:w="6192"/>
          </w:tcPr>
          <w:p>
            <w:r/>
            <w:r>
              <w:rPr>
                <w:sz w:val="19"/>
              </w:rPr>
              <w:t>The part of the delinquent balance more than ninety days down — the hardest money to recover.</w:t>
            </w:r>
          </w:p>
        </w:tc>
        <w:tc>
          <w:tcPr>
            <w:tcW w:type="dxa" w:w="1584"/>
          </w:tcPr>
          <w:p>
            <w:pPr>
              <w:jc w:val="right"/>
            </w:pPr>
            <w:r/>
            <w:r>
              <w:rPr>
                <w:sz w:val="19"/>
              </w:rPr>
              <w:t>$27,094.14</w:t>
            </w:r>
          </w:p>
        </w:tc>
      </w:tr>
      <w:tr>
        <w:tc>
          <w:tcPr>
            <w:tcW w:type="dxa" w:w="2160"/>
          </w:tcPr>
          <w:p>
            <w:r/>
            <w:r>
              <w:rPr>
                <w:sz w:val="19"/>
              </w:rPr>
              <w:t>Under collection</w:t>
            </w:r>
          </w:p>
        </w:tc>
        <w:tc>
          <w:tcPr>
            <w:tcW w:type="dxa" w:w="6192"/>
          </w:tcPr>
          <w:p>
            <w:r/>
            <w:r>
              <w:rPr>
                <w:sz w:val="19"/>
              </w:rPr>
              <w:t>Of the delinquent balance, the share sitting on an account with an open case. The join between this screen and the collections floor, and the number no other screen reports.</w:t>
            </w:r>
          </w:p>
        </w:tc>
        <w:tc>
          <w:tcPr>
            <w:tcW w:type="dxa" w:w="1584"/>
          </w:tcPr>
          <w:p>
            <w:pPr>
              <w:jc w:val="right"/>
            </w:pPr>
            <w:r/>
            <w:r>
              <w:rPr>
                <w:sz w:val="19"/>
              </w:rPr>
              <w:t>84.6%</w:t>
            </w:r>
          </w:p>
        </w:tc>
      </w:tr>
      <w:tr>
        <w:tc>
          <w:tcPr>
            <w:tcW w:type="dxa" w:w="2160"/>
          </w:tcPr>
          <w:p>
            <w:r/>
            <w:r>
              <w:rPr>
                <w:sz w:val="19"/>
              </w:rPr>
              <w:t xml:space="preserve">  uncovered</w:t>
            </w:r>
          </w:p>
        </w:tc>
        <w:tc>
          <w:tcPr>
            <w:tcW w:type="dxa" w:w="6192"/>
          </w:tcPr>
          <w:p>
            <w:r/>
            <w:r>
              <w:rPr>
                <w:sz w:val="19"/>
              </w:rPr>
              <w:t>Delinquent money with no case on it at all. Should trend to zero.</w:t>
            </w:r>
          </w:p>
        </w:tc>
        <w:tc>
          <w:tcPr>
            <w:tcW w:type="dxa" w:w="1584"/>
          </w:tcPr>
          <w:p>
            <w:pPr>
              <w:jc w:val="right"/>
            </w:pPr>
            <w:r/>
            <w:r>
              <w:rPr>
                <w:sz w:val="19"/>
              </w:rPr>
              <w:t>$8,515.47</w:t>
            </w:r>
          </w:p>
        </w:tc>
      </w:tr>
      <w:tr>
        <w:tc>
          <w:tcPr>
            <w:tcW w:type="dxa" w:w="2160"/>
          </w:tcPr>
          <w:p>
            <w:r/>
            <w:r>
              <w:rPr>
                <w:sz w:val="19"/>
              </w:rPr>
              <w:t>Cash collection ratio</w:t>
            </w:r>
          </w:p>
        </w:tc>
        <w:tc>
          <w:tcPr>
            <w:tcW w:type="dxa" w:w="6192"/>
          </w:tcPr>
          <w:p>
            <w:r/>
            <w:r>
              <w:rPr>
                <w:sz w:val="19"/>
              </w:rPr>
              <w:t>Payments received this month divided by invoices issued this month. A billing-side measure: it asks whether the business is converting what it bills, not how the collectors are doing.</w:t>
            </w:r>
          </w:p>
        </w:tc>
        <w:tc>
          <w:tcPr>
            <w:tcW w:type="dxa" w:w="1584"/>
          </w:tcPr>
          <w:p>
            <w:pPr>
              <w:jc w:val="right"/>
            </w:pPr>
            <w:r/>
            <w:r>
              <w:rPr>
                <w:sz w:val="19"/>
              </w:rPr>
              <w:t>48.9%</w:t>
            </w:r>
          </w:p>
        </w:tc>
      </w:tr>
      <w:tr>
        <w:tc>
          <w:tcPr>
            <w:tcW w:type="dxa" w:w="2160"/>
          </w:tcPr>
          <w:p>
            <w:r/>
            <w:r>
              <w:rPr>
                <w:sz w:val="19"/>
              </w:rPr>
              <w:t>Where the balance sits</w:t>
            </w:r>
          </w:p>
        </w:tc>
        <w:tc>
          <w:tcPr>
            <w:tcW w:type="dxa" w:w="6192"/>
          </w:tcPr>
          <w:p>
            <w:r/>
            <w:r>
              <w:rPr>
                <w:sz w:val="19"/>
              </w:rPr>
              <w:t>The delinquent balance split so every account is counted exactly once, by precedence: legal, then agency, then dispute, then promise, then in collection, then no case. These add up to the delinquent balance.</w:t>
            </w:r>
          </w:p>
        </w:tc>
        <w:tc>
          <w:tcPr>
            <w:tcW w:type="dxa" w:w="1584"/>
          </w:tcPr>
          <w:p>
            <w:pPr>
              <w:jc w:val="right"/>
            </w:pPr>
            <w:r/>
            <w:r>
              <w:rPr>
                <w:sz w:val="19"/>
              </w:rPr>
              <w:t>5 stages</w:t>
            </w:r>
          </w:p>
        </w:tc>
      </w:tr>
      <w:tr>
        <w:tc>
          <w:tcPr>
            <w:tcW w:type="dxa" w:w="2160"/>
          </w:tcPr>
          <w:p>
            <w:r/>
            <w:r>
              <w:rPr>
                <w:sz w:val="19"/>
              </w:rPr>
              <w:t>Accounts on a strategy</w:t>
            </w:r>
          </w:p>
        </w:tc>
        <w:tc>
          <w:tcPr>
            <w:tcW w:type="dxa" w:w="6192"/>
          </w:tcPr>
          <w:p>
            <w:r/>
            <w:r>
              <w:rPr>
                <w:sz w:val="19"/>
              </w:rPr>
              <w:t>How much of the book is being driven by a dunning journey rather than waited on.</w:t>
            </w:r>
          </w:p>
        </w:tc>
        <w:tc>
          <w:tcPr>
            <w:tcW w:type="dxa" w:w="1584"/>
          </w:tcPr>
          <w:p>
            <w:pPr>
              <w:jc w:val="right"/>
            </w:pPr>
            <w:r/>
            <w:r>
              <w:rPr>
                <w:sz w:val="19"/>
              </w:rPr>
              <w:t>89/95</w:t>
            </w:r>
          </w:p>
        </w:tc>
      </w:tr>
      <w:tr>
        <w:tc>
          <w:tcPr>
            <w:tcW w:type="dxa" w:w="2160"/>
          </w:tcPr>
          <w:p>
            <w:r/>
            <w:r>
              <w:rPr>
                <w:sz w:val="19"/>
              </w:rPr>
              <w:t>High and critical risk</w:t>
            </w:r>
          </w:p>
        </w:tc>
        <w:tc>
          <w:tcPr>
            <w:tcW w:type="dxa" w:w="6192"/>
          </w:tcPr>
          <w:p>
            <w:r/>
            <w:r>
              <w:rPr>
                <w:sz w:val="19"/>
              </w:rPr>
              <w:t>Accounts the risk engine scored High or Critical, and the exposure they carry.</w:t>
            </w:r>
          </w:p>
        </w:tc>
        <w:tc>
          <w:tcPr>
            <w:tcW w:type="dxa" w:w="1584"/>
          </w:tcPr>
          <w:p>
            <w:pPr>
              <w:jc w:val="right"/>
            </w:pPr>
            <w:r/>
            <w:r>
              <w:rPr>
                <w:sz w:val="19"/>
              </w:rPr>
              <w:t>12</w:t>
            </w:r>
          </w:p>
        </w:tc>
      </w:tr>
    </w:tbl>
    <w:p>
      <w:pPr>
        <w:spacing w:after="40"/>
      </w:pPr>
    </w:p>
    <w:p>
      <w:r>
        <w:rPr>
          <w:b/>
          <w:i w:val="0"/>
          <w:sz w:val="21"/>
        </w:rPr>
        <w:t>Why “under collection” and the Collections Dashboard's “open exposure” differ — and both are right</w:t>
      </w:r>
    </w:p>
    <w:p>
      <w:r>
        <w:rPr>
          <w:b w:val="0"/>
          <w:i w:val="0"/>
          <w:sz w:val="21"/>
        </w:rPr>
        <w:t>Portfolio counts only delinquent balances as under collection ($46,887.44). The collections book also holds accounts that are not past due yet — $8,023.85 of it — so its exposure reads $54,911.29. Subtract one from the other and you get exactly the not-yet-due figure. The Collections Dashboard states it on the tile rather than leaving the gap unexplained.</w:t>
      </w:r>
    </w:p>
    <w:p>
      <w:pPr>
        <w:pStyle w:val="Heading2"/>
        <w:spacing w:before="240" w:after="80"/>
      </w:pPr>
      <w:r>
        <w:rPr>
          <w:rFonts w:ascii="Calibri" w:hAnsi="Calibri"/>
          <w:color w:val="1B2233"/>
        </w:rPr>
        <w:t>Collections Dashboard</w:t>
      </w:r>
    </w:p>
    <w:p>
      <w:r>
        <w:rPr>
          <w:b w:val="0"/>
          <w:i w:val="0"/>
          <w:color w:val="5B6677"/>
          <w:sz w:val="19"/>
        </w:rPr>
        <w:t>The collections desk: its book, its cash, its promises, its service level.</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EEF2F9"/>
          </w:tcPr>
          <w:p>
            <w:r/>
            <w:r>
              <w:rPr>
                <w:b/>
                <w:color w:val="1B2233"/>
                <w:sz w:val="18"/>
              </w:rPr>
              <w:t>Measure</w:t>
            </w:r>
          </w:p>
        </w:tc>
        <w:tc>
          <w:tcPr>
            <w:tcW w:type="dxa" w:w="6192"/>
            <w:shd w:val="clear" w:fill="EEF2F9"/>
          </w:tcPr>
          <w:p>
            <w:r/>
            <w:r>
              <w:rPr>
                <w:b/>
                <w:color w:val="1B2233"/>
                <w:sz w:val="18"/>
              </w:rPr>
              <w:t>What it means and how it is worked out</w:t>
            </w:r>
          </w:p>
        </w:tc>
        <w:tc>
          <w:tcPr>
            <w:tcW w:type="dxa" w:w="1584"/>
            <w:shd w:val="clear" w:fill="EEF2F9"/>
          </w:tcPr>
          <w:p>
            <w:pPr>
              <w:jc w:val="right"/>
            </w:pPr>
            <w:r/>
            <w:r>
              <w:rPr>
                <w:b/>
                <w:color w:val="1B2233"/>
                <w:sz w:val="18"/>
              </w:rPr>
              <w:t>Now</w:t>
            </w:r>
          </w:p>
        </w:tc>
      </w:tr>
      <w:tr>
        <w:tc>
          <w:tcPr>
            <w:tcW w:type="dxa" w:w="2160"/>
          </w:tcPr>
          <w:p>
            <w:r/>
            <w:r>
              <w:rPr>
                <w:sz w:val="19"/>
              </w:rPr>
              <w:t>Open exposure</w:t>
            </w:r>
          </w:p>
        </w:tc>
        <w:tc>
          <w:tcPr>
            <w:tcW w:type="dxa" w:w="6192"/>
          </w:tcPr>
          <w:p>
            <w:r/>
            <w:r>
              <w:rPr>
                <w:sz w:val="19"/>
              </w:rPr>
              <w:t>Balance on accounts with a live case — resolved cases excluded, because they are finished work waiting to be closed.</w:t>
            </w:r>
          </w:p>
        </w:tc>
        <w:tc>
          <w:tcPr>
            <w:tcW w:type="dxa" w:w="1584"/>
          </w:tcPr>
          <w:p>
            <w:pPr>
              <w:jc w:val="right"/>
            </w:pPr>
            <w:r/>
            <w:r>
              <w:rPr>
                <w:sz w:val="19"/>
              </w:rPr>
              <w:t>$54,911.29</w:t>
            </w:r>
          </w:p>
        </w:tc>
      </w:tr>
      <w:tr>
        <w:tc>
          <w:tcPr>
            <w:tcW w:type="dxa" w:w="2160"/>
          </w:tcPr>
          <w:p>
            <w:r/>
            <w:r>
              <w:rPr>
                <w:sz w:val="19"/>
              </w:rPr>
              <w:t>Collected · 30 days</w:t>
            </w:r>
          </w:p>
        </w:tc>
        <w:tc>
          <w:tcPr>
            <w:tcW w:type="dxa" w:w="6192"/>
          </w:tcPr>
          <w:p>
            <w:r/>
            <w:r>
              <w:rPr>
                <w:sz w:val="19"/>
              </w:rPr>
              <w:t>Completed payments on those accounts over a rolling thirty days, against the thirty before. Rolling rather than month-to-date, so a comparison made on the 2nd is not a part-month against a whole one.</w:t>
            </w:r>
          </w:p>
        </w:tc>
        <w:tc>
          <w:tcPr>
            <w:tcW w:type="dxa" w:w="1584"/>
          </w:tcPr>
          <w:p>
            <w:pPr>
              <w:jc w:val="right"/>
            </w:pPr>
            <w:r/>
            <w:r>
              <w:rPr>
                <w:sz w:val="19"/>
              </w:rPr>
              <w:t>$22,710.80</w:t>
            </w:r>
          </w:p>
        </w:tc>
      </w:tr>
      <w:tr>
        <w:tc>
          <w:tcPr>
            <w:tcW w:type="dxa" w:w="2160"/>
          </w:tcPr>
          <w:p>
            <w:r/>
            <w:r>
              <w:rPr>
                <w:sz w:val="19"/>
              </w:rPr>
              <w:t>Recovery rate</w:t>
            </w:r>
          </w:p>
        </w:tc>
        <w:tc>
          <w:tcPr>
            <w:tcW w:type="dxa" w:w="6192"/>
          </w:tcPr>
          <w:p>
            <w:r/>
            <w:r>
              <w:rPr>
                <w:sz w:val="19"/>
              </w:rPr>
              <w:t>Collected divided by collected plus still owed — the share of what was collectable that actually came in.</w:t>
            </w:r>
          </w:p>
        </w:tc>
        <w:tc>
          <w:tcPr>
            <w:tcW w:type="dxa" w:w="1584"/>
          </w:tcPr>
          <w:p>
            <w:pPr>
              <w:jc w:val="right"/>
            </w:pPr>
            <w:r/>
            <w:r>
              <w:rPr>
                <w:sz w:val="19"/>
              </w:rPr>
              <w:t>29.3%</w:t>
            </w:r>
          </w:p>
        </w:tc>
      </w:tr>
      <w:tr>
        <w:tc>
          <w:tcPr>
            <w:tcW w:type="dxa" w:w="2160"/>
          </w:tcPr>
          <w:p>
            <w:r/>
            <w:r>
              <w:rPr>
                <w:sz w:val="19"/>
              </w:rPr>
              <w:t>Promises kept</w:t>
            </w:r>
          </w:p>
        </w:tc>
        <w:tc>
          <w:tcPr>
            <w:tcW w:type="dxa" w:w="6192"/>
          </w:tcPr>
          <w:p>
            <w:r/>
            <w:r>
              <w:rPr>
                <w:sz w:val="19"/>
              </w:rPr>
              <w:t>Of promises that have reached their date in the last ninety days, the share honoured. Pending promises are excluded: they have not been tested yet.</w:t>
            </w:r>
          </w:p>
        </w:tc>
        <w:tc>
          <w:tcPr>
            <w:tcW w:type="dxa" w:w="1584"/>
          </w:tcPr>
          <w:p>
            <w:pPr>
              <w:jc w:val="right"/>
            </w:pPr>
            <w:r/>
            <w:r>
              <w:rPr>
                <w:sz w:val="19"/>
              </w:rPr>
              <w:t>37.9%</w:t>
            </w:r>
          </w:p>
        </w:tc>
      </w:tr>
      <w:tr>
        <w:tc>
          <w:tcPr>
            <w:tcW w:type="dxa" w:w="2160"/>
          </w:tcPr>
          <w:p>
            <w:r/>
            <w:r>
              <w:rPr>
                <w:sz w:val="19"/>
              </w:rPr>
              <w:t>On-time work</w:t>
            </w:r>
          </w:p>
        </w:tc>
        <w:tc>
          <w:tcPr>
            <w:tcW w:type="dxa" w:w="6192"/>
          </w:tcPr>
          <w:p>
            <w:r/>
            <w:r>
              <w:rPr>
                <w:sz w:val="19"/>
              </w:rPr>
              <w:t>Share of live cases still inside their next-action SLA. The clock is 'time to the next action', not 'time to resolve' — an aged case that is being worked weekly is healthy; one nobody has touched is not.</w:t>
            </w:r>
          </w:p>
        </w:tc>
        <w:tc>
          <w:tcPr>
            <w:tcW w:type="dxa" w:w="1584"/>
          </w:tcPr>
          <w:p>
            <w:pPr>
              <w:jc w:val="right"/>
            </w:pPr>
            <w:r/>
            <w:r>
              <w:rPr>
                <w:sz w:val="19"/>
              </w:rPr>
              <w:t>46.9%</w:t>
            </w:r>
          </w:p>
        </w:tc>
      </w:tr>
      <w:tr>
        <w:tc>
          <w:tcPr>
            <w:tcW w:type="dxa" w:w="2160"/>
          </w:tcPr>
          <w:p>
            <w:r/>
            <w:r>
              <w:rPr>
                <w:sz w:val="19"/>
              </w:rPr>
              <w:t>Days to close</w:t>
            </w:r>
          </w:p>
        </w:tc>
        <w:tc>
          <w:tcPr>
            <w:tcW w:type="dxa" w:w="6192"/>
          </w:tcPr>
          <w:p>
            <w:r/>
            <w:r>
              <w:rPr>
                <w:sz w:val="19"/>
              </w:rPr>
              <w:t>Average hours from opening to closing, over cases closed in the last ninety days, expressed in days.</w:t>
            </w:r>
          </w:p>
        </w:tc>
        <w:tc>
          <w:tcPr>
            <w:tcW w:type="dxa" w:w="1584"/>
          </w:tcPr>
          <w:p>
            <w:pPr>
              <w:jc w:val="right"/>
            </w:pPr>
            <w:r/>
            <w:r>
              <w:rPr>
                <w:sz w:val="19"/>
              </w:rPr>
              <w:t>50.2</w:t>
            </w:r>
          </w:p>
        </w:tc>
      </w:tr>
      <w:tr>
        <w:tc>
          <w:tcPr>
            <w:tcW w:type="dxa" w:w="2160"/>
          </w:tcPr>
          <w:p>
            <w:r/>
            <w:r>
              <w:rPr>
                <w:sz w:val="19"/>
              </w:rPr>
              <w:t>Not yet picked up</w:t>
            </w:r>
          </w:p>
        </w:tc>
        <w:tc>
          <w:tcPr>
            <w:tcW w:type="dxa" w:w="6192"/>
          </w:tcPr>
          <w:p>
            <w:r/>
            <w:r>
              <w:rPr>
                <w:sz w:val="19"/>
              </w:rPr>
              <w:t>Cases still in Assigned — nobody has done any work on them. The audit moves a case out of Assigned the first time real work is logged.</w:t>
            </w:r>
          </w:p>
        </w:tc>
        <w:tc>
          <w:tcPr>
            <w:tcW w:type="dxa" w:w="1584"/>
          </w:tcPr>
          <w:p>
            <w:pPr>
              <w:jc w:val="right"/>
            </w:pPr>
            <w:r/>
            <w:r>
              <w:rPr>
                <w:sz w:val="19"/>
              </w:rPr>
              <w:t>12</w:t>
            </w:r>
          </w:p>
        </w:tc>
      </w:tr>
    </w:tbl>
    <w:p>
      <w:pPr>
        <w:spacing w:after="40"/>
      </w:pPr>
    </w:p>
    <w:p>
      <w:pPr>
        <w:pStyle w:val="Heading2"/>
        <w:spacing w:before="240" w:after="80"/>
      </w:pPr>
      <w:r>
        <w:rPr>
          <w:rFonts w:ascii="Calibri" w:hAnsi="Calibri"/>
          <w:color w:val="1B2233"/>
        </w:rPr>
        <w:t>Agent Performance</w:t>
      </w:r>
    </w:p>
    <w:p>
      <w:r>
        <w:rPr>
          <w:b w:val="0"/>
          <w:i w:val="0"/>
          <w:color w:val="5B6677"/>
          <w:sz w:val="19"/>
        </w:rPr>
        <w:t>One collector's month. Figures shown are Carlos Rodriguez's. A collector sees only their own; the server enforces that, not the UI.</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EEF2F9"/>
          </w:tcPr>
          <w:p>
            <w:r/>
            <w:r>
              <w:rPr>
                <w:b/>
                <w:color w:val="1B2233"/>
                <w:sz w:val="18"/>
              </w:rPr>
              <w:t>Measure</w:t>
            </w:r>
          </w:p>
        </w:tc>
        <w:tc>
          <w:tcPr>
            <w:tcW w:type="dxa" w:w="6192"/>
            <w:shd w:val="clear" w:fill="EEF2F9"/>
          </w:tcPr>
          <w:p>
            <w:r/>
            <w:r>
              <w:rPr>
                <w:b/>
                <w:color w:val="1B2233"/>
                <w:sz w:val="18"/>
              </w:rPr>
              <w:t>What it means and how it is worked out</w:t>
            </w:r>
          </w:p>
        </w:tc>
        <w:tc>
          <w:tcPr>
            <w:tcW w:type="dxa" w:w="1584"/>
            <w:shd w:val="clear" w:fill="EEF2F9"/>
          </w:tcPr>
          <w:p>
            <w:pPr>
              <w:jc w:val="right"/>
            </w:pPr>
            <w:r/>
            <w:r>
              <w:rPr>
                <w:b/>
                <w:color w:val="1B2233"/>
                <w:sz w:val="18"/>
              </w:rPr>
              <w:t>Now</w:t>
            </w:r>
          </w:p>
        </w:tc>
      </w:tr>
      <w:tr>
        <w:tc>
          <w:tcPr>
            <w:tcW w:type="dxa" w:w="2160"/>
          </w:tcPr>
          <w:p>
            <w:r/>
            <w:r>
              <w:rPr>
                <w:sz w:val="19"/>
              </w:rPr>
              <w:t>Collected</w:t>
            </w:r>
          </w:p>
        </w:tc>
        <w:tc>
          <w:tcPr>
            <w:tcW w:type="dxa" w:w="6192"/>
          </w:tcPr>
          <w:p>
            <w:r/>
            <w:r>
              <w:rPr>
                <w:sz w:val="19"/>
              </w:rPr>
              <w:t>Payments on accounts whose customer this agent owns, this month. Attribution follows one rule everywhere: a payment belongs to the agent who owns the customer.</w:t>
            </w:r>
          </w:p>
        </w:tc>
        <w:tc>
          <w:tcPr>
            <w:tcW w:type="dxa" w:w="1584"/>
          </w:tcPr>
          <w:p>
            <w:pPr>
              <w:jc w:val="right"/>
            </w:pPr>
            <w:r/>
            <w:r>
              <w:rPr>
                <w:sz w:val="19"/>
              </w:rPr>
              <w:t>$4,461.69</w:t>
            </w:r>
          </w:p>
        </w:tc>
      </w:tr>
      <w:tr>
        <w:tc>
          <w:tcPr>
            <w:tcW w:type="dxa" w:w="2160"/>
          </w:tcPr>
          <w:p>
            <w:r/>
            <w:r>
              <w:rPr>
                <w:sz w:val="19"/>
              </w:rPr>
              <w:t>Against target</w:t>
            </w:r>
          </w:p>
        </w:tc>
        <w:tc>
          <w:tcPr>
            <w:tcW w:type="dxa" w:w="6192"/>
          </w:tcPr>
          <w:p>
            <w:r/>
            <w:r>
              <w:rPr>
                <w:sz w:val="19"/>
              </w:rPr>
              <w:t>Collected over the monthly target on the agent's profile. Targets were rebuilt from what each agent actually collects, so attainment means something.</w:t>
            </w:r>
          </w:p>
        </w:tc>
        <w:tc>
          <w:tcPr>
            <w:tcW w:type="dxa" w:w="1584"/>
          </w:tcPr>
          <w:p>
            <w:pPr>
              <w:jc w:val="right"/>
            </w:pPr>
            <w:r/>
            <w:r>
              <w:rPr>
                <w:sz w:val="19"/>
              </w:rPr>
              <w:t>97.2%</w:t>
            </w:r>
          </w:p>
        </w:tc>
      </w:tr>
      <w:tr>
        <w:tc>
          <w:tcPr>
            <w:tcW w:type="dxa" w:w="2160"/>
          </w:tcPr>
          <w:p>
            <w:r/>
            <w:r>
              <w:rPr>
                <w:sz w:val="19"/>
              </w:rPr>
              <w:t>Promises kept</w:t>
            </w:r>
          </w:p>
        </w:tc>
        <w:tc>
          <w:tcPr>
            <w:tcW w:type="dxa" w:w="6192"/>
          </w:tcPr>
          <w:p>
            <w:r/>
            <w:r>
              <w:rPr>
                <w:sz w:val="19"/>
              </w:rPr>
              <w:t>This agent's promises that were honoured, over ninety days.</w:t>
            </w:r>
          </w:p>
        </w:tc>
        <w:tc>
          <w:tcPr>
            <w:tcW w:type="dxa" w:w="1584"/>
          </w:tcPr>
          <w:p>
            <w:pPr>
              <w:jc w:val="right"/>
            </w:pPr>
            <w:r/>
            <w:r>
              <w:rPr>
                <w:sz w:val="19"/>
              </w:rPr>
              <w:t>58.3%</w:t>
            </w:r>
          </w:p>
        </w:tc>
      </w:tr>
      <w:tr>
        <w:tc>
          <w:tcPr>
            <w:tcW w:type="dxa" w:w="2160"/>
          </w:tcPr>
          <w:p>
            <w:r/>
            <w:r>
              <w:rPr>
                <w:sz w:val="19"/>
              </w:rPr>
              <w:t>On-time work</w:t>
            </w:r>
          </w:p>
        </w:tc>
        <w:tc>
          <w:tcPr>
            <w:tcW w:type="dxa" w:w="6192"/>
          </w:tcPr>
          <w:p>
            <w:r/>
            <w:r>
              <w:rPr>
                <w:sz w:val="19"/>
              </w:rPr>
              <w:t>Their live cases inside SLA.</w:t>
            </w:r>
          </w:p>
        </w:tc>
        <w:tc>
          <w:tcPr>
            <w:tcW w:type="dxa" w:w="1584"/>
          </w:tcPr>
          <w:p>
            <w:pPr>
              <w:jc w:val="right"/>
            </w:pPr>
            <w:r/>
            <w:r>
              <w:rPr>
                <w:sz w:val="19"/>
              </w:rPr>
              <w:t>33.3%</w:t>
            </w:r>
          </w:p>
        </w:tc>
      </w:tr>
      <w:tr>
        <w:tc>
          <w:tcPr>
            <w:tcW w:type="dxa" w:w="2160"/>
          </w:tcPr>
          <w:p>
            <w:r/>
            <w:r>
              <w:rPr>
                <w:sz w:val="19"/>
              </w:rPr>
              <w:t>Reached</w:t>
            </w:r>
          </w:p>
        </w:tc>
        <w:tc>
          <w:tcPr>
            <w:tcW w:type="dxa" w:w="6192"/>
          </w:tcPr>
          <w:p>
            <w:r/>
            <w:r>
              <w:rPr>
                <w:sz w:val="19"/>
              </w:rPr>
              <w:t>Conversations that connected, over conversations attempted. A delivery receipt is not a connection.</w:t>
            </w:r>
          </w:p>
        </w:tc>
        <w:tc>
          <w:tcPr>
            <w:tcW w:type="dxa" w:w="1584"/>
          </w:tcPr>
          <w:p>
            <w:pPr>
              <w:jc w:val="right"/>
            </w:pPr>
            <w:r/>
            <w:r>
              <w:rPr>
                <w:sz w:val="19"/>
              </w:rPr>
              <w:t>71.4%</w:t>
            </w:r>
          </w:p>
        </w:tc>
      </w:tr>
      <w:tr>
        <w:tc>
          <w:tcPr>
            <w:tcW w:type="dxa" w:w="2160"/>
          </w:tcPr>
          <w:p>
            <w:r/>
            <w:r>
              <w:rPr>
                <w:sz w:val="19"/>
              </w:rPr>
              <w:t>Follow-ups done</w:t>
            </w:r>
          </w:p>
        </w:tc>
        <w:tc>
          <w:tcPr>
            <w:tcW w:type="dxa" w:w="6192"/>
          </w:tcPr>
          <w:p>
            <w:r/>
            <w:r>
              <w:rPr>
                <w:sz w:val="19"/>
              </w:rPr>
              <w:t>Diary tasks completed over tasks assigned.</w:t>
            </w:r>
          </w:p>
        </w:tc>
        <w:tc>
          <w:tcPr>
            <w:tcW w:type="dxa" w:w="1584"/>
          </w:tcPr>
          <w:p>
            <w:pPr>
              <w:jc w:val="right"/>
            </w:pPr>
            <w:r/>
            <w:r>
              <w:rPr>
                <w:sz w:val="19"/>
              </w:rPr>
              <w:t>15.4%</w:t>
            </w:r>
          </w:p>
        </w:tc>
      </w:tr>
      <w:tr>
        <w:tc>
          <w:tcPr>
            <w:tcW w:type="dxa" w:w="2160"/>
          </w:tcPr>
          <w:p>
            <w:r/>
            <w:r>
              <w:rPr>
                <w:sz w:val="19"/>
              </w:rPr>
              <w:t>Caseload used</w:t>
            </w:r>
          </w:p>
        </w:tc>
        <w:tc>
          <w:tcPr>
            <w:tcW w:type="dxa" w:w="6192"/>
          </w:tcPr>
          <w:p>
            <w:r/>
            <w:r>
              <w:rPr>
                <w:sz w:val="19"/>
              </w:rPr>
              <w:t>Open cases against the ceiling on their profile.</w:t>
            </w:r>
          </w:p>
        </w:tc>
        <w:tc>
          <w:tcPr>
            <w:tcW w:type="dxa" w:w="1584"/>
          </w:tcPr>
          <w:p>
            <w:pPr>
              <w:jc w:val="right"/>
            </w:pPr>
            <w:r/>
            <w:r>
              <w:rPr>
                <w:sz w:val="19"/>
              </w:rPr>
              <w:t>60.0%</w:t>
            </w:r>
          </w:p>
        </w:tc>
      </w:tr>
    </w:tbl>
    <w:p>
      <w:pPr>
        <w:spacing w:after="40"/>
      </w:pPr>
    </w:p>
    <w:p>
      <w:pPr>
        <w:pStyle w:val="Heading2"/>
        <w:spacing w:before="240" w:after="80"/>
      </w:pPr>
      <w:r>
        <w:rPr>
          <w:rFonts w:ascii="Calibri" w:hAnsi="Calibri"/>
          <w:color w:val="1B2233"/>
        </w:rPr>
        <w:t>AI Engagement Center — Contact History</w:t>
      </w:r>
    </w:p>
    <w:p>
      <w:r>
        <w:rPr>
          <w:b w:val="0"/>
          <w:i w:val="0"/>
          <w:color w:val="5B6677"/>
          <w:sz w:val="19"/>
        </w:rPr>
        <w:t>Every conversation on any channel, over the last ninety days.</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EEF2F9"/>
          </w:tcPr>
          <w:p>
            <w:r/>
            <w:r>
              <w:rPr>
                <w:b/>
                <w:color w:val="1B2233"/>
                <w:sz w:val="18"/>
              </w:rPr>
              <w:t>Measure</w:t>
            </w:r>
          </w:p>
        </w:tc>
        <w:tc>
          <w:tcPr>
            <w:tcW w:type="dxa" w:w="6192"/>
            <w:shd w:val="clear" w:fill="EEF2F9"/>
          </w:tcPr>
          <w:p>
            <w:r/>
            <w:r>
              <w:rPr>
                <w:b/>
                <w:color w:val="1B2233"/>
                <w:sz w:val="18"/>
              </w:rPr>
              <w:t>What it means and how it is worked out</w:t>
            </w:r>
          </w:p>
        </w:tc>
        <w:tc>
          <w:tcPr>
            <w:tcW w:type="dxa" w:w="1584"/>
            <w:shd w:val="clear" w:fill="EEF2F9"/>
          </w:tcPr>
          <w:p>
            <w:pPr>
              <w:jc w:val="right"/>
            </w:pPr>
            <w:r/>
            <w:r>
              <w:rPr>
                <w:b/>
                <w:color w:val="1B2233"/>
                <w:sz w:val="18"/>
              </w:rPr>
              <w:t>Now</w:t>
            </w:r>
          </w:p>
        </w:tc>
      </w:tr>
      <w:tr>
        <w:tc>
          <w:tcPr>
            <w:tcW w:type="dxa" w:w="2160"/>
          </w:tcPr>
          <w:p>
            <w:r/>
            <w:r>
              <w:rPr>
                <w:sz w:val="19"/>
              </w:rPr>
              <w:t>Conversations</w:t>
            </w:r>
          </w:p>
        </w:tc>
        <w:tc>
          <w:tcPr>
            <w:tcW w:type="dxa" w:w="6192"/>
          </w:tcPr>
          <w:p>
            <w:r/>
            <w:r>
              <w:rPr>
                <w:sz w:val="19"/>
              </w:rPr>
              <w:t>Calls, SMS, email, WhatsApp, IVR and bot exchanges. Internal notes and status changes are excluded — they are not conversations.</w:t>
            </w:r>
          </w:p>
        </w:tc>
        <w:tc>
          <w:tcPr>
            <w:tcW w:type="dxa" w:w="1584"/>
          </w:tcPr>
          <w:p>
            <w:pPr>
              <w:jc w:val="right"/>
            </w:pPr>
            <w:r/>
            <w:r>
              <w:rPr>
                <w:sz w:val="19"/>
              </w:rPr>
              <w:t>292</w:t>
            </w:r>
          </w:p>
        </w:tc>
      </w:tr>
      <w:tr>
        <w:tc>
          <w:tcPr>
            <w:tcW w:type="dxa" w:w="2160"/>
          </w:tcPr>
          <w:p>
            <w:r/>
            <w:r>
              <w:rPr>
                <w:sz w:val="19"/>
              </w:rPr>
              <w:t>Connected</w:t>
            </w:r>
          </w:p>
        </w:tc>
        <w:tc>
          <w:tcPr>
            <w:tcW w:type="dxa" w:w="6192"/>
          </w:tcPr>
          <w:p>
            <w:r/>
            <w:r>
              <w:rPr>
                <w:sz w:val="19"/>
              </w:rPr>
              <w:t>Of the attempts somebody could have answered, the share that reached a person. Attempts that were only delivered — an SMS receipt, an email open — are excluded from the denominator, not counted as successes.</w:t>
            </w:r>
          </w:p>
        </w:tc>
        <w:tc>
          <w:tcPr>
            <w:tcW w:type="dxa" w:w="1584"/>
          </w:tcPr>
          <w:p>
            <w:pPr>
              <w:jc w:val="right"/>
            </w:pPr>
            <w:r/>
            <w:r>
              <w:rPr>
                <w:sz w:val="19"/>
              </w:rPr>
              <w:t>69.4%</w:t>
            </w:r>
          </w:p>
        </w:tc>
      </w:tr>
      <w:tr>
        <w:tc>
          <w:tcPr>
            <w:tcW w:type="dxa" w:w="2160"/>
          </w:tcPr>
          <w:p>
            <w:r/>
            <w:r>
              <w:rPr>
                <w:sz w:val="19"/>
              </w:rPr>
              <w:t>No answer</w:t>
            </w:r>
          </w:p>
        </w:tc>
        <w:tc>
          <w:tcPr>
            <w:tcW w:type="dxa" w:w="6192"/>
          </w:tcPr>
          <w:p>
            <w:r/>
            <w:r>
              <w:rPr>
                <w:sz w:val="19"/>
              </w:rPr>
              <w:t>Attempts nobody picked up.</w:t>
            </w:r>
          </w:p>
        </w:tc>
        <w:tc>
          <w:tcPr>
            <w:tcW w:type="dxa" w:w="1584"/>
          </w:tcPr>
          <w:p>
            <w:pPr>
              <w:jc w:val="right"/>
            </w:pPr>
            <w:r/>
            <w:r>
              <w:rPr>
                <w:sz w:val="19"/>
              </w:rPr>
              <w:t>77</w:t>
            </w:r>
          </w:p>
        </w:tc>
      </w:tr>
      <w:tr>
        <w:tc>
          <w:tcPr>
            <w:tcW w:type="dxa" w:w="2160"/>
          </w:tcPr>
          <w:p>
            <w:r/>
            <w:r>
              <w:rPr>
                <w:sz w:val="19"/>
              </w:rPr>
              <w:t>Handled by bots</w:t>
            </w:r>
          </w:p>
        </w:tc>
        <w:tc>
          <w:tcPr>
            <w:tcW w:type="dxa" w:w="6192"/>
          </w:tcPr>
          <w:p>
            <w:r/>
            <w:r>
              <w:rPr>
                <w:sz w:val="19"/>
              </w:rPr>
              <w:t>Share of all conversations that were automated.</w:t>
            </w:r>
          </w:p>
        </w:tc>
        <w:tc>
          <w:tcPr>
            <w:tcW w:type="dxa" w:w="1584"/>
          </w:tcPr>
          <w:p>
            <w:pPr>
              <w:jc w:val="right"/>
            </w:pPr>
            <w:r/>
            <w:r>
              <w:rPr>
                <w:sz w:val="19"/>
              </w:rPr>
              <w:t>41.8%</w:t>
            </w:r>
          </w:p>
        </w:tc>
      </w:tr>
      <w:tr>
        <w:tc>
          <w:tcPr>
            <w:tcW w:type="dxa" w:w="2160"/>
          </w:tcPr>
          <w:p>
            <w:r/>
            <w:r>
              <w:rPr>
                <w:sz w:val="19"/>
              </w:rPr>
              <w:t>Customer got in touch</w:t>
            </w:r>
          </w:p>
        </w:tc>
        <w:tc>
          <w:tcPr>
            <w:tcW w:type="dxa" w:w="6192"/>
          </w:tcPr>
          <w:p>
            <w:r/>
            <w:r>
              <w:rPr>
                <w:sz w:val="19"/>
              </w:rPr>
              <w:t>Inbound conversations. The rest were outbound.</w:t>
            </w:r>
          </w:p>
        </w:tc>
        <w:tc>
          <w:tcPr>
            <w:tcW w:type="dxa" w:w="1584"/>
          </w:tcPr>
          <w:p>
            <w:pPr>
              <w:jc w:val="right"/>
            </w:pPr>
            <w:r/>
            <w:r>
              <w:rPr>
                <w:sz w:val="19"/>
              </w:rPr>
              <w:t>10</w:t>
            </w:r>
          </w:p>
        </w:tc>
      </w:tr>
      <w:tr>
        <w:tc>
          <w:tcPr>
            <w:tcW w:type="dxa" w:w="2160"/>
          </w:tcPr>
          <w:p>
            <w:r/>
            <w:r>
              <w:rPr>
                <w:sz w:val="19"/>
              </w:rPr>
              <w:t>Led to a promise</w:t>
            </w:r>
          </w:p>
        </w:tc>
        <w:tc>
          <w:tcPr>
            <w:tcW w:type="dxa" w:w="6192"/>
          </w:tcPr>
          <w:p>
            <w:r/>
            <w:r>
              <w:rPr>
                <w:sz w:val="19"/>
              </w:rPr>
              <w:t>Conversations followed by a promise within two days — the closest this data comes to attributing an outcome to a conversation.</w:t>
            </w:r>
          </w:p>
        </w:tc>
        <w:tc>
          <w:tcPr>
            <w:tcW w:type="dxa" w:w="1584"/>
          </w:tcPr>
          <w:p>
            <w:pPr>
              <w:jc w:val="right"/>
            </w:pPr>
            <w:r/>
            <w:r>
              <w:rPr>
                <w:sz w:val="19"/>
              </w:rPr>
              <w:t>22</w:t>
            </w:r>
          </w:p>
        </w:tc>
      </w:tr>
    </w:tbl>
    <w:p>
      <w:pPr>
        <w:spacing w:after="40"/>
      </w:pPr>
    </w:p>
    <w:p>
      <w:pPr>
        <w:pStyle w:val="Heading2"/>
        <w:spacing w:before="240" w:after="80"/>
      </w:pPr>
      <w:r>
        <w:rPr>
          <w:rFonts w:ascii="Calibri" w:hAnsi="Calibri"/>
          <w:color w:val="1B2233"/>
        </w:rPr>
        <w:t>Strategy Simulation</w:t>
      </w:r>
    </w:p>
    <w:p>
      <w:r>
        <w:rPr>
          <w:b w:val="0"/>
          <w:i w:val="0"/>
          <w:color w:val="5B6677"/>
          <w:sz w:val="19"/>
        </w:rPr>
        <w:t>A projection, not a forecast. Every rate is shown with whether it was measured from this book or assumed, and each run stores its seed so the same inputs always give the same answer.</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EEF2F9"/>
          </w:tcPr>
          <w:p>
            <w:r/>
            <w:r>
              <w:rPr>
                <w:b/>
                <w:color w:val="1B2233"/>
                <w:sz w:val="18"/>
              </w:rPr>
              <w:t>Measure</w:t>
            </w:r>
          </w:p>
        </w:tc>
        <w:tc>
          <w:tcPr>
            <w:tcW w:type="dxa" w:w="6192"/>
            <w:shd w:val="clear" w:fill="EEF2F9"/>
          </w:tcPr>
          <w:p>
            <w:r/>
            <w:r>
              <w:rPr>
                <w:b/>
                <w:color w:val="1B2233"/>
                <w:sz w:val="18"/>
              </w:rPr>
              <w:t>What it means and how it is worked out</w:t>
            </w:r>
          </w:p>
        </w:tc>
        <w:tc>
          <w:tcPr>
            <w:tcW w:type="dxa" w:w="1584"/>
            <w:shd w:val="clear" w:fill="EEF2F9"/>
          </w:tcPr>
          <w:p>
            <w:pPr>
              <w:jc w:val="right"/>
            </w:pPr>
            <w:r/>
            <w:r>
              <w:rPr>
                <w:b/>
                <w:color w:val="1B2233"/>
                <w:sz w:val="18"/>
              </w:rPr>
              <w:t>Now</w:t>
            </w:r>
          </w:p>
        </w:tc>
      </w:tr>
      <w:tr>
        <w:tc>
          <w:tcPr>
            <w:tcW w:type="dxa" w:w="2160"/>
          </w:tcPr>
          <w:p>
            <w:r/>
            <w:r>
              <w:rPr>
                <w:sz w:val="19"/>
              </w:rPr>
              <w:t>Reach per channel</w:t>
            </w:r>
          </w:p>
        </w:tc>
        <w:tc>
          <w:tcPr>
            <w:tcW w:type="dxa" w:w="6192"/>
          </w:tcPr>
          <w:p>
            <w:r/>
            <w:r>
              <w:rPr>
                <w:sz w:val="19"/>
              </w:rPr>
              <w:t>Measured from what each channel has actually achieved here. Channels with too little history fall back to a conservative default, and the screen says which.</w:t>
            </w:r>
          </w:p>
        </w:tc>
        <w:tc>
          <w:tcPr>
            <w:tcW w:type="dxa" w:w="1584"/>
          </w:tcPr>
          <w:p>
            <w:pPr>
              <w:jc w:val="right"/>
            </w:pPr>
            <w:r/>
            <w:r>
              <w:rPr>
                <w:sz w:val="19"/>
              </w:rPr>
              <w:t>5/8 measured</w:t>
            </w:r>
          </w:p>
        </w:tc>
      </w:tr>
      <w:tr>
        <w:tc>
          <w:tcPr>
            <w:tcW w:type="dxa" w:w="2160"/>
          </w:tcPr>
          <w:p>
            <w:r/>
            <w:r>
              <w:rPr>
                <w:sz w:val="19"/>
              </w:rPr>
              <w:t>Promises kept</w:t>
            </w:r>
          </w:p>
        </w:tc>
        <w:tc>
          <w:tcPr>
            <w:tcW w:type="dxa" w:w="6192"/>
          </w:tcPr>
          <w:p>
            <w:r/>
            <w:r>
              <w:rPr>
                <w:sz w:val="19"/>
              </w:rPr>
              <w:t>measured from 61 settled promises</w:t>
            </w:r>
          </w:p>
        </w:tc>
        <w:tc>
          <w:tcPr>
            <w:tcW w:type="dxa" w:w="1584"/>
          </w:tcPr>
          <w:p>
            <w:pPr>
              <w:jc w:val="right"/>
            </w:pPr>
            <w:r/>
            <w:r>
              <w:rPr>
                <w:sz w:val="19"/>
              </w:rPr>
              <w:t>41.0%</w:t>
            </w:r>
          </w:p>
        </w:tc>
      </w:tr>
      <w:tr>
        <w:tc>
          <w:tcPr>
            <w:tcW w:type="dxa" w:w="2160"/>
          </w:tcPr>
          <w:p>
            <w:r/>
            <w:r>
              <w:rPr>
                <w:sz w:val="19"/>
              </w:rPr>
              <w:t>Settlement share</w:t>
            </w:r>
          </w:p>
        </w:tc>
        <w:tc>
          <w:tcPr>
            <w:tcW w:type="dxa" w:w="6192"/>
          </w:tcPr>
          <w:p>
            <w:r/>
            <w:r>
              <w:rPr>
                <w:sz w:val="19"/>
              </w:rPr>
              <w:t>What a paying account typically clears, as a share of what it owed. measured from 88 paying accounts over 180 days</w:t>
            </w:r>
          </w:p>
        </w:tc>
        <w:tc>
          <w:tcPr>
            <w:tcW w:type="dxa" w:w="1584"/>
          </w:tcPr>
          <w:p>
            <w:pPr>
              <w:jc w:val="right"/>
            </w:pPr>
            <w:r/>
            <w:r>
              <w:rPr>
                <w:sz w:val="19"/>
              </w:rPr>
              <w:t>74.3%</w:t>
            </w:r>
          </w:p>
        </w:tc>
      </w:tr>
      <w:tr>
        <w:tc>
          <w:tcPr>
            <w:tcW w:type="dxa" w:w="2160"/>
          </w:tcPr>
          <w:p>
            <w:r/>
            <w:r>
              <w:rPr>
                <w:sz w:val="19"/>
              </w:rPr>
              <w:t>Risk and age factors</w:t>
            </w:r>
          </w:p>
        </w:tc>
        <w:tc>
          <w:tcPr>
            <w:tcW w:type="dxa" w:w="6192"/>
          </w:tcPr>
          <w:p>
            <w:r/>
            <w:r>
              <w:rPr>
                <w:sz w:val="19"/>
              </w:rPr>
              <w:t>Multipliers on the chance of paying: a fresh, low-risk balance is worth more than an old, high-risk one.</w:t>
            </w:r>
          </w:p>
        </w:tc>
        <w:tc>
          <w:tcPr>
            <w:tcW w:type="dxa" w:w="1584"/>
          </w:tcPr>
          <w:p>
            <w:pPr>
              <w:jc w:val="right"/>
            </w:pPr>
            <w:r/>
            <w:r>
              <w:rPr>
                <w:sz w:val="19"/>
              </w:rPr>
              <w:t>6 factors</w:t>
            </w:r>
          </w:p>
        </w:tc>
      </w:tr>
    </w:tbl>
    <w:p>
      <w:pPr>
        <w:spacing w:after="40"/>
      </w:pPr>
    </w:p>
    <w:p>
      <w:r>
        <w:rPr>
          <w:b/>
          <w:i w:val="0"/>
          <w:sz w:val="21"/>
        </w:rPr>
        <w:t>What a run reports</w:t>
      </w:r>
    </w:p>
    <w:p>
      <w:pPr>
        <w:pStyle w:val="ListBullet"/>
        <w:spacing w:after="60"/>
      </w:pPr>
      <w:r>
        <w:rPr>
          <w:b/>
        </w:rPr>
        <w:t xml:space="preserve">Headline: </w:t>
      </w:r>
      <w:r>
        <w:t>accounts in, exposure, touches sent, cost to run, recovered, recovery rate, cost per $100 recovered, average days to settle</w:t>
      </w:r>
    </w:p>
    <w:p>
      <w:pPr>
        <w:pStyle w:val="ListBullet"/>
        <w:spacing w:after="60"/>
      </w:pPr>
      <w:r>
        <w:rPr>
          <w:b/>
        </w:rPr>
        <w:t xml:space="preserve">Funnel: </w:t>
      </w:r>
      <w:r>
        <w:t>every account counted once, at the furthest point it reached — settled, escalated, finished unpaid, or still running when the horizon ended</w:t>
      </w:r>
    </w:p>
    <w:p>
      <w:pPr>
        <w:pStyle w:val="ListBullet"/>
        <w:spacing w:after="60"/>
      </w:pPr>
      <w:r>
        <w:rPr>
          <w:b/>
        </w:rPr>
        <w:t xml:space="preserve">Step by step: </w:t>
      </w:r>
      <w:r>
        <w:t>how many reached each step of the real workflow and what happened there, so a step that drops everybody is visible</w:t>
      </w:r>
    </w:p>
    <w:p>
      <w:r>
        <w:br w:type="page"/>
      </w:r>
    </w:p>
    <w:p>
      <w:pPr>
        <w:pStyle w:val="Heading1"/>
        <w:spacing w:before="360" w:after="80"/>
      </w:pPr>
      <w:r>
        <w:rPr>
          <w:rFonts w:ascii="Calibri" w:hAnsi="Calibri"/>
          <w:color w:val="2C5AD8"/>
        </w:rPr>
        <w:t>Part 4 — What matches what</w:t>
      </w:r>
    </w:p>
    <w:p>
      <w:r>
        <w:rPr>
          <w:b w:val="0"/>
          <w:i w:val="0"/>
          <w:sz w:val="21"/>
        </w:rPr>
        <w:t>A demo lives or dies on whether the numbers agree. These are the reconciliations that hold, and how to show each one.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4464"/>
            <w:shd w:val="clear" w:fill="EEF2F9"/>
          </w:tcPr>
          <w:p>
            <w:r/>
            <w:r>
              <w:rPr>
                <w:b/>
                <w:color w:val="1B2233"/>
                <w:sz w:val="18"/>
              </w:rPr>
              <w:t>What must agree</w:t>
            </w:r>
          </w:p>
        </w:tc>
        <w:tc>
          <w:tcPr>
            <w:tcW w:type="dxa" w:w="2016"/>
            <w:shd w:val="clear" w:fill="EEF2F9"/>
          </w:tcPr>
          <w:p>
            <w:pPr>
              <w:jc w:val="right"/>
            </w:pPr>
            <w:r/>
            <w:r>
              <w:rPr>
                <w:b/>
                <w:color w:val="1B2233"/>
                <w:sz w:val="18"/>
              </w:rPr>
              <w:t>Left</w:t>
            </w:r>
          </w:p>
        </w:tc>
        <w:tc>
          <w:tcPr>
            <w:tcW w:type="dxa" w:w="2016"/>
            <w:shd w:val="clear" w:fill="EEF2F9"/>
          </w:tcPr>
          <w:p>
            <w:pPr>
              <w:jc w:val="right"/>
            </w:pPr>
            <w:r/>
            <w:r>
              <w:rPr>
                <w:b/>
                <w:color w:val="1B2233"/>
                <w:sz w:val="18"/>
              </w:rPr>
              <w:t>Right</w:t>
            </w:r>
          </w:p>
        </w:tc>
        <w:tc>
          <w:tcPr>
            <w:tcW w:type="dxa" w:w="1152"/>
            <w:shd w:val="clear" w:fill="EEF2F9"/>
          </w:tcPr>
          <w:p>
            <w:pPr>
              <w:jc w:val="right"/>
            </w:pPr>
            <w:r/>
            <w:r>
              <w:rPr>
                <w:b/>
                <w:color w:val="1B2233"/>
                <w:sz w:val="18"/>
              </w:rPr>
              <w:t>Agrees?</w:t>
            </w:r>
          </w:p>
        </w:tc>
      </w:tr>
      <w:tr>
        <w:tc>
          <w:tcPr>
            <w:tcW w:type="dxa" w:w="4464"/>
          </w:tcPr>
          <w:p>
            <w:r/>
            <w:r>
              <w:rPr>
                <w:sz w:val="19"/>
              </w:rPr>
              <w:t>Delinquent balance = the sum of its stages</w:t>
              <w:br/>
              <w:t>Portfolio headline against its own split</w:t>
            </w:r>
          </w:p>
        </w:tc>
        <w:tc>
          <w:tcPr>
            <w:tcW w:type="dxa" w:w="2016"/>
          </w:tcPr>
          <w:p>
            <w:pPr>
              <w:jc w:val="right"/>
            </w:pPr>
            <w:r/>
            <w:r>
              <w:rPr>
                <w:sz w:val="19"/>
              </w:rPr>
              <w:t>$55,402.91</w:t>
            </w:r>
          </w:p>
        </w:tc>
        <w:tc>
          <w:tcPr>
            <w:tcW w:type="dxa" w:w="2016"/>
          </w:tcPr>
          <w:p>
            <w:pPr>
              <w:jc w:val="right"/>
            </w:pPr>
            <w:r/>
            <w:r>
              <w:rPr>
                <w:sz w:val="19"/>
              </w:rPr>
              <w:t>$55,402.91</w:t>
            </w:r>
          </w:p>
        </w:tc>
        <w:tc>
          <w:tcPr>
            <w:tcW w:type="dxa" w:w="1152"/>
          </w:tcPr>
          <w:p>
            <w:pPr>
              <w:jc w:val="right"/>
            </w:pPr>
            <w:r/>
            <w:r>
              <w:rPr>
                <w:sz w:val="19"/>
              </w:rPr>
              <w:t>yes</w:t>
            </w:r>
          </w:p>
        </w:tc>
      </w:tr>
      <w:tr>
        <w:tc>
          <w:tcPr>
            <w:tcW w:type="dxa" w:w="4464"/>
          </w:tcPr>
          <w:p>
            <w:r/>
            <w:r>
              <w:rPr>
                <w:sz w:val="19"/>
              </w:rPr>
              <w:t>Under collection = the delinquent part of the collections book</w:t>
              <w:br/>
              <w:t>Portfolio coverage against the Collections Dashboard</w:t>
            </w:r>
          </w:p>
        </w:tc>
        <w:tc>
          <w:tcPr>
            <w:tcW w:type="dxa" w:w="2016"/>
          </w:tcPr>
          <w:p>
            <w:pPr>
              <w:jc w:val="right"/>
            </w:pPr>
            <w:r/>
            <w:r>
              <w:rPr>
                <w:sz w:val="19"/>
              </w:rPr>
              <w:t>$46,887.44</w:t>
            </w:r>
          </w:p>
        </w:tc>
        <w:tc>
          <w:tcPr>
            <w:tcW w:type="dxa" w:w="2016"/>
          </w:tcPr>
          <w:p>
            <w:pPr>
              <w:jc w:val="right"/>
            </w:pPr>
            <w:r/>
            <w:r>
              <w:rPr>
                <w:sz w:val="19"/>
              </w:rPr>
              <w:t>$46,887.44</w:t>
            </w:r>
          </w:p>
        </w:tc>
        <w:tc>
          <w:tcPr>
            <w:tcW w:type="dxa" w:w="1152"/>
          </w:tcPr>
          <w:p>
            <w:pPr>
              <w:jc w:val="right"/>
            </w:pPr>
            <w:r/>
            <w:r>
              <w:rPr>
                <w:sz w:val="19"/>
              </w:rPr>
              <w:t>yes</w:t>
            </w:r>
          </w:p>
        </w:tc>
      </w:tr>
      <w:tr>
        <w:tc>
          <w:tcPr>
            <w:tcW w:type="dxa" w:w="4464"/>
          </w:tcPr>
          <w:p>
            <w:r/>
            <w:r>
              <w:rPr>
                <w:sz w:val="19"/>
              </w:rPr>
              <w:t>Open cases on both dashboards</w:t>
            </w:r>
          </w:p>
        </w:tc>
        <w:tc>
          <w:tcPr>
            <w:tcW w:type="dxa" w:w="2016"/>
          </w:tcPr>
          <w:p>
            <w:pPr>
              <w:jc w:val="right"/>
            </w:pPr>
            <w:r/>
            <w:r>
              <w:rPr>
                <w:sz w:val="19"/>
              </w:rPr>
              <w:t>49</w:t>
            </w:r>
          </w:p>
        </w:tc>
        <w:tc>
          <w:tcPr>
            <w:tcW w:type="dxa" w:w="2016"/>
          </w:tcPr>
          <w:p>
            <w:pPr>
              <w:jc w:val="right"/>
            </w:pPr>
            <w:r/>
            <w:r>
              <w:rPr>
                <w:sz w:val="19"/>
              </w:rPr>
              <w:t>49</w:t>
            </w:r>
          </w:p>
        </w:tc>
        <w:tc>
          <w:tcPr>
            <w:tcW w:type="dxa" w:w="1152"/>
          </w:tcPr>
          <w:p>
            <w:pPr>
              <w:jc w:val="right"/>
            </w:pPr>
            <w:r/>
            <w:r>
              <w:rPr>
                <w:sz w:val="19"/>
              </w:rPr>
              <w:t>yes</w:t>
            </w:r>
          </w:p>
        </w:tc>
      </w:tr>
      <w:tr>
        <w:tc>
          <w:tcPr>
            <w:tcW w:type="dxa" w:w="4464"/>
          </w:tcPr>
          <w:p>
            <w:r/>
            <w:r>
              <w:rPr>
                <w:sz w:val="19"/>
              </w:rPr>
              <w:t>Agency recovery = cash on the ledger</w:t>
              <w:br/>
              <w:t>Recovery Workspace against Subscriber 360 for PL-1092</w:t>
            </w:r>
          </w:p>
        </w:tc>
        <w:tc>
          <w:tcPr>
            <w:tcW w:type="dxa" w:w="2016"/>
          </w:tcPr>
          <w:p>
            <w:pPr>
              <w:jc w:val="right"/>
            </w:pPr>
            <w:r/>
            <w:r>
              <w:rPr>
                <w:sz w:val="19"/>
              </w:rPr>
              <w:t>$350.00</w:t>
            </w:r>
          </w:p>
        </w:tc>
        <w:tc>
          <w:tcPr>
            <w:tcW w:type="dxa" w:w="2016"/>
          </w:tcPr>
          <w:p>
            <w:pPr>
              <w:jc w:val="right"/>
            </w:pPr>
            <w:r/>
            <w:r>
              <w:rPr>
                <w:sz w:val="19"/>
              </w:rPr>
              <w:t>$350.00</w:t>
            </w:r>
          </w:p>
        </w:tc>
        <w:tc>
          <w:tcPr>
            <w:tcW w:type="dxa" w:w="1152"/>
          </w:tcPr>
          <w:p>
            <w:pPr>
              <w:jc w:val="right"/>
            </w:pPr>
            <w:r/>
            <w:r>
              <w:rPr>
                <w:sz w:val="19"/>
              </w:rPr>
              <w:t>yes</w:t>
            </w:r>
          </w:p>
        </w:tc>
      </w:tr>
      <w:tr>
        <w:tc>
          <w:tcPr>
            <w:tcW w:type="dxa" w:w="4464"/>
          </w:tcPr>
          <w:p>
            <w:r/>
            <w:r>
              <w:rPr>
                <w:sz w:val="19"/>
              </w:rPr>
              <w:t>Every account's billing explains its balance</w:t>
              <w:br/>
              <w:t>invoices minus payments = outstanding, on all accounts</w:t>
            </w:r>
          </w:p>
        </w:tc>
        <w:tc>
          <w:tcPr>
            <w:tcW w:type="dxa" w:w="2016"/>
          </w:tcPr>
          <w:p>
            <w:pPr>
              <w:jc w:val="right"/>
            </w:pPr>
            <w:r/>
            <w:r>
              <w:rPr>
                <w:sz w:val="19"/>
              </w:rPr>
              <w:t>95 accounts</w:t>
            </w:r>
          </w:p>
        </w:tc>
        <w:tc>
          <w:tcPr>
            <w:tcW w:type="dxa" w:w="2016"/>
          </w:tcPr>
          <w:p>
            <w:pPr>
              <w:jc w:val="right"/>
            </w:pPr>
            <w:r/>
            <w:r>
              <w:rPr>
                <w:sz w:val="19"/>
              </w:rPr>
              <w:t>0 disagree</w:t>
            </w:r>
          </w:p>
        </w:tc>
        <w:tc>
          <w:tcPr>
            <w:tcW w:type="dxa" w:w="1152"/>
          </w:tcPr>
          <w:p>
            <w:pPr>
              <w:jc w:val="right"/>
            </w:pPr>
            <w:r/>
            <w:r>
              <w:rPr>
                <w:sz w:val="19"/>
              </w:rPr>
              <w:t>yes</w:t>
            </w:r>
          </w:p>
        </w:tc>
      </w:tr>
    </w:tbl>
    <w:p>
      <w:pPr>
        <w:spacing w:after="40"/>
      </w:pPr>
    </w:p>
    <w:p>
      <w:r>
        <w:rPr>
          <w:b/>
          <w:i w:val="0"/>
          <w:sz w:val="21"/>
        </w:rPr>
        <w:t>The three demo accounts, proved individually</w:t>
      </w:r>
    </w:p>
    <w:tbl>
      <w:tblPr>
        <w:tblStyle w:val="TableGrid"/>
        <w:tblW w:type="auto" w:w="0"/>
        <w:jc w:val="left"/>
        <w:tblLook w:firstColumn="1" w:firstRow="1" w:lastColumn="0" w:lastRow="0" w:noHBand="0" w:noVBand="1" w:val="04A0"/>
      </w:tblPr>
      <w:tblGrid>
        <w:gridCol w:w="1632"/>
        <w:gridCol w:w="1632"/>
        <w:gridCol w:w="1632"/>
        <w:gridCol w:w="1632"/>
        <w:gridCol w:w="1632"/>
        <w:gridCol w:w="1632"/>
      </w:tblGrid>
      <w:tr>
        <w:tc>
          <w:tcPr>
            <w:tcW w:type="dxa" w:w="1584"/>
            <w:shd w:val="clear" w:fill="EEF2F9"/>
          </w:tcPr>
          <w:p>
            <w:r/>
            <w:r>
              <w:rPr>
                <w:b/>
                <w:color w:val="1B2233"/>
                <w:sz w:val="18"/>
              </w:rPr>
              <w:t>Account</w:t>
            </w:r>
          </w:p>
        </w:tc>
        <w:tc>
          <w:tcPr>
            <w:tcW w:type="dxa" w:w="2880"/>
            <w:shd w:val="clear" w:fill="EEF2F9"/>
          </w:tcPr>
          <w:p>
            <w:r/>
            <w:r>
              <w:rPr>
                <w:b/>
                <w:color w:val="1B2233"/>
                <w:sz w:val="18"/>
              </w:rPr>
              <w:t>Customer</w:t>
            </w:r>
          </w:p>
        </w:tc>
        <w:tc>
          <w:tcPr>
            <w:tcW w:type="dxa" w:w="1584"/>
            <w:shd w:val="clear" w:fill="EEF2F9"/>
          </w:tcPr>
          <w:p>
            <w:pPr>
              <w:jc w:val="right"/>
            </w:pPr>
            <w:r/>
            <w:r>
              <w:rPr>
                <w:b/>
                <w:color w:val="1B2233"/>
                <w:sz w:val="18"/>
              </w:rPr>
              <w:t>Billed</w:t>
            </w:r>
          </w:p>
        </w:tc>
        <w:tc>
          <w:tcPr>
            <w:tcW w:type="dxa" w:w="1440"/>
            <w:shd w:val="clear" w:fill="EEF2F9"/>
          </w:tcPr>
          <w:p>
            <w:pPr>
              <w:jc w:val="right"/>
            </w:pPr>
            <w:r/>
            <w:r>
              <w:rPr>
                <w:b/>
                <w:color w:val="1B2233"/>
                <w:sz w:val="18"/>
              </w:rPr>
              <w:t>Paid</w:t>
            </w:r>
          </w:p>
        </w:tc>
        <w:tc>
          <w:tcPr>
            <w:tcW w:type="dxa" w:w="1728"/>
            <w:shd w:val="clear" w:fill="EEF2F9"/>
          </w:tcPr>
          <w:p>
            <w:pPr>
              <w:jc w:val="right"/>
            </w:pPr>
            <w:r/>
            <w:r>
              <w:rPr>
                <w:b/>
                <w:color w:val="1B2233"/>
                <w:sz w:val="18"/>
              </w:rPr>
              <w:t>Outstanding</w:t>
            </w:r>
          </w:p>
        </w:tc>
        <w:tc>
          <w:tcPr>
            <w:tcW w:type="dxa" w:w="864"/>
            <w:shd w:val="clear" w:fill="EEF2F9"/>
          </w:tcPr>
          <w:p>
            <w:pPr>
              <w:jc w:val="right"/>
            </w:pPr>
            <w:r/>
            <w:r>
              <w:rPr>
                <w:b/>
                <w:color w:val="1B2233"/>
                <w:sz w:val="18"/>
              </w:rPr>
              <w:t>Ties?</w:t>
            </w:r>
          </w:p>
        </w:tc>
      </w:tr>
      <w:tr>
        <w:tc>
          <w:tcPr>
            <w:tcW w:type="dxa" w:w="1584"/>
          </w:tcPr>
          <w:p>
            <w:r/>
            <w:r>
              <w:rPr>
                <w:sz w:val="19"/>
              </w:rPr>
              <w:t>ACC-10066</w:t>
            </w:r>
          </w:p>
        </w:tc>
        <w:tc>
          <w:tcPr>
            <w:tcW w:type="dxa" w:w="2880"/>
          </w:tcPr>
          <w:p>
            <w:r/>
            <w:r>
              <w:rPr>
                <w:sz w:val="19"/>
              </w:rPr>
              <w:t>Priya Raghavan</w:t>
            </w:r>
          </w:p>
        </w:tc>
        <w:tc>
          <w:tcPr>
            <w:tcW w:type="dxa" w:w="1584"/>
          </w:tcPr>
          <w:p>
            <w:pPr>
              <w:jc w:val="right"/>
            </w:pPr>
            <w:r/>
            <w:r>
              <w:rPr>
                <w:sz w:val="19"/>
              </w:rPr>
              <w:t>$3,215.00</w:t>
            </w:r>
          </w:p>
        </w:tc>
        <w:tc>
          <w:tcPr>
            <w:tcW w:type="dxa" w:w="1440"/>
          </w:tcPr>
          <w:p>
            <w:pPr>
              <w:jc w:val="right"/>
            </w:pPr>
            <w:r/>
            <w:r>
              <w:rPr>
                <w:sz w:val="19"/>
              </w:rPr>
              <w:t>$750.00</w:t>
            </w:r>
          </w:p>
        </w:tc>
        <w:tc>
          <w:tcPr>
            <w:tcW w:type="dxa" w:w="1728"/>
          </w:tcPr>
          <w:p>
            <w:pPr>
              <w:jc w:val="right"/>
            </w:pPr>
            <w:r/>
            <w:r>
              <w:rPr>
                <w:sz w:val="19"/>
              </w:rPr>
              <w:t>$2,465.00</w:t>
            </w:r>
          </w:p>
        </w:tc>
        <w:tc>
          <w:tcPr>
            <w:tcW w:type="dxa" w:w="864"/>
          </w:tcPr>
          <w:p>
            <w:pPr>
              <w:jc w:val="right"/>
            </w:pPr>
            <w:r/>
            <w:r>
              <w:rPr>
                <w:sz w:val="19"/>
              </w:rPr>
              <w:t>yes</w:t>
            </w:r>
          </w:p>
        </w:tc>
      </w:tr>
      <w:tr>
        <w:tc>
          <w:tcPr>
            <w:tcW w:type="dxa" w:w="1584"/>
          </w:tcPr>
          <w:p>
            <w:r/>
            <w:r>
              <w:rPr>
                <w:sz w:val="19"/>
              </w:rPr>
              <w:t>ACC-10067</w:t>
            </w:r>
          </w:p>
        </w:tc>
        <w:tc>
          <w:tcPr>
            <w:tcW w:type="dxa" w:w="2880"/>
          </w:tcPr>
          <w:p>
            <w:r/>
            <w:r>
              <w:rPr>
                <w:sz w:val="19"/>
              </w:rPr>
              <w:t>Daniel Okafor</w:t>
            </w:r>
          </w:p>
        </w:tc>
        <w:tc>
          <w:tcPr>
            <w:tcW w:type="dxa" w:w="1584"/>
          </w:tcPr>
          <w:p>
            <w:pPr>
              <w:jc w:val="right"/>
            </w:pPr>
            <w:r/>
            <w:r>
              <w:rPr>
                <w:sz w:val="19"/>
              </w:rPr>
              <w:t>$326.00</w:t>
            </w:r>
          </w:p>
        </w:tc>
        <w:tc>
          <w:tcPr>
            <w:tcW w:type="dxa" w:w="1440"/>
          </w:tcPr>
          <w:p>
            <w:pPr>
              <w:jc w:val="right"/>
            </w:pPr>
            <w:r/>
            <w:r>
              <w:rPr>
                <w:sz w:val="19"/>
              </w:rPr>
              <w:t>$326.00</w:t>
            </w:r>
          </w:p>
        </w:tc>
        <w:tc>
          <w:tcPr>
            <w:tcW w:type="dxa" w:w="1728"/>
          </w:tcPr>
          <w:p>
            <w:pPr>
              <w:jc w:val="right"/>
            </w:pPr>
            <w:r/>
            <w:r>
              <w:rPr>
                <w:sz w:val="19"/>
              </w:rPr>
              <w:t>$0.00</w:t>
            </w:r>
          </w:p>
        </w:tc>
        <w:tc>
          <w:tcPr>
            <w:tcW w:type="dxa" w:w="864"/>
          </w:tcPr>
          <w:p>
            <w:pPr>
              <w:jc w:val="right"/>
            </w:pPr>
            <w:r/>
            <w:r>
              <w:rPr>
                <w:sz w:val="19"/>
              </w:rPr>
              <w:t>yes</w:t>
            </w:r>
          </w:p>
        </w:tc>
      </w:tr>
      <w:tr>
        <w:tc>
          <w:tcPr>
            <w:tcW w:type="dxa" w:w="1584"/>
          </w:tcPr>
          <w:p>
            <w:r/>
            <w:r>
              <w:rPr>
                <w:sz w:val="19"/>
              </w:rPr>
              <w:t>ACC-20010</w:t>
            </w:r>
          </w:p>
        </w:tc>
        <w:tc>
          <w:tcPr>
            <w:tcW w:type="dxa" w:w="2880"/>
          </w:tcPr>
          <w:p>
            <w:r/>
            <w:r>
              <w:rPr>
                <w:sz w:val="19"/>
              </w:rPr>
              <w:t>Meridian Freight Logistics LLC</w:t>
            </w:r>
          </w:p>
        </w:tc>
        <w:tc>
          <w:tcPr>
            <w:tcW w:type="dxa" w:w="1584"/>
          </w:tcPr>
          <w:p>
            <w:pPr>
              <w:jc w:val="right"/>
            </w:pPr>
            <w:r/>
            <w:r>
              <w:rPr>
                <w:sz w:val="19"/>
              </w:rPr>
              <w:t>$6,440.00</w:t>
            </w:r>
          </w:p>
        </w:tc>
        <w:tc>
          <w:tcPr>
            <w:tcW w:type="dxa" w:w="1440"/>
          </w:tcPr>
          <w:p>
            <w:pPr>
              <w:jc w:val="right"/>
            </w:pPr>
            <w:r/>
            <w:r>
              <w:rPr>
                <w:sz w:val="19"/>
              </w:rPr>
              <w:t>$4,500.00</w:t>
            </w:r>
          </w:p>
        </w:tc>
        <w:tc>
          <w:tcPr>
            <w:tcW w:type="dxa" w:w="1728"/>
          </w:tcPr>
          <w:p>
            <w:pPr>
              <w:jc w:val="right"/>
            </w:pPr>
            <w:r/>
            <w:r>
              <w:rPr>
                <w:sz w:val="19"/>
              </w:rPr>
              <w:t>$1,940.00</w:t>
            </w:r>
          </w:p>
        </w:tc>
        <w:tc>
          <w:tcPr>
            <w:tcW w:type="dxa" w:w="864"/>
          </w:tcPr>
          <w:p>
            <w:pPr>
              <w:jc w:val="right"/>
            </w:pPr>
            <w:r/>
            <w:r>
              <w:rPr>
                <w:sz w:val="19"/>
              </w:rPr>
              <w:t>yes</w:t>
            </w:r>
          </w:p>
        </w:tc>
      </w:tr>
      <w:tr>
        <w:tc>
          <w:tcPr>
            <w:tcW w:type="dxa" w:w="1584"/>
          </w:tcPr>
          <w:p>
            <w:r/>
            <w:r>
              <w:rPr>
                <w:sz w:val="19"/>
              </w:rPr>
              <w:t>ACC-20009</w:t>
            </w:r>
          </w:p>
        </w:tc>
        <w:tc>
          <w:tcPr>
            <w:tcW w:type="dxa" w:w="2880"/>
          </w:tcPr>
          <w:p>
            <w:r/>
            <w:r>
              <w:rPr>
                <w:sz w:val="19"/>
              </w:rPr>
              <w:t>Meridian Freight Logistics LLC</w:t>
            </w:r>
          </w:p>
        </w:tc>
        <w:tc>
          <w:tcPr>
            <w:tcW w:type="dxa" w:w="1584"/>
          </w:tcPr>
          <w:p>
            <w:pPr>
              <w:jc w:val="right"/>
            </w:pPr>
            <w:r/>
            <w:r>
              <w:rPr>
                <w:sz w:val="19"/>
              </w:rPr>
              <w:t>$4,260.00</w:t>
            </w:r>
          </w:p>
        </w:tc>
        <w:tc>
          <w:tcPr>
            <w:tcW w:type="dxa" w:w="1440"/>
          </w:tcPr>
          <w:p>
            <w:pPr>
              <w:jc w:val="right"/>
            </w:pPr>
            <w:r/>
            <w:r>
              <w:rPr>
                <w:sz w:val="19"/>
              </w:rPr>
              <w:t>$4,260.00</w:t>
            </w:r>
          </w:p>
        </w:tc>
        <w:tc>
          <w:tcPr>
            <w:tcW w:type="dxa" w:w="1728"/>
          </w:tcPr>
          <w:p>
            <w:pPr>
              <w:jc w:val="right"/>
            </w:pPr>
            <w:r/>
            <w:r>
              <w:rPr>
                <w:sz w:val="19"/>
              </w:rPr>
              <w:t>$0.00</w:t>
            </w:r>
          </w:p>
        </w:tc>
        <w:tc>
          <w:tcPr>
            <w:tcW w:type="dxa" w:w="864"/>
          </w:tcPr>
          <w:p>
            <w:pPr>
              <w:jc w:val="right"/>
            </w:pPr>
            <w:r/>
            <w:r>
              <w:rPr>
                <w:sz w:val="19"/>
              </w:rPr>
              <w:t>yes</w:t>
            </w:r>
          </w:p>
        </w:tc>
      </w:tr>
      <w:tr>
        <w:tc>
          <w:tcPr>
            <w:tcW w:type="dxa" w:w="1584"/>
          </w:tcPr>
          <w:p>
            <w:r/>
            <w:r>
              <w:rPr>
                <w:sz w:val="19"/>
              </w:rPr>
              <w:t>ACC-20008</w:t>
            </w:r>
          </w:p>
        </w:tc>
        <w:tc>
          <w:tcPr>
            <w:tcW w:type="dxa" w:w="2880"/>
          </w:tcPr>
          <w:p>
            <w:r/>
            <w:r>
              <w:rPr>
                <w:sz w:val="19"/>
              </w:rPr>
              <w:t>Meridian Freight Logistics LLC</w:t>
            </w:r>
          </w:p>
        </w:tc>
        <w:tc>
          <w:tcPr>
            <w:tcW w:type="dxa" w:w="1584"/>
          </w:tcPr>
          <w:p>
            <w:pPr>
              <w:jc w:val="right"/>
            </w:pPr>
            <w:r/>
            <w:r>
              <w:rPr>
                <w:sz w:val="19"/>
              </w:rPr>
              <w:t>$5,180.00</w:t>
            </w:r>
          </w:p>
        </w:tc>
        <w:tc>
          <w:tcPr>
            <w:tcW w:type="dxa" w:w="1440"/>
          </w:tcPr>
          <w:p>
            <w:pPr>
              <w:jc w:val="right"/>
            </w:pPr>
            <w:r/>
            <w:r>
              <w:rPr>
                <w:sz w:val="19"/>
              </w:rPr>
              <w:t>$2,000.00</w:t>
            </w:r>
          </w:p>
        </w:tc>
        <w:tc>
          <w:tcPr>
            <w:tcW w:type="dxa" w:w="1728"/>
          </w:tcPr>
          <w:p>
            <w:pPr>
              <w:jc w:val="right"/>
            </w:pPr>
            <w:r/>
            <w:r>
              <w:rPr>
                <w:sz w:val="19"/>
              </w:rPr>
              <w:t>$3,180.00</w:t>
            </w:r>
          </w:p>
        </w:tc>
        <w:tc>
          <w:tcPr>
            <w:tcW w:type="dxa" w:w="864"/>
          </w:tcPr>
          <w:p>
            <w:pPr>
              <w:jc w:val="right"/>
            </w:pPr>
            <w:r/>
            <w:r>
              <w:rPr>
                <w:sz w:val="19"/>
              </w:rPr>
              <w:t>yes</w:t>
            </w:r>
          </w:p>
        </w:tc>
      </w:tr>
      <w:tr>
        <w:tc>
          <w:tcPr>
            <w:tcW w:type="dxa" w:w="1584"/>
          </w:tcPr>
          <w:p>
            <w:r/>
            <w:r>
              <w:rPr>
                <w:sz w:val="19"/>
              </w:rPr>
              <w:t>ACC-20007</w:t>
            </w:r>
          </w:p>
        </w:tc>
        <w:tc>
          <w:tcPr>
            <w:tcW w:type="dxa" w:w="2880"/>
          </w:tcPr>
          <w:p>
            <w:r/>
            <w:r>
              <w:rPr>
                <w:sz w:val="19"/>
              </w:rPr>
              <w:t>Meridian Freight Logistics LLC</w:t>
            </w:r>
          </w:p>
        </w:tc>
        <w:tc>
          <w:tcPr>
            <w:tcW w:type="dxa" w:w="1584"/>
          </w:tcPr>
          <w:p>
            <w:pPr>
              <w:jc w:val="right"/>
            </w:pPr>
            <w:r/>
            <w:r>
              <w:rPr>
                <w:sz w:val="19"/>
              </w:rPr>
              <w:t>$19,070.00</w:t>
            </w:r>
          </w:p>
        </w:tc>
        <w:tc>
          <w:tcPr>
            <w:tcW w:type="dxa" w:w="1440"/>
          </w:tcPr>
          <w:p>
            <w:pPr>
              <w:jc w:val="right"/>
            </w:pPr>
            <w:r/>
            <w:r>
              <w:rPr>
                <w:sz w:val="19"/>
              </w:rPr>
              <w:t>$4,250.00</w:t>
            </w:r>
          </w:p>
        </w:tc>
        <w:tc>
          <w:tcPr>
            <w:tcW w:type="dxa" w:w="1728"/>
          </w:tcPr>
          <w:p>
            <w:pPr>
              <w:jc w:val="right"/>
            </w:pPr>
            <w:r/>
            <w:r>
              <w:rPr>
                <w:sz w:val="19"/>
              </w:rPr>
              <w:t>$14,820.00</w:t>
            </w:r>
          </w:p>
        </w:tc>
        <w:tc>
          <w:tcPr>
            <w:tcW w:type="dxa" w:w="864"/>
          </w:tcPr>
          <w:p>
            <w:pPr>
              <w:jc w:val="right"/>
            </w:pPr>
            <w:r/>
            <w:r>
              <w:rPr>
                <w:sz w:val="19"/>
              </w:rPr>
              <w:t>yes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EF6FF"/>
          </w:tcPr>
          <w:p>
            <w:r/>
            <w:r>
              <w:rPr>
                <w:b/>
                <w:color w:val="2C5AD8"/>
                <w:sz w:val="20"/>
              </w:rPr>
              <w:t>Show this, don't claim it</w:t>
            </w:r>
          </w:p>
          <w:p>
            <w:r>
              <w:rPr>
                <w:sz w:val="19"/>
              </w:rPr>
              <w:t>scripts/verify_consistency.py runs eighteen checks and two reconciliations against the live database and prints each one. Run it on screen. It ends with “Everything agrees.” — and when it does not, the line it prints names the screen that would show a wrong number.</w:t>
            </w:r>
          </w:p>
        </w:tc>
      </w:tr>
    </w:tbl>
    <w:p>
      <w:pPr>
        <w:spacing w:after="40"/>
      </w:pPr>
    </w:p>
    <w:p>
      <w:r>
        <w:rPr>
          <w:b/>
          <w:i w:val="0"/>
          <w:sz w:val="21"/>
        </w:rPr>
        <w:t>What the eighteen checks cover</w:t>
      </w:r>
    </w:p>
    <w:p>
      <w:pPr>
        <w:pStyle w:val="ListBullet"/>
        <w:spacing w:after="60"/>
      </w:pPr>
      <w:r>
        <w:t>case value and DPD match the account balance the 360 shows</w:t>
      </w:r>
    </w:p>
    <w:p>
      <w:pPr>
        <w:pStyle w:val="ListBullet"/>
        <w:spacing w:after="60"/>
      </w:pPr>
      <w:r>
        <w:t>ageing buckets match the DPD they are derived from</w:t>
      </w:r>
    </w:p>
    <w:p>
      <w:pPr>
        <w:pStyle w:val="ListBullet"/>
        <w:spacing w:after="60"/>
      </w:pPr>
      <w:r>
        <w:t>one live case per account per type — no duplicate cards</w:t>
      </w:r>
    </w:p>
    <w:p>
      <w:pPr>
        <w:pStyle w:val="ListBullet"/>
        <w:spacing w:after="60"/>
      </w:pPr>
      <w:r>
        <w:t>the case owner and the customer's owner are the same person</w:t>
      </w:r>
    </w:p>
    <w:p>
      <w:pPr>
        <w:pStyle w:val="ListBullet"/>
        <w:spacing w:after="60"/>
      </w:pPr>
      <w:r>
        <w:t>workflow state and the legacy status column agree</w:t>
      </w:r>
    </w:p>
    <w:p>
      <w:pPr>
        <w:pStyle w:val="ListBullet"/>
        <w:spacing w:after="60"/>
      </w:pPr>
      <w:r>
        <w:t>cases in Assigned genuinely have no work logged against them</w:t>
      </w:r>
    </w:p>
    <w:p>
      <w:pPr>
        <w:pStyle w:val="ListBullet"/>
        <w:spacing w:after="60"/>
      </w:pPr>
      <w:r>
        <w:t>every open case carries a description</w:t>
      </w:r>
    </w:p>
    <w:p>
      <w:pPr>
        <w:pStyle w:val="ListBullet"/>
        <w:spacing w:after="60"/>
      </w:pPr>
      <w:r>
        <w:t>agency recoveries are backed by payment rows</w:t>
      </w:r>
    </w:p>
    <w:p>
      <w:pPr>
        <w:pStyle w:val="ListBullet"/>
        <w:spacing w:after="60"/>
      </w:pPr>
      <w:r>
        <w:t>promises marked kept have money against them</w:t>
      </w:r>
    </w:p>
    <w:p>
      <w:pPr>
        <w:pStyle w:val="ListBullet"/>
        <w:spacing w:after="60"/>
      </w:pPr>
      <w:r>
        <w:t>no promise is still pending after its date</w:t>
      </w:r>
    </w:p>
    <w:p>
      <w:pPr>
        <w:pStyle w:val="ListBullet"/>
        <w:spacing w:after="60"/>
      </w:pPr>
      <w:r>
        <w:t>agent monthly performance matches the payment ledger</w:t>
      </w:r>
    </w:p>
    <w:p>
      <w:pPr>
        <w:pStyle w:val="ListBullet"/>
        <w:spacing w:after="60"/>
      </w:pPr>
      <w:r>
        <w:t>targets and caseload ceilings are within reach of the book</w:t>
      </w:r>
    </w:p>
    <w:p>
      <w:pPr>
        <w:pStyle w:val="ListBullet"/>
        <w:spacing w:after="60"/>
      </w:pPr>
      <w:r>
        <w:t>payments and cases point at accounts owned by the right customer</w:t>
      </w:r>
    </w:p>
    <w:p>
      <w:pPr>
        <w:pStyle w:val="ListBullet"/>
        <w:spacing w:after="60"/>
      </w:pPr>
      <w:r>
        <w:t>strategy-driven accounts point at a live strategy</w:t>
      </w:r>
    </w:p>
    <w:p>
      <w:pPr>
        <w:pStyle w:val="ListBullet"/>
        <w:spacing w:after="60"/>
      </w:pPr>
      <w:r>
        <w:t>open legal cases can be reached from an account</w:t>
      </w:r>
    </w:p>
    <w:p>
      <w:r>
        <w:br w:type="page"/>
      </w:r>
    </w:p>
    <w:p>
      <w:pPr>
        <w:pStyle w:val="Heading1"/>
        <w:spacing w:before="360" w:after="80"/>
      </w:pPr>
      <w:r>
        <w:rPr>
          <w:rFonts w:ascii="Calibri" w:hAnsi="Calibri"/>
          <w:color w:val="2C5AD8"/>
        </w:rPr>
        <w:t>Part 5 — Running the demo</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432"/>
            <w:shd w:val="clear" w:fill="EEF2F9"/>
          </w:tcPr>
          <w:p>
            <w:r/>
            <w:r>
              <w:rPr>
                <w:b/>
                <w:color w:val="1B2233"/>
                <w:sz w:val="18"/>
              </w:rPr>
              <w:t>#</w:t>
            </w:r>
          </w:p>
        </w:tc>
        <w:tc>
          <w:tcPr>
            <w:tcW w:type="dxa" w:w="2160"/>
            <w:shd w:val="clear" w:fill="EEF2F9"/>
          </w:tcPr>
          <w:p>
            <w:r/>
            <w:r>
              <w:rPr>
                <w:b/>
                <w:color w:val="1B2233"/>
                <w:sz w:val="18"/>
              </w:rPr>
              <w:t>Screen</w:t>
            </w:r>
          </w:p>
        </w:tc>
        <w:tc>
          <w:tcPr>
            <w:tcW w:type="dxa" w:w="3168"/>
            <w:shd w:val="clear" w:fill="EEF2F9"/>
          </w:tcPr>
          <w:p>
            <w:r/>
            <w:r>
              <w:rPr>
                <w:b/>
                <w:color w:val="1B2233"/>
                <w:sz w:val="18"/>
              </w:rPr>
              <w:t>What to show</w:t>
            </w:r>
          </w:p>
        </w:tc>
        <w:tc>
          <w:tcPr>
            <w:tcW w:type="dxa" w:w="3456"/>
            <w:shd w:val="clear" w:fill="EEF2F9"/>
          </w:tcPr>
          <w:p>
            <w:r/>
            <w:r>
              <w:rPr>
                <w:b/>
                <w:color w:val="1B2233"/>
                <w:sz w:val="18"/>
              </w:rPr>
              <w:t>The line to land</w:t>
            </w:r>
          </w:p>
        </w:tc>
        <w:tc>
          <w:tcPr>
            <w:tcW w:type="dxa" w:w="576"/>
            <w:shd w:val="clear" w:fill="EEF2F9"/>
          </w:tcPr>
          <w:p>
            <w:pPr>
              <w:jc w:val="right"/>
            </w:pPr>
            <w:r/>
            <w:r>
              <w:rPr>
                <w:b/>
                <w:color w:val="1B2233"/>
                <w:sz w:val="18"/>
              </w:rPr>
              <w:t>Min</w:t>
            </w:r>
          </w:p>
        </w:tc>
      </w:tr>
      <w:tr>
        <w:tc>
          <w:tcPr>
            <w:tcW w:type="dxa" w:w="432"/>
          </w:tcPr>
          <w:p>
            <w:r/>
            <w:r>
              <w:rPr>
                <w:sz w:val="19"/>
              </w:rPr>
              <w:t>1</w:t>
            </w:r>
          </w:p>
        </w:tc>
        <w:tc>
          <w:tcPr>
            <w:tcW w:type="dxa" w:w="2160"/>
          </w:tcPr>
          <w:p>
            <w:r/>
            <w:r>
              <w:rPr>
                <w:sz w:val="19"/>
              </w:rPr>
              <w:t>Portfolio Dashboard</w:t>
            </w:r>
          </w:p>
        </w:tc>
        <w:tc>
          <w:tcPr>
            <w:tcW w:type="dxa" w:w="3168"/>
          </w:tcPr>
          <w:p>
            <w:r/>
            <w:r>
              <w:rPr>
                <w:sz w:val="19"/>
              </w:rPr>
              <w:t>Receivables, delinquency, coverage, where the balance sits</w:t>
            </w:r>
          </w:p>
        </w:tc>
        <w:tc>
          <w:tcPr>
            <w:tcW w:type="dxa" w:w="3456"/>
          </w:tcPr>
          <w:p>
            <w:r/>
            <w:r>
              <w:rPr>
                <w:sz w:val="19"/>
              </w:rPr>
              <w:t>The parts add up to the whole, by construction</w:t>
            </w:r>
          </w:p>
        </w:tc>
        <w:tc>
          <w:tcPr>
            <w:tcW w:type="dxa" w:w="576"/>
          </w:tcPr>
          <w:p>
            <w:pPr>
              <w:jc w:val="right"/>
            </w:pPr>
            <w:r/>
            <w:r>
              <w:rPr>
                <w:sz w:val="19"/>
              </w:rPr>
              <w:t>2</w:t>
            </w:r>
          </w:p>
        </w:tc>
      </w:tr>
      <w:tr>
        <w:tc>
          <w:tcPr>
            <w:tcW w:type="dxa" w:w="432"/>
          </w:tcPr>
          <w:p>
            <w:r/>
            <w:r>
              <w:rPr>
                <w:sz w:val="19"/>
              </w:rPr>
              <w:t>2</w:t>
            </w:r>
          </w:p>
        </w:tc>
        <w:tc>
          <w:tcPr>
            <w:tcW w:type="dxa" w:w="2160"/>
          </w:tcPr>
          <w:p>
            <w:r/>
            <w:r>
              <w:rPr>
                <w:sz w:val="19"/>
              </w:rPr>
              <w:t>Customer 360 — Priya</w:t>
            </w:r>
          </w:p>
        </w:tc>
        <w:tc>
          <w:tcPr>
            <w:tcW w:type="dxa" w:w="3168"/>
          </w:tcPr>
          <w:p>
            <w:r/>
            <w:r>
              <w:rPr>
                <w:sz w:val="19"/>
              </w:rPr>
              <w:t>96 DPD, three bills, one part-payment</w:t>
            </w:r>
          </w:p>
        </w:tc>
        <w:tc>
          <w:tcPr>
            <w:tcW w:type="dxa" w:w="3456"/>
          </w:tcPr>
          <w:p>
            <w:r/>
            <w:r>
              <w:rPr>
                <w:sz w:val="19"/>
              </w:rPr>
              <w:t>Nobody typed 96 — it comes from the invoices</w:t>
            </w:r>
          </w:p>
        </w:tc>
        <w:tc>
          <w:tcPr>
            <w:tcW w:type="dxa" w:w="576"/>
          </w:tcPr>
          <w:p>
            <w:pPr>
              <w:jc w:val="right"/>
            </w:pPr>
            <w:r/>
            <w:r>
              <w:rPr>
                <w:sz w:val="19"/>
              </w:rPr>
              <w:t>1</w:t>
            </w:r>
          </w:p>
        </w:tc>
      </w:tr>
      <w:tr>
        <w:tc>
          <w:tcPr>
            <w:tcW w:type="dxa" w:w="432"/>
          </w:tcPr>
          <w:p>
            <w:r/>
            <w:r>
              <w:rPr>
                <w:sz w:val="19"/>
              </w:rPr>
              <w:t>3</w:t>
            </w:r>
          </w:p>
        </w:tc>
        <w:tc>
          <w:tcPr>
            <w:tcW w:type="dxa" w:w="2160"/>
          </w:tcPr>
          <w:p>
            <w:r/>
            <w:r>
              <w:rPr>
                <w:sz w:val="19"/>
              </w:rPr>
              <w:t>Strategy Dashboard</w:t>
            </w:r>
          </w:p>
        </w:tc>
        <w:tc>
          <w:tcPr>
            <w:tcW w:type="dxa" w:w="3168"/>
          </w:tcPr>
          <w:p>
            <w:r/>
            <w:r>
              <w:rPr>
                <w:sz w:val="19"/>
              </w:rPr>
              <w:t>The four dunning touches and their cost</w:t>
            </w:r>
          </w:p>
        </w:tc>
        <w:tc>
          <w:tcPr>
            <w:tcW w:type="dxa" w:w="3456"/>
          </w:tcPr>
          <w:p>
            <w:r/>
            <w:r>
              <w:rPr>
                <w:sz w:val="19"/>
              </w:rPr>
              <w:t>Half a dollar spent before a human was involved</w:t>
            </w:r>
          </w:p>
        </w:tc>
        <w:tc>
          <w:tcPr>
            <w:tcW w:type="dxa" w:w="576"/>
          </w:tcPr>
          <w:p>
            <w:pPr>
              <w:jc w:val="right"/>
            </w:pPr>
            <w:r/>
            <w:r>
              <w:rPr>
                <w:sz w:val="19"/>
              </w:rPr>
              <w:t>1.5</w:t>
            </w:r>
          </w:p>
        </w:tc>
      </w:tr>
      <w:tr>
        <w:tc>
          <w:tcPr>
            <w:tcW w:type="dxa" w:w="432"/>
          </w:tcPr>
          <w:p>
            <w:r/>
            <w:r>
              <w:rPr>
                <w:sz w:val="19"/>
              </w:rPr>
              <w:t>4</w:t>
            </w:r>
          </w:p>
        </w:tc>
        <w:tc>
          <w:tcPr>
            <w:tcW w:type="dxa" w:w="2160"/>
          </w:tcPr>
          <w:p>
            <w:r/>
            <w:r>
              <w:rPr>
                <w:sz w:val="19"/>
              </w:rPr>
              <w:t>Collections Workspace</w:t>
            </w:r>
          </w:p>
        </w:tc>
        <w:tc>
          <w:tcPr>
            <w:tcW w:type="dxa" w:w="3168"/>
          </w:tcPr>
          <w:p>
            <w:r/>
            <w:r>
              <w:rPr>
                <w:sz w:val="19"/>
              </w:rPr>
              <w:t>The case, its timeline, both broken promises, the audit trail</w:t>
            </w:r>
          </w:p>
        </w:tc>
        <w:tc>
          <w:tcPr>
            <w:tcW w:type="dxa" w:w="3456"/>
          </w:tcPr>
          <w:p>
            <w:r/>
            <w:r>
              <w:rPr>
                <w:sz w:val="19"/>
              </w:rPr>
              <w:t>One account, one case — the type moves, the case doesn't multiply</w:t>
            </w:r>
          </w:p>
        </w:tc>
        <w:tc>
          <w:tcPr>
            <w:tcW w:type="dxa" w:w="576"/>
          </w:tcPr>
          <w:p>
            <w:pPr>
              <w:jc w:val="right"/>
            </w:pPr>
            <w:r/>
            <w:r>
              <w:rPr>
                <w:sz w:val="19"/>
              </w:rPr>
              <w:t>3</w:t>
            </w:r>
          </w:p>
        </w:tc>
      </w:tr>
      <w:tr>
        <w:tc>
          <w:tcPr>
            <w:tcW w:type="dxa" w:w="432"/>
          </w:tcPr>
          <w:p>
            <w:r/>
            <w:r>
              <w:rPr>
                <w:sz w:val="19"/>
              </w:rPr>
              <w:t>5</w:t>
            </w:r>
          </w:p>
        </w:tc>
        <w:tc>
          <w:tcPr>
            <w:tcW w:type="dxa" w:w="2160"/>
          </w:tcPr>
          <w:p>
            <w:r/>
            <w:r>
              <w:rPr>
                <w:sz w:val="19"/>
              </w:rPr>
              <w:t>AI Engagement Center</w:t>
            </w:r>
          </w:p>
        </w:tc>
        <w:tc>
          <w:tcPr>
            <w:tcW w:type="dxa" w:w="3168"/>
          </w:tcPr>
          <w:p>
            <w:r/>
            <w:r>
              <w:rPr>
                <w:sz w:val="19"/>
              </w:rPr>
              <w:t>Read the transcript, then accept the waiting handoff</w:t>
            </w:r>
          </w:p>
        </w:tc>
        <w:tc>
          <w:tcPr>
            <w:tcW w:type="dxa" w:w="3456"/>
          </w:tcPr>
          <w:p>
            <w:r/>
            <w:r>
              <w:rPr>
                <w:sz w:val="19"/>
              </w:rPr>
              <w:t>It stopped negotiating the moment she asked for a person</w:t>
            </w:r>
          </w:p>
        </w:tc>
        <w:tc>
          <w:tcPr>
            <w:tcW w:type="dxa" w:w="576"/>
          </w:tcPr>
          <w:p>
            <w:pPr>
              <w:jc w:val="right"/>
            </w:pPr>
            <w:r/>
            <w:r>
              <w:rPr>
                <w:sz w:val="19"/>
              </w:rPr>
              <w:t>2</w:t>
            </w:r>
          </w:p>
        </w:tc>
      </w:tr>
      <w:tr>
        <w:tc>
          <w:tcPr>
            <w:tcW w:type="dxa" w:w="432"/>
          </w:tcPr>
          <w:p>
            <w:r/>
            <w:r>
              <w:rPr>
                <w:sz w:val="19"/>
              </w:rPr>
              <w:t>6</w:t>
            </w:r>
          </w:p>
        </w:tc>
        <w:tc>
          <w:tcPr>
            <w:tcW w:type="dxa" w:w="2160"/>
          </w:tcPr>
          <w:p>
            <w:r/>
            <w:r>
              <w:rPr>
                <w:sz w:val="19"/>
              </w:rPr>
              <w:t>Customer 360 — Daniel</w:t>
            </w:r>
          </w:p>
        </w:tc>
        <w:tc>
          <w:tcPr>
            <w:tcW w:type="dxa" w:w="3168"/>
          </w:tcPr>
          <w:p>
            <w:r/>
            <w:r>
              <w:rPr>
                <w:sz w:val="19"/>
              </w:rPr>
              <w:t>One SMS, bot-resolved, paid, closed</w:t>
            </w:r>
          </w:p>
        </w:tc>
        <w:tc>
          <w:tcPr>
            <w:tcW w:type="dxa" w:w="3456"/>
          </w:tcPr>
          <w:p>
            <w:r/>
            <w:r>
              <w:rPr>
                <w:sz w:val="19"/>
              </w:rPr>
              <w:t>Most delinquency is an expired card, not a refusal</w:t>
            </w:r>
          </w:p>
        </w:tc>
        <w:tc>
          <w:tcPr>
            <w:tcW w:type="dxa" w:w="576"/>
          </w:tcPr>
          <w:p>
            <w:pPr>
              <w:jc w:val="right"/>
            </w:pPr>
            <w:r/>
            <w:r>
              <w:rPr>
                <w:sz w:val="19"/>
              </w:rPr>
              <w:t>1</w:t>
            </w:r>
          </w:p>
        </w:tc>
      </w:tr>
      <w:tr>
        <w:tc>
          <w:tcPr>
            <w:tcW w:type="dxa" w:w="432"/>
          </w:tcPr>
          <w:p>
            <w:r/>
            <w:r>
              <w:rPr>
                <w:sz w:val="19"/>
              </w:rPr>
              <w:t>7</w:t>
            </w:r>
          </w:p>
        </w:tc>
        <w:tc>
          <w:tcPr>
            <w:tcW w:type="dxa" w:w="2160"/>
          </w:tcPr>
          <w:p>
            <w:r/>
            <w:r>
              <w:rPr>
                <w:sz w:val="19"/>
              </w:rPr>
              <w:t>Collections Workspace</w:t>
            </w:r>
          </w:p>
        </w:tc>
        <w:tc>
          <w:tcPr>
            <w:tcW w:type="dxa" w:w="3168"/>
          </w:tcPr>
          <w:p>
            <w:r/>
            <w:r>
              <w:rPr>
                <w:sz w:val="19"/>
              </w:rPr>
              <w:t>Meridian: dispute part-upheld, plan broken, two type changes</w:t>
            </w:r>
          </w:p>
        </w:tc>
        <w:tc>
          <w:tcPr>
            <w:tcW w:type="dxa" w:w="3456"/>
          </w:tcPr>
          <w:p>
            <w:r/>
            <w:r>
              <w:rPr>
                <w:sz w:val="19"/>
              </w:rPr>
              <w:t>They were partly right, and the system handled that</w:t>
            </w:r>
          </w:p>
        </w:tc>
        <w:tc>
          <w:tcPr>
            <w:tcW w:type="dxa" w:w="576"/>
          </w:tcPr>
          <w:p>
            <w:pPr>
              <w:jc w:val="right"/>
            </w:pPr>
            <w:r/>
            <w:r>
              <w:rPr>
                <w:sz w:val="19"/>
              </w:rPr>
              <w:t>2</w:t>
            </w:r>
          </w:p>
        </w:tc>
      </w:tr>
      <w:tr>
        <w:tc>
          <w:tcPr>
            <w:tcW w:type="dxa" w:w="432"/>
          </w:tcPr>
          <w:p>
            <w:r/>
            <w:r>
              <w:rPr>
                <w:sz w:val="19"/>
              </w:rPr>
              <w:t>8</w:t>
            </w:r>
          </w:p>
        </w:tc>
        <w:tc>
          <w:tcPr>
            <w:tcW w:type="dxa" w:w="2160"/>
          </w:tcPr>
          <w:p>
            <w:r/>
            <w:r>
              <w:rPr>
                <w:sz w:val="19"/>
              </w:rPr>
              <w:t>Recovery Workspace</w:t>
            </w:r>
          </w:p>
        </w:tc>
        <w:tc>
          <w:tcPr>
            <w:tcW w:type="dxa" w:w="3168"/>
          </w:tcPr>
          <w:p>
            <w:r/>
            <w:r>
              <w:rPr>
                <w:sz w:val="19"/>
              </w:rPr>
              <w:t>Both placements, the recovered cash, both legal files</w:t>
            </w:r>
          </w:p>
        </w:tc>
        <w:tc>
          <w:tcPr>
            <w:tcW w:type="dxa" w:w="3456"/>
          </w:tcPr>
          <w:p>
            <w:r/>
            <w:r>
              <w:rPr>
                <w:sz w:val="19"/>
              </w:rPr>
              <w:t>The agency figure is a payment row, not a claim</w:t>
            </w:r>
          </w:p>
        </w:tc>
        <w:tc>
          <w:tcPr>
            <w:tcW w:type="dxa" w:w="576"/>
          </w:tcPr>
          <w:p>
            <w:pPr>
              <w:jc w:val="right"/>
            </w:pPr>
            <w:r/>
            <w:r>
              <w:rPr>
                <w:sz w:val="19"/>
              </w:rPr>
              <w:t>1.5</w:t>
            </w:r>
          </w:p>
        </w:tc>
      </w:tr>
      <w:tr>
        <w:tc>
          <w:tcPr>
            <w:tcW w:type="dxa" w:w="432"/>
          </w:tcPr>
          <w:p>
            <w:r/>
            <w:r>
              <w:rPr>
                <w:sz w:val="19"/>
              </w:rPr>
              <w:t>9</w:t>
            </w:r>
          </w:p>
        </w:tc>
        <w:tc>
          <w:tcPr>
            <w:tcW w:type="dxa" w:w="2160"/>
          </w:tcPr>
          <w:p>
            <w:r/>
            <w:r>
              <w:rPr>
                <w:sz w:val="19"/>
              </w:rPr>
              <w:t>Strategy Simulation</w:t>
            </w:r>
          </w:p>
        </w:tc>
        <w:tc>
          <w:tcPr>
            <w:tcW w:type="dxa" w:w="3168"/>
          </w:tcPr>
          <w:p>
            <w:r/>
            <w:r>
              <w:rPr>
                <w:sz w:val="19"/>
              </w:rPr>
              <w:t>Run Standard Dunning live</w:t>
            </w:r>
          </w:p>
        </w:tc>
        <w:tc>
          <w:tcPr>
            <w:tcW w:type="dxa" w:w="3456"/>
          </w:tcPr>
          <w:p>
            <w:r/>
            <w:r>
              <w:rPr>
                <w:sz w:val="19"/>
              </w:rPr>
              <w:t>Every rate here was measured from those same conversations</w:t>
            </w:r>
          </w:p>
        </w:tc>
        <w:tc>
          <w:tcPr>
            <w:tcW w:type="dxa" w:w="576"/>
          </w:tcPr>
          <w:p>
            <w:pPr>
              <w:jc w:val="right"/>
            </w:pPr>
            <w:r/>
            <w:r>
              <w:rPr>
                <w:sz w:val="19"/>
              </w:rPr>
              <w:t>1.5</w:t>
            </w:r>
          </w:p>
        </w:tc>
      </w:tr>
    </w:tbl>
    <w:p>
      <w:pPr>
        <w:spacing w:after="40"/>
      </w:pPr>
    </w:p>
    <w:p>
      <w:pPr>
        <w:pStyle w:val="Heading2"/>
        <w:spacing w:before="240" w:after="80"/>
      </w:pPr>
      <w:r>
        <w:rPr>
          <w:rFonts w:ascii="Calibri" w:hAnsi="Calibri"/>
          <w:color w:val="1B2233"/>
        </w:rPr>
        <w:t>Questions you should expect</w:t>
      </w:r>
    </w:p>
    <w:p>
      <w:r>
        <w:rPr>
          <w:b/>
          <w:i w:val="0"/>
          <w:sz w:val="21"/>
        </w:rPr>
        <w:t>“Is this real data or a mock-up?”</w:t>
      </w:r>
    </w:p>
    <w:p>
      <w:r>
        <w:rPr>
          <w:b w:val="0"/>
          <w:i w:val="0"/>
          <w:sz w:val="19"/>
        </w:rPr>
        <w:t>Every screen reads Postgres. The consistency script is the proof — run it.</w:t>
      </w:r>
    </w:p>
    <w:p>
      <w:r>
        <w:rPr>
          <w:b/>
          <w:i w:val="0"/>
          <w:sz w:val="21"/>
        </w:rPr>
        <w:t>“What happens if the numbers disagree?”</w:t>
      </w:r>
    </w:p>
    <w:p>
      <w:r>
        <w:rPr>
          <w:b w:val="0"/>
          <w:i w:val="0"/>
          <w:sz w:val="19"/>
        </w:rPr>
        <w:t>They are checked, not hoped for. The script names the screen that would be wrong, and it is run before every demo.</w:t>
      </w:r>
    </w:p>
    <w:p>
      <w:r>
        <w:rPr>
          <w:b/>
          <w:i w:val="0"/>
          <w:sz w:val="21"/>
        </w:rPr>
        <w:t>“Why does the bot hand over instead of closing the deal?”</w:t>
      </w:r>
    </w:p>
    <w:p>
      <w:r>
        <w:rPr>
          <w:b w:val="0"/>
          <w:i w:val="0"/>
          <w:sz w:val="19"/>
        </w:rPr>
        <w:t>Because the guardrails say so on hardship and on an explicit request for a person. AI Guardrails shows the rule and what it has caught.</w:t>
      </w:r>
    </w:p>
    <w:p>
      <w:r>
        <w:rPr>
          <w:b/>
          <w:i w:val="0"/>
          <w:sz w:val="21"/>
        </w:rPr>
        <w:t>“Can you prove the agency recovery is real money?”</w:t>
      </w:r>
    </w:p>
    <w:p>
      <w:r>
        <w:rPr>
          <w:b w:val="0"/>
          <w:i w:val="0"/>
          <w:sz w:val="19"/>
        </w:rPr>
        <w:t>PL-1092 shows $350.00 recovered. Open the customer's 360 — the same amount is a payment.</w:t>
      </w:r>
    </w:p>
    <w:p>
      <w:r>
        <w:rPr>
          <w:b/>
          <w:i w:val="0"/>
          <w:sz w:val="21"/>
        </w:rPr>
        <w:t>“How would we know a strategy is worth running before we run it?”</w:t>
      </w:r>
    </w:p>
    <w:p>
      <w:r>
        <w:rPr>
          <w:b w:val="0"/>
          <w:i w:val="0"/>
          <w:sz w:val="19"/>
        </w:rPr>
        <w:t>Strategy Simulation walks the real accounts through the real workflow on measured rates, and states which rates are assumptions.</w:t>
      </w:r>
    </w:p>
    <w:p>
      <w:pPr>
        <w:pStyle w:val="Heading2"/>
        <w:spacing w:before="240" w:after="80"/>
      </w:pPr>
      <w:r>
        <w:rPr>
          <w:rFonts w:ascii="Calibri" w:hAnsi="Calibri"/>
          <w:color w:val="1B2233"/>
        </w:rPr>
        <w:t>Rebuilding</w:t>
      </w:r>
    </w:p>
    <w:p>
      <w:pPr>
        <w:spacing w:before="80" w:after="200"/>
        <w:ind w:left="288"/>
      </w:pPr>
      <w:r>
        <w:rPr>
          <w:rFonts w:ascii="Consolas" w:hAnsi="Consolas"/>
          <w:color w:val="242938"/>
          <w:sz w:val="18"/>
        </w:rPr>
        <w:t>cd Assure+_MS</w:t>
        <w:br/>
        <w:t>PYTHONPATH=. .venv/bin/python migrations/sql/062_lifecycle_customers.py</w:t>
        <w:br/>
        <w:t>PYTHONPATH=. .venv/bin/python scripts/verify_consistency.py</w:t>
      </w:r>
    </w:p>
    <w:tbl>
      <w:tblPr>
        <w:tblStyle w:val="TableGrid"/>
        <w:tblW w:type="auto" w:w="0"/>
        <w:tblLook w:firstColumn="1" w:firstRow="1" w:lastColumn="0" w:lastRow="0" w:noHBand="0" w:noVBand="1" w:val="04A0"/>
      </w:tblPr>
      <w:tblGrid>
        <w:gridCol w:w="9792"/>
      </w:tblGrid>
      <w:tr>
        <w:tc>
          <w:tcPr>
            <w:tcW w:type="dxa" w:w="9792"/>
            <w:shd w:val="clear" w:fill="FFF7EC"/>
          </w:tcPr>
          <w:p>
            <w:r/>
            <w:r>
              <w:rPr>
                <w:b/>
                <w:color w:val="B45409"/>
                <w:sz w:val="20"/>
              </w:rPr>
              <w:t>One caveat</w:t>
            </w:r>
          </w:p>
          <w:p>
            <w:r>
              <w:rPr>
                <w:sz w:val="19"/>
              </w:rPr>
              <w:t>The three journeys bring payments with them, which changes what agents have collected. After re-seeding, re-run the agent roll-up (step 8 of 057_reconcile_book.py) before showing Agent Performance, or its figures will lag the ledger.</w:t>
            </w:r>
          </w:p>
        </w:tc>
      </w:tr>
    </w:tbl>
    <w:p>
      <w:pPr>
        <w:spacing w:after="40"/>
      </w:pPr>
    </w:p>
    <w:p>
      <w:pPr>
        <w:spacing w:before="40" w:after="40"/>
        <w:pBdr>
          <w:bottom w:val="single" w:sz="6" w:color="D6DCE6"/>
        </w:pBdr>
      </w:pPr>
    </w:p>
    <w:p>
      <w:r>
        <w:rPr>
          <w:b w:val="0"/>
          <w:i/>
          <w:color w:val="5B6677"/>
          <w:sz w:val="18"/>
        </w:rPr>
        <w:t>Generated from the live system — 95 accounts, $69,915.76 receivables, $55,402.91 delinquent, 49 open cases, 292 conversations in the last ninety days.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