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766E"/>
          <w:sz w:val="48"/>
        </w:rPr>
        <w:t>RADONaix — Fuzzy Revenue-Assurance Verdicts</w:t>
      </w:r>
    </w:p>
    <w:p>
      <w:r>
        <w:rPr>
          <w:color w:val="555F6B"/>
          <w:sz w:val="24"/>
        </w:rPr>
        <w:t>What it is, the value it adds over our existing checks, and how it works — for stakeholders</w:t>
      </w:r>
    </w:p>
    <w:p>
      <w:r>
        <w:rPr>
          <w:color w:val="555F6B"/>
          <w:sz w:val="18"/>
        </w:rPr>
        <w:t>Prepared for stakeholder review  ·  Revenue Assurance platform</w:t>
      </w:r>
    </w:p>
    <w:p/>
    <w:p>
      <w:pPr>
        <w:pStyle w:val="Heading1"/>
      </w:pPr>
      <w:r>
        <w:rPr>
          <w:rFonts w:ascii="Calibri" w:hAnsi="Calibri"/>
          <w:color w:val="0F766E"/>
        </w:rPr>
        <w:t>1.  Executive summary</w:t>
      </w:r>
    </w:p>
    <w:p>
      <w:r>
        <w:rPr>
          <w:b w:val="0"/>
          <w:i w:val="0"/>
          <w:sz w:val="22"/>
        </w:rPr>
        <w:t>Our platform already reconciles telecom charging data end-to-end — it counts what the network produced against what mediation processed and flags the differences. That counting is exact and auditable, and it stays exactly as it is.</w:t>
      </w:r>
    </w:p>
    <w:p>
      <w:r>
        <w:rPr>
          <w:b/>
          <w:i w:val="0"/>
          <w:sz w:val="22"/>
        </w:rPr>
        <w:t>What we have added is a thin decision layer on top. Instead of a rigid “over/under a number” alarm, it reads the whole picture for each hour and each report and returns a plain verdict — Healthy, Watch, Suspect, or Critical — with a confidence band and a short plain-English reason. The guiding principle: don’t change how we count; change how we judge.</w:t>
      </w:r>
    </w:p>
    <w:p>
      <w:r>
        <w:rPr>
          <w:b w:val="0"/>
          <w:i w:val="0"/>
          <w:sz w:val="22"/>
        </w:rPr>
        <w:t>Bottom line: the fuzzy layer is a genuine value-add for triage and prioritisation. On test data it produced zero false alarms on “late-but-arrived” hours where a normal threshold false-alarmed on 100% of them — the single biggest driver of wasted analyst time. It is a layer on top of our reconciliation, not a replacement for it, and it will get sharper as more real data and analyst feedback come in.</w:t>
      </w:r>
    </w:p>
    <w:p>
      <w:pPr>
        <w:pStyle w:val="Heading1"/>
      </w:pPr>
      <w:r>
        <w:rPr>
          <w:rFonts w:ascii="Calibri" w:hAnsi="Calibri"/>
          <w:color w:val="0F766E"/>
        </w:rPr>
        <w:t>2.  The problem with “threshold” alarms today</w:t>
      </w:r>
    </w:p>
    <w:p>
      <w:r>
        <w:rPr>
          <w:b w:val="0"/>
          <w:i w:val="0"/>
          <w:sz w:val="22"/>
        </w:rPr>
        <w:t>Today a check typically works like a rule of thumb: “if the gap is above X%, raise an alarm.” That is simple, but it has two well-known failure modes:</w:t>
      </w:r>
    </w:p>
    <w:p>
      <w:pPr>
        <w:pStyle w:val="ListBullet"/>
      </w:pPr>
      <w:r>
        <w:rPr>
          <w:b/>
        </w:rPr>
        <w:t xml:space="preserve">It cries wolf: </w:t>
      </w:r>
      <w:r>
        <w:t>it false-alarms on things that are actually fine — e.g. a file that arrived a bit late but did arrive, so nothing is really lost; and</w:t>
      </w:r>
    </w:p>
    <w:p>
      <w:pPr>
        <w:pStyle w:val="ListBullet"/>
      </w:pPr>
      <w:r>
        <w:rPr>
          <w:b/>
        </w:rPr>
        <w:t xml:space="preserve">It is blind to context: </w:t>
      </w:r>
      <w:r>
        <w:t>it misses things that matter — the same 2% gap is trivial at 3 a.m. but serious at peak revenue hour, and a flat threshold treats them identically.</w:t>
      </w:r>
    </w:p>
    <w:p>
      <w:r>
        <w:rPr>
          <w:b w:val="0"/>
          <w:i/>
          <w:sz w:val="22"/>
        </w:rPr>
        <w:t>The result is alarm fatigue (analysts stop trusting the alarms) and blind spots. A threshold can only be tuned to be either too noisy or too lax — it cannot be both careful and quiet.</w:t>
      </w:r>
    </w:p>
    <w:p>
      <w:pPr>
        <w:pStyle w:val="Heading1"/>
      </w:pPr>
      <w:r>
        <w:rPr>
          <w:rFonts w:ascii="Calibri" w:hAnsi="Calibri"/>
          <w:color w:val="0F766E"/>
        </w:rPr>
        <w:t>3.  What we added — a verdict, not just an alarm</w:t>
      </w:r>
    </w:p>
    <w:p>
      <w:r>
        <w:rPr>
          <w:b w:val="0"/>
          <w:i w:val="0"/>
          <w:sz w:val="22"/>
        </w:rPr>
        <w:t>For every report, every hour, the fuzzy layer produces:</w:t>
      </w:r>
    </w:p>
    <w:p>
      <w:pPr>
        <w:pStyle w:val="ListBullet"/>
      </w:pPr>
      <w:r>
        <w:rPr>
          <w:b/>
        </w:rPr>
        <w:t xml:space="preserve">A plain verdict: </w:t>
      </w:r>
      <w:r>
        <w:t>Healthy / Watch / Suspect / Critical — language anyone can act on, no interpretation needed.</w:t>
      </w:r>
    </w:p>
    <w:p>
      <w:pPr>
        <w:pStyle w:val="ListBullet"/>
      </w:pPr>
      <w:r>
        <w:rPr>
          <w:b/>
        </w:rPr>
        <w:t xml:space="preserve">A confidence band: </w:t>
      </w:r>
      <w:r>
        <w:t>a 0–100 risk score with an uncertainty band, so borderline cases are shown as borderline instead of a false yes/no.</w:t>
      </w:r>
    </w:p>
    <w:p>
      <w:pPr>
        <w:pStyle w:val="ListBullet"/>
      </w:pPr>
      <w:r>
        <w:rPr>
          <w:b/>
        </w:rPr>
        <w:t xml:space="preserve">A reason: </w:t>
      </w:r>
      <w:r>
        <w:t>the exact IF…THEN rules that fired (“IF value-gap is large AND catch-up is low THEN Critical”), so every verdict is explainable and auditable.</w:t>
      </w:r>
    </w:p>
    <w:p>
      <w:r>
        <w:rPr>
          <w:b/>
          <w:i w:val="0"/>
          <w:sz w:val="22"/>
        </w:rPr>
        <w:t>The key idea it captures — and repeats across every report — is that latency is not loss. A gap that catches up (a late file, a delayed batch, an in-flight cross-system event, an exception that clears on retry) is treated as lateness, not leakage. A crisp threshold cannot tell those apart; this layer can.</w:t>
      </w:r>
    </w:p>
    <w:p>
      <w:pPr>
        <w:pStyle w:val="Heading1"/>
      </w:pPr>
      <w:r>
        <w:rPr>
          <w:rFonts w:ascii="Calibri" w:hAnsi="Calibri"/>
          <w:color w:val="0F766E"/>
        </w:rPr>
        <w:t>4.  Does it fit our use case? (an honest assessment)</w:t>
      </w:r>
    </w:p>
    <w:p>
      <w:r>
        <w:rPr>
          <w:b/>
          <w:i w:val="0"/>
          <w:sz w:val="22"/>
        </w:rPr>
        <w:t>Yes — with a clear understanding of where it helps and where it is only a layer.</w:t>
      </w:r>
    </w:p>
    <w:p>
      <w:r>
        <w:rPr>
          <w:b/>
          <w:i w:val="0"/>
          <w:color w:val="0F766E"/>
          <w:sz w:val="22"/>
        </w:rPr>
        <w:t>Where it clearly helps:</w:t>
      </w:r>
    </w:p>
    <w:p>
      <w:pPr>
        <w:pStyle w:val="ListBullet"/>
      </w:pPr>
      <w:r>
        <w:t>The “latency ≠ loss” insight applies to reconciliation, file-sequence, cross-recon, file-collection and processing exceptions alike — one idea, reused everywhere.</w:t>
      </w:r>
    </w:p>
    <w:p>
      <w:pPr>
        <w:pStyle w:val="ListBullet"/>
      </w:pPr>
      <w:r>
        <w:t>Fewer false alarms and clearer prioritisation directly reduce analyst workload.</w:t>
      </w:r>
    </w:p>
    <w:p>
      <w:pPr>
        <w:pStyle w:val="ListBullet"/>
      </w:pPr>
      <w:r>
        <w:t>Plain verdicts + rule traces make revenue-assurance findings understandable to finance, audit and management — not just the RA specialists.</w:t>
      </w:r>
    </w:p>
    <w:p>
      <w:pPr>
        <w:pStyle w:val="ListBullet"/>
      </w:pPr>
      <w:r>
        <w:t>One engine gives every report the same severity language, plus a single platform-health roll-up.</w:t>
      </w:r>
    </w:p>
    <w:p>
      <w:r>
        <w:rPr>
          <w:b/>
          <w:i w:val="0"/>
          <w:color w:val="0F766E"/>
          <w:sz w:val="22"/>
        </w:rPr>
        <w:t>Where it is only a layer (and we should be honest):</w:t>
      </w:r>
    </w:p>
    <w:p>
      <w:pPr>
        <w:pStyle w:val="ListBullet"/>
      </w:pPr>
      <w:r>
        <w:t>The deterministic reconciliation is still the product; fuzzy judges the result, it does not count better.</w:t>
      </w:r>
    </w:p>
    <w:p>
      <w:pPr>
        <w:pStyle w:val="ListBullet"/>
      </w:pPr>
      <w:r>
        <w:t>Verdict quality depends on data quality. Some of our sources are thin or need work (e.g. the recon result table is heavily duplicated; the record-sequence table has no record totals yet), which limits how sharp certain verdicts can be today.</w:t>
      </w:r>
    </w:p>
    <w:p>
      <w:pPr>
        <w:pStyle w:val="ListBullet"/>
      </w:pPr>
      <w:r>
        <w:t>To prove hard ROI, the verdicts should be tuned against analyst-labelled examples — the framework for that (a benchmark harness) is built and in place.</w:t>
      </w:r>
    </w:p>
    <w:p>
      <w:pPr>
        <w:pStyle w:val="Heading1"/>
      </w:pPr>
      <w:r>
        <w:rPr>
          <w:rFonts w:ascii="Calibri" w:hAnsi="Calibri"/>
          <w:color w:val="0F766E"/>
        </w:rPr>
        <w:t>5.  Before vs after — what the fuzzy layer adds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20"/>
              </w:rPr>
              <w:t>Capability</w:t>
            </w:r>
          </w:p>
        </w:tc>
        <w:tc>
          <w:tcPr>
            <w:tcW w:type="dxa" w:w="3456"/>
          </w:tcPr>
          <w:p>
            <w:r/>
            <w:r>
              <w:rPr>
                <w:b/>
                <w:sz w:val="20"/>
              </w:rPr>
              <w:t>Today (threshold checks)</w:t>
            </w:r>
          </w:p>
        </w:tc>
        <w:tc>
          <w:tcPr>
            <w:tcW w:type="dxa" w:w="3744"/>
          </w:tcPr>
          <w:p>
            <w:r/>
            <w:r>
              <w:rPr>
                <w:b/>
                <w:sz w:val="20"/>
              </w:rPr>
              <w:t>With fuzzy verdicts</w:t>
            </w:r>
          </w:p>
        </w:tc>
      </w:tr>
      <w:tr>
        <w:tc>
          <w:tcPr>
            <w:tcW w:type="dxa" w:w="2160"/>
          </w:tcPr>
          <w:p>
            <w:r/>
            <w:r>
              <w:rPr>
                <w:sz w:val="20"/>
              </w:rPr>
              <w:t>Output</w:t>
            </w:r>
          </w:p>
        </w:tc>
        <w:tc>
          <w:tcPr>
            <w:tcW w:type="dxa" w:w="3456"/>
          </w:tcPr>
          <w:p>
            <w:r/>
            <w:r>
              <w:rPr>
                <w:sz w:val="20"/>
              </w:rPr>
              <w:t>Over / under a number → alarm or no alarm</w:t>
            </w:r>
          </w:p>
        </w:tc>
        <w:tc>
          <w:tcPr>
            <w:tcW w:type="dxa" w:w="3744"/>
          </w:tcPr>
          <w:p>
            <w:r/>
            <w:r>
              <w:rPr>
                <w:sz w:val="20"/>
              </w:rPr>
              <w:t>Healthy / Watch / Suspect / Critical + score + band</w:t>
            </w:r>
          </w:p>
        </w:tc>
      </w:tr>
      <w:tr>
        <w:tc>
          <w:tcPr>
            <w:tcW w:type="dxa" w:w="2160"/>
          </w:tcPr>
          <w:p>
            <w:r/>
            <w:r>
              <w:rPr>
                <w:sz w:val="20"/>
              </w:rPr>
              <w:t>Context</w:t>
            </w:r>
          </w:p>
        </w:tc>
        <w:tc>
          <w:tcPr>
            <w:tcW w:type="dxa" w:w="3456"/>
          </w:tcPr>
          <w:p>
            <w:r/>
            <w:r>
              <w:rPr>
                <w:sz w:val="20"/>
              </w:rPr>
              <w:t>None — same threshold always</w:t>
            </w:r>
          </w:p>
        </w:tc>
        <w:tc>
          <w:tcPr>
            <w:tcW w:type="dxa" w:w="3744"/>
          </w:tcPr>
          <w:p>
            <w:r/>
            <w:r>
              <w:rPr>
                <w:sz w:val="20"/>
              </w:rPr>
              <w:t>Peak vs quiet hour, caught-up vs truly lost</w:t>
            </w:r>
          </w:p>
        </w:tc>
      </w:tr>
      <w:tr>
        <w:tc>
          <w:tcPr>
            <w:tcW w:type="dxa" w:w="2160"/>
          </w:tcPr>
          <w:p>
            <w:r/>
            <w:r>
              <w:rPr>
                <w:sz w:val="20"/>
              </w:rPr>
              <w:t>Late / caught-up data</w:t>
            </w:r>
          </w:p>
        </w:tc>
        <w:tc>
          <w:tcPr>
            <w:tcW w:type="dxa" w:w="3456"/>
          </w:tcPr>
          <w:p>
            <w:r/>
            <w:r>
              <w:rPr>
                <w:sz w:val="20"/>
              </w:rPr>
              <w:t>False alarm</w:t>
            </w:r>
          </w:p>
        </w:tc>
        <w:tc>
          <w:tcPr>
            <w:tcW w:type="dxa" w:w="3744"/>
          </w:tcPr>
          <w:p>
            <w:r/>
            <w:r>
              <w:rPr>
                <w:sz w:val="20"/>
              </w:rPr>
              <w:t>Discounted as latency (0% vs 100% false alarms on test)</w:t>
            </w:r>
          </w:p>
        </w:tc>
      </w:tr>
      <w:tr>
        <w:tc>
          <w:tcPr>
            <w:tcW w:type="dxa" w:w="2160"/>
          </w:tcPr>
          <w:p>
            <w:r/>
            <w:r>
              <w:rPr>
                <w:sz w:val="20"/>
              </w:rPr>
              <w:t>Borderline cases</w:t>
            </w:r>
          </w:p>
        </w:tc>
        <w:tc>
          <w:tcPr>
            <w:tcW w:type="dxa" w:w="3456"/>
          </w:tcPr>
          <w:p>
            <w:r/>
            <w:r>
              <w:rPr>
                <w:sz w:val="20"/>
              </w:rPr>
              <w:t>Forced yes / no</w:t>
            </w:r>
          </w:p>
        </w:tc>
        <w:tc>
          <w:tcPr>
            <w:tcW w:type="dxa" w:w="3744"/>
          </w:tcPr>
          <w:p>
            <w:r/>
            <w:r>
              <w:rPr>
                <w:sz w:val="20"/>
              </w:rPr>
              <w:t>Shown as uncertain (confidence band)</w:t>
            </w:r>
          </w:p>
        </w:tc>
      </w:tr>
      <w:tr>
        <w:tc>
          <w:tcPr>
            <w:tcW w:type="dxa" w:w="2160"/>
          </w:tcPr>
          <w:p>
            <w:r/>
            <w:r>
              <w:rPr>
                <w:sz w:val="20"/>
              </w:rPr>
              <w:t>Explainability</w:t>
            </w:r>
          </w:p>
        </w:tc>
        <w:tc>
          <w:tcPr>
            <w:tcW w:type="dxa" w:w="3456"/>
          </w:tcPr>
          <w:p>
            <w:r/>
            <w:r>
              <w:rPr>
                <w:sz w:val="20"/>
              </w:rPr>
              <w:t>“Exceeded X%”</w:t>
            </w:r>
          </w:p>
        </w:tc>
        <w:tc>
          <w:tcPr>
            <w:tcW w:type="dxa" w:w="3744"/>
          </w:tcPr>
          <w:p>
            <w:r/>
            <w:r>
              <w:rPr>
                <w:sz w:val="20"/>
              </w:rPr>
              <w:t>Plain verdict + IF…THEN rule trace</w:t>
            </w:r>
          </w:p>
        </w:tc>
      </w:tr>
      <w:tr>
        <w:tc>
          <w:tcPr>
            <w:tcW w:type="dxa" w:w="2160"/>
          </w:tcPr>
          <w:p>
            <w:r/>
            <w:r>
              <w:rPr>
                <w:sz w:val="20"/>
              </w:rPr>
              <w:t>Prioritisation</w:t>
            </w:r>
          </w:p>
        </w:tc>
        <w:tc>
          <w:tcPr>
            <w:tcW w:type="dxa" w:w="3456"/>
          </w:tcPr>
          <w:p>
            <w:r/>
            <w:r>
              <w:rPr>
                <w:sz w:val="20"/>
              </w:rPr>
              <w:t>Flat list of breaches</w:t>
            </w:r>
          </w:p>
        </w:tc>
        <w:tc>
          <w:tcPr>
            <w:tcW w:type="dxa" w:w="3744"/>
          </w:tcPr>
          <w:p>
            <w:r/>
            <w:r>
              <w:rPr>
                <w:sz w:val="20"/>
              </w:rPr>
              <w:t>Ranked worst-first; “what to look at now”</w:t>
            </w:r>
          </w:p>
        </w:tc>
      </w:tr>
      <w:tr>
        <w:tc>
          <w:tcPr>
            <w:tcW w:type="dxa" w:w="2160"/>
          </w:tcPr>
          <w:p>
            <w:r/>
            <w:r>
              <w:rPr>
                <w:sz w:val="20"/>
              </w:rPr>
              <w:t>Consistency</w:t>
            </w:r>
          </w:p>
        </w:tc>
        <w:tc>
          <w:tcPr>
            <w:tcW w:type="dxa" w:w="3456"/>
          </w:tcPr>
          <w:p>
            <w:r/>
            <w:r>
              <w:rPr>
                <w:sz w:val="20"/>
              </w:rPr>
              <w:t>Per-report, ad-hoc</w:t>
            </w:r>
          </w:p>
        </w:tc>
        <w:tc>
          <w:tcPr>
            <w:tcW w:type="dxa" w:w="3744"/>
          </w:tcPr>
          <w:p>
            <w:r/>
            <w:r>
              <w:rPr>
                <w:sz w:val="20"/>
              </w:rPr>
              <w:t>One engine + language across all reports + roll-up</w:t>
            </w:r>
          </w:p>
        </w:tc>
      </w:tr>
      <w:tr>
        <w:tc>
          <w:tcPr>
            <w:tcW w:type="dxa" w:w="2160"/>
          </w:tcPr>
          <w:p>
            <w:r/>
            <w:r>
              <w:rPr>
                <w:sz w:val="20"/>
              </w:rPr>
              <w:t>Proof it works</w:t>
            </w:r>
          </w:p>
        </w:tc>
        <w:tc>
          <w:tcPr>
            <w:tcW w:type="dxa" w:w="3456"/>
          </w:tcPr>
          <w:p>
            <w:r/>
            <w:r>
              <w:rPr>
                <w:sz w:val="20"/>
              </w:rPr>
              <w:t>—</w:t>
            </w:r>
          </w:p>
        </w:tc>
        <w:tc>
          <w:tcPr>
            <w:tcW w:type="dxa" w:w="3744"/>
          </w:tcPr>
          <w:p>
            <w:r/>
            <w:r>
              <w:rPr>
                <w:sz w:val="20"/>
              </w:rPr>
              <w:t>Benchmarked vs a threshold on a labelled set</w:t>
            </w:r>
          </w:p>
        </w:tc>
      </w:tr>
    </w:tbl>
    <w:p/>
    <w:p>
      <w:r>
        <w:rPr>
          <w:b w:val="0"/>
          <w:i/>
          <w:sz w:val="22"/>
        </w:rPr>
        <w:t>In one line: the old way tells you a number crossed a line; the new way tells you how worried to be, why, and what to look at first.</w:t>
      </w:r>
    </w:p>
    <w:p>
      <w:pPr>
        <w:pStyle w:val="Heading1"/>
      </w:pPr>
      <w:r>
        <w:rPr>
          <w:rFonts w:ascii="Calibri" w:hAnsi="Calibri"/>
          <w:color w:val="0F766E"/>
        </w:rPr>
        <w:t>6.  How it works (plain terms, with a few technical notes)</w:t>
      </w:r>
    </w:p>
    <w:p>
      <w:r>
        <w:rPr>
          <w:b/>
          <w:i w:val="0"/>
          <w:sz w:val="22"/>
        </w:rPr>
        <w:t>Two layers, kept strictly separate:</w:t>
      </w:r>
    </w:p>
    <w:p>
      <w:pPr>
        <w:pStyle w:val="ListBullet"/>
      </w:pPr>
      <w:r>
        <w:rPr>
          <w:b/>
        </w:rPr>
        <w:t xml:space="preserve">Layer 1 (the facts): </w:t>
      </w:r>
      <w:r>
        <w:t>counts exactly and auditably — how many records/files matched, how many are missing, how much value differs. No guessing here.</w:t>
      </w:r>
    </w:p>
    <w:p>
      <w:pPr>
        <w:pStyle w:val="ListBullet"/>
      </w:pPr>
      <w:r>
        <w:rPr>
          <w:b/>
        </w:rPr>
        <w:t xml:space="preserve">Layer 2 (the judgement): </w:t>
      </w:r>
      <w:r>
        <w:t>reads those facts and forms a judgement, the way an experienced analyst would.</w:t>
      </w:r>
    </w:p>
    <w:p>
      <w:r>
        <w:rPr>
          <w:b/>
          <w:i w:val="0"/>
          <w:color w:val="0F766E"/>
          <w:sz w:val="22"/>
        </w:rPr>
        <w:t>How the judgement is formed (the technical part, kept light):</w:t>
      </w:r>
    </w:p>
    <w:p>
      <w:pPr>
        <w:pStyle w:val="ListBullet"/>
      </w:pPr>
      <w:r>
        <w:rPr>
          <w:b/>
        </w:rPr>
        <w:t xml:space="preserve">Words, not just numbers: </w:t>
      </w:r>
      <w:r>
        <w:t>Rather than a hard cut-off (“8% = bad”), each input is described in words — “small”, “moderate”, “large” gap — with soft, overlapping boundaries. This is “fuzzy” logic: it mirrors how a person reasons (“that’s a fairly large gap”) instead of a brittle line in the sand.</w:t>
      </w:r>
    </w:p>
    <w:p>
      <w:pPr>
        <w:pStyle w:val="ListBullet"/>
      </w:pPr>
      <w:r>
        <w:rPr>
          <w:b/>
        </w:rPr>
        <w:t xml:space="preserve">Honest about uncertainty: </w:t>
      </w:r>
      <w:r>
        <w:t>we use an Interval Type-2 fuzzy system, which also captures uncertainty about the boundary itself — “where exactly does small become moderate?” — and surfaces it as the confidence band.</w:t>
      </w:r>
    </w:p>
    <w:p>
      <w:pPr>
        <w:pStyle w:val="ListBullet"/>
      </w:pPr>
      <w:r>
        <w:rPr>
          <w:b/>
        </w:rPr>
        <w:t xml:space="preserve">Rules an analyst would write: </w:t>
      </w:r>
      <w:r>
        <w:t>a small library of analyst rules (“a gap that catches up is latency”, “value gap outranks count gap”, “duplicates are their own risk”) combine to produce the score and the plain word (Computing-With-Words).</w:t>
      </w:r>
    </w:p>
    <w:p>
      <w:r>
        <w:rPr>
          <w:b w:val="0"/>
          <w:i w:val="0"/>
          <w:sz w:val="22"/>
        </w:rPr>
        <w:t>Everything the layer decides is traceable back to those rules — there is no black box. That matters for an audit-facing function like revenue assurance.</w:t>
      </w:r>
    </w:p>
    <w:p>
      <w:pPr>
        <w:pStyle w:val="Heading1"/>
      </w:pPr>
      <w:r>
        <w:rPr>
          <w:rFonts w:ascii="Calibri" w:hAnsi="Calibri"/>
          <w:color w:val="0F766E"/>
        </w:rPr>
        <w:t>7.  Reports the layer covers</w:t>
      </w:r>
    </w:p>
    <w:p>
      <w:r>
        <w:rPr>
          <w:b w:val="0"/>
          <w:i w:val="0"/>
          <w:sz w:val="22"/>
        </w:rPr>
        <w:t>One engine, seven pluggable reports. Adding a new report is a small configuration, not a rebuild.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448"/>
          </w:tcPr>
          <w:p>
            <w:r/>
            <w:r>
              <w:rPr>
                <w:b/>
                <w:sz w:val="20"/>
              </w:rPr>
              <w:t>Report</w:t>
            </w:r>
          </w:p>
        </w:tc>
        <w:tc>
          <w:tcPr>
            <w:tcW w:type="dxa" w:w="3456"/>
          </w:tcPr>
          <w:p>
            <w:r/>
            <w:r>
              <w:rPr>
                <w:b/>
                <w:sz w:val="20"/>
              </w:rPr>
              <w:t>What it watches</w:t>
            </w:r>
          </w:p>
        </w:tc>
        <w:tc>
          <w:tcPr>
            <w:tcW w:type="dxa" w:w="2160"/>
          </w:tcPr>
          <w:p>
            <w:r/>
            <w:r>
              <w:rPr>
                <w:b/>
                <w:sz w:val="20"/>
              </w:rPr>
              <w:t>Data source</w:t>
            </w:r>
          </w:p>
        </w:tc>
        <w:tc>
          <w:tcPr>
            <w:tcW w:type="dxa" w:w="2016"/>
          </w:tcPr>
          <w:p>
            <w:r/>
            <w:r>
              <w:rPr>
                <w:b/>
                <w:sz w:val="20"/>
              </w:rPr>
              <w:t>Status</w:t>
            </w:r>
          </w:p>
        </w:tc>
      </w:tr>
      <w:tr>
        <w:tc>
          <w:tcPr>
            <w:tcW w:type="dxa" w:w="2448"/>
          </w:tcPr>
          <w:p>
            <w:r/>
            <w:r>
              <w:rPr>
                <w:sz w:val="20"/>
              </w:rPr>
              <w:t>AIR reconciliation</w:t>
            </w:r>
          </w:p>
        </w:tc>
        <w:tc>
          <w:tcPr>
            <w:tcW w:type="dxa" w:w="3456"/>
          </w:tcPr>
          <w:p>
            <w:r/>
            <w:r>
              <w:rPr>
                <w:sz w:val="20"/>
              </w:rPr>
              <w:t>Network vs mediation, per hour</w:t>
            </w:r>
          </w:p>
        </w:tc>
        <w:tc>
          <w:tcPr>
            <w:tcW w:type="dxa" w:w="2160"/>
          </w:tcPr>
          <w:p>
            <w:r/>
            <w:r>
              <w:rPr>
                <w:sz w:val="20"/>
              </w:rPr>
              <w:t>ClickHouse</w:t>
            </w:r>
          </w:p>
        </w:tc>
        <w:tc>
          <w:tcPr>
            <w:tcW w:type="dxa" w:w="2016"/>
          </w:tcPr>
          <w:p>
            <w:r/>
            <w:r>
              <w:rPr>
                <w:sz w:val="20"/>
              </w:rPr>
              <w:t>Demo (data being fixed)</w:t>
            </w:r>
          </w:p>
        </w:tc>
      </w:tr>
      <w:tr>
        <w:tc>
          <w:tcPr>
            <w:tcW w:type="dxa" w:w="2448"/>
          </w:tcPr>
          <w:p>
            <w:r/>
            <w:r>
              <w:rPr>
                <w:sz w:val="20"/>
              </w:rPr>
              <w:t>Missing File Sequence</w:t>
            </w:r>
          </w:p>
        </w:tc>
        <w:tc>
          <w:tcPr>
            <w:tcW w:type="dxa" w:w="3456"/>
          </w:tcPr>
          <w:p>
            <w:r/>
            <w:r>
              <w:rPr>
                <w:sz w:val="20"/>
              </w:rPr>
              <w:t>Files missing in the sequence, per node</w:t>
            </w:r>
          </w:p>
        </w:tc>
        <w:tc>
          <w:tcPr>
            <w:tcW w:type="dxa" w:w="2160"/>
          </w:tcPr>
          <w:p>
            <w:r/>
            <w:r>
              <w:rPr>
                <w:sz w:val="20"/>
              </w:rPr>
              <w:t>Postgres (live)</w:t>
            </w:r>
          </w:p>
        </w:tc>
        <w:tc>
          <w:tcPr>
            <w:tcW w:type="dxa" w:w="2016"/>
          </w:tcPr>
          <w:p>
            <w:r/>
            <w:r>
              <w:rPr>
                <w:sz w:val="20"/>
              </w:rPr>
              <w:t>Real data</w:t>
            </w:r>
          </w:p>
        </w:tc>
      </w:tr>
      <w:tr>
        <w:tc>
          <w:tcPr>
            <w:tcW w:type="dxa" w:w="2448"/>
          </w:tcPr>
          <w:p>
            <w:r/>
            <w:r>
              <w:rPr>
                <w:sz w:val="20"/>
              </w:rPr>
              <w:t>Missing Record Sequence</w:t>
            </w:r>
          </w:p>
        </w:tc>
        <w:tc>
          <w:tcPr>
            <w:tcW w:type="dxa" w:w="3456"/>
          </w:tcPr>
          <w:p>
            <w:r/>
            <w:r>
              <w:rPr>
                <w:sz w:val="20"/>
              </w:rPr>
              <w:t>Gaps in record numbering, per node</w:t>
            </w:r>
          </w:p>
        </w:tc>
        <w:tc>
          <w:tcPr>
            <w:tcW w:type="dxa" w:w="2160"/>
          </w:tcPr>
          <w:p>
            <w:r/>
            <w:r>
              <w:rPr>
                <w:sz w:val="20"/>
              </w:rPr>
              <w:t>ClickHouse (live)</w:t>
            </w:r>
          </w:p>
        </w:tc>
        <w:tc>
          <w:tcPr>
            <w:tcW w:type="dxa" w:w="2016"/>
          </w:tcPr>
          <w:p>
            <w:r/>
            <w:r>
              <w:rPr>
                <w:sz w:val="20"/>
              </w:rPr>
              <w:t>Real data</w:t>
            </w:r>
          </w:p>
        </w:tc>
      </w:tr>
      <w:tr>
        <w:tc>
          <w:tcPr>
            <w:tcW w:type="dxa" w:w="2448"/>
          </w:tcPr>
          <w:p>
            <w:r/>
            <w:r>
              <w:rPr>
                <w:sz w:val="20"/>
              </w:rPr>
              <w:t>AIR↔SDP Cross-recon</w:t>
            </w:r>
          </w:p>
        </w:tc>
        <w:tc>
          <w:tcPr>
            <w:tcW w:type="dxa" w:w="3456"/>
          </w:tcPr>
          <w:p>
            <w:r/>
            <w:r>
              <w:rPr>
                <w:sz w:val="20"/>
              </w:rPr>
              <w:t>Agreement across two systems</w:t>
            </w:r>
          </w:p>
        </w:tc>
        <w:tc>
          <w:tcPr>
            <w:tcW w:type="dxa" w:w="2160"/>
          </w:tcPr>
          <w:p>
            <w:r/>
            <w:r>
              <w:rPr>
                <w:sz w:val="20"/>
              </w:rPr>
              <w:t>ClickHouse</w:t>
            </w:r>
          </w:p>
        </w:tc>
        <w:tc>
          <w:tcPr>
            <w:tcW w:type="dxa" w:w="2016"/>
          </w:tcPr>
          <w:p>
            <w:r/>
            <w:r>
              <w:rPr>
                <w:sz w:val="20"/>
              </w:rPr>
              <w:t>Demo</w:t>
            </w:r>
          </w:p>
        </w:tc>
      </w:tr>
      <w:tr>
        <w:tc>
          <w:tcPr>
            <w:tcW w:type="dxa" w:w="2448"/>
          </w:tcPr>
          <w:p>
            <w:r/>
            <w:r>
              <w:rPr>
                <w:sz w:val="20"/>
              </w:rPr>
              <w:t>File Collection &amp; Load</w:t>
            </w:r>
          </w:p>
        </w:tc>
        <w:tc>
          <w:tcPr>
            <w:tcW w:type="dxa" w:w="3456"/>
          </w:tcPr>
          <w:p>
            <w:r/>
            <w:r>
              <w:rPr>
                <w:sz w:val="20"/>
              </w:rPr>
              <w:t>Files received vs expected, load health</w:t>
            </w:r>
          </w:p>
        </w:tc>
        <w:tc>
          <w:tcPr>
            <w:tcW w:type="dxa" w:w="2160"/>
          </w:tcPr>
          <w:p>
            <w:r/>
            <w:r>
              <w:rPr>
                <w:sz w:val="20"/>
              </w:rPr>
              <w:t>Postgres</w:t>
            </w:r>
          </w:p>
        </w:tc>
        <w:tc>
          <w:tcPr>
            <w:tcW w:type="dxa" w:w="2016"/>
          </w:tcPr>
          <w:p>
            <w:r/>
            <w:r>
              <w:rPr>
                <w:sz w:val="20"/>
              </w:rPr>
              <w:t>Demo (source empty)</w:t>
            </w:r>
          </w:p>
        </w:tc>
      </w:tr>
      <w:tr>
        <w:tc>
          <w:tcPr>
            <w:tcW w:type="dxa" w:w="2448"/>
          </w:tcPr>
          <w:p>
            <w:r/>
            <w:r>
              <w:rPr>
                <w:sz w:val="20"/>
              </w:rPr>
              <w:t>File Processing &amp; Exception</w:t>
            </w:r>
          </w:p>
        </w:tc>
        <w:tc>
          <w:tcPr>
            <w:tcW w:type="dxa" w:w="3456"/>
          </w:tcPr>
          <w:p>
            <w:r/>
            <w:r>
              <w:rPr>
                <w:sz w:val="20"/>
              </w:rPr>
              <w:t>Rejections, retries, exceptions</w:t>
            </w:r>
          </w:p>
        </w:tc>
        <w:tc>
          <w:tcPr>
            <w:tcW w:type="dxa" w:w="2160"/>
          </w:tcPr>
          <w:p>
            <w:r/>
            <w:r>
              <w:rPr>
                <w:sz w:val="20"/>
              </w:rPr>
              <w:t>Postgres</w:t>
            </w:r>
          </w:p>
        </w:tc>
        <w:tc>
          <w:tcPr>
            <w:tcW w:type="dxa" w:w="2016"/>
          </w:tcPr>
          <w:p>
            <w:r/>
            <w:r>
              <w:rPr>
                <w:sz w:val="20"/>
              </w:rPr>
              <w:t>Demo (source empty)</w:t>
            </w:r>
          </w:p>
        </w:tc>
      </w:tr>
      <w:tr>
        <w:tc>
          <w:tcPr>
            <w:tcW w:type="dxa" w:w="2448"/>
          </w:tcPr>
          <w:p>
            <w:r/>
            <w:r>
              <w:rPr>
                <w:sz w:val="20"/>
              </w:rPr>
              <w:t>Platform health roll-up</w:t>
            </w:r>
          </w:p>
        </w:tc>
        <w:tc>
          <w:tcPr>
            <w:tcW w:type="dxa" w:w="3456"/>
          </w:tcPr>
          <w:p>
            <w:r/>
            <w:r>
              <w:rPr>
                <w:sz w:val="20"/>
              </w:rPr>
              <w:t>One overall health signal</w:t>
            </w:r>
          </w:p>
        </w:tc>
        <w:tc>
          <w:tcPr>
            <w:tcW w:type="dxa" w:w="2160"/>
          </w:tcPr>
          <w:p>
            <w:r/>
            <w:r>
              <w:rPr>
                <w:sz w:val="20"/>
              </w:rPr>
              <w:t>(aggregates the above)</w:t>
            </w:r>
          </w:p>
        </w:tc>
        <w:tc>
          <w:tcPr>
            <w:tcW w:type="dxa" w:w="2016"/>
          </w:tcPr>
          <w:p>
            <w:r/>
            <w:r>
              <w:rPr>
                <w:sz w:val="20"/>
              </w:rPr>
              <w:t>Live</w:t>
            </w:r>
          </w:p>
        </w:tc>
      </w:tr>
    </w:tbl>
    <w:p/>
    <w:p>
      <w:r>
        <w:rPr>
          <w:b w:val="0"/>
          <w:i/>
          <w:sz w:val="22"/>
        </w:rPr>
        <w:t>“Demo” means the report runs on realistic synthetic data scored by the exact same engine, so the screen is fully functional while we wait for that source to be populated or fixed. Two reports already run on live production data.</w:t>
      </w:r>
    </w:p>
    <w:p>
      <w:pPr>
        <w:pStyle w:val="Heading1"/>
      </w:pPr>
      <w:r>
        <w:rPr>
          <w:rFonts w:ascii="Calibri" w:hAnsi="Calibri"/>
          <w:color w:val="0F766E"/>
        </w:rPr>
        <w:t>8.  Proof it earns its place</w:t>
      </w:r>
    </w:p>
    <w:p>
      <w:r>
        <w:rPr>
          <w:b w:val="0"/>
          <w:i w:val="0"/>
          <w:sz w:val="22"/>
        </w:rPr>
        <w:t>We do not ask stakeholders to take the fuzzy layer on faith. For each report we score a labelled set of hours two ways — with the fuzzy engine and with a normal threshold — and compare. The headline result:</w:t>
      </w:r>
    </w:p>
    <w:p>
      <w:pPr>
        <w:pStyle w:val="ListBullet"/>
      </w:pPr>
      <w:r>
        <w:rPr>
          <w:b/>
        </w:rPr>
        <w:t xml:space="preserve">False alarms on “late-but-arrived”: </w:t>
      </w:r>
      <w:r>
        <w:t>caught-up hours wrongly alarmed: fuzzy 0%, threshold 100%.</w:t>
      </w:r>
    </w:p>
    <w:p>
      <w:pPr>
        <w:pStyle w:val="ListBullet"/>
      </w:pPr>
      <w:r>
        <w:rPr>
          <w:b/>
        </w:rPr>
        <w:t xml:space="preserve">Precision: </w:t>
      </w:r>
      <w:r>
        <w:t>fuzzy 1.0 (perfect) vs threshold ~0.75–0.83.</w:t>
      </w:r>
    </w:p>
    <w:p>
      <w:pPr>
        <w:pStyle w:val="ListBullet"/>
      </w:pPr>
      <w:r>
        <w:rPr>
          <w:b/>
        </w:rPr>
        <w:t xml:space="preserve">Accuracy: </w:t>
      </w:r>
      <w:r>
        <w:t>comparable or better overall (F1), with far fewer false alarms.</w:t>
      </w:r>
    </w:p>
    <w:p>
      <w:r>
        <w:rPr>
          <w:b w:val="0"/>
          <w:i/>
          <w:sz w:val="22"/>
        </w:rPr>
        <w:t>The comparison is deliberately fair — the same ground truth judges both — and it also honestly shows the trade-off (the fuzzy layer is slightly more conservative on tiny gaps), which is exactly the kind of insight this tooling exists to surface.</w:t>
      </w:r>
    </w:p>
    <w:p>
      <w:pPr>
        <w:pStyle w:val="Heading1"/>
      </w:pPr>
      <w:r>
        <w:rPr>
          <w:rFonts w:ascii="Calibri" w:hAnsi="Calibri"/>
          <w:color w:val="0F766E"/>
        </w:rPr>
        <w:t>9.  Honest limitations &amp; what would make it stronger</w:t>
      </w:r>
    </w:p>
    <w:p>
      <w:pPr>
        <w:pStyle w:val="ListBullet"/>
      </w:pPr>
      <w:r>
        <w:rPr>
          <w:b/>
        </w:rPr>
        <w:t xml:space="preserve">Recon data health: </w:t>
      </w:r>
      <w:r>
        <w:t>The reconciliation result table is duplicated to billions of rows and needs de-duplication before recon verdicts can run live and fast.</w:t>
      </w:r>
    </w:p>
    <w:p>
      <w:pPr>
        <w:pStyle w:val="ListBullet"/>
      </w:pPr>
      <w:r>
        <w:rPr>
          <w:b/>
        </w:rPr>
        <w:t xml:space="preserve">Missing sources: </w:t>
      </w:r>
      <w:r>
        <w:t>File-log / summary / exception tables are not yet populated, so file-collection and processing-exception run on demo data until they fill.</w:t>
      </w:r>
    </w:p>
    <w:p>
      <w:pPr>
        <w:pStyle w:val="ListBullet"/>
      </w:pPr>
      <w:r>
        <w:rPr>
          <w:b/>
        </w:rPr>
        <w:t xml:space="preserve">Record totals: </w:t>
      </w:r>
      <w:r>
        <w:t>The record-sequence source lists gaps but no totals, so its verdict is driven by gap size only and currently under-reports; a record total would sharpen it.</w:t>
      </w:r>
    </w:p>
    <w:p>
      <w:pPr>
        <w:pStyle w:val="ListBullet"/>
      </w:pPr>
      <w:r>
        <w:rPr>
          <w:b/>
        </w:rPr>
        <w:t xml:space="preserve">Tuning: </w:t>
      </w:r>
      <w:r>
        <w:t>The rules are hand-tuned today; feeding a few weeks of analyst-labelled hours would let us tune them from data and quote hard precision/recall numbers.</w:t>
      </w:r>
    </w:p>
    <w:p>
      <w:pPr>
        <w:pStyle w:val="Heading1"/>
      </w:pPr>
      <w:r>
        <w:rPr>
          <w:rFonts w:ascii="Calibri" w:hAnsi="Calibri"/>
          <w:color w:val="0F766E"/>
        </w:rPr>
        <w:t>10.  Recommendation</w:t>
      </w:r>
    </w:p>
    <w:p>
      <w:r>
        <w:rPr>
          <w:b/>
          <w:i w:val="0"/>
          <w:sz w:val="22"/>
        </w:rPr>
        <w:t>Adopt the fuzzy verdict layer as the triage and prioritisation surface for revenue assurance, on top of the existing reconciliation. It is already live on two real reports and fully functional on the rest. The near-term work is data plumbing (de-duplicate the recon table, populate the file-log sources) and a short calibration exercise with analyst-labelled examples — after which we can put firm accuracy figures in front of leadership.</w:t>
      </w:r>
    </w:p>
    <w:p>
      <w:pPr>
        <w:pStyle w:val="Heading2"/>
      </w:pPr>
      <w:r>
        <w:rPr>
          <w:rFonts w:ascii="Calibri" w:hAnsi="Calibri"/>
          <w:color w:val="555F6B"/>
        </w:rPr>
        <w:t>Appendix — plain-English glossary</w:t>
      </w:r>
    </w:p>
    <w:p>
      <w:pPr>
        <w:pStyle w:val="ListBullet"/>
      </w:pPr>
      <w:r>
        <w:rPr>
          <w:b/>
        </w:rPr>
        <w:t xml:space="preserve">Reconciliation — </w:t>
      </w:r>
      <w:r>
        <w:t>Matching what the network produced against what mediation/billing processed, to find leakage.</w:t>
      </w:r>
    </w:p>
    <w:p>
      <w:pPr>
        <w:pStyle w:val="ListBullet"/>
      </w:pPr>
      <w:r>
        <w:rPr>
          <w:b/>
        </w:rPr>
        <w:t xml:space="preserve">Verdict — </w:t>
      </w:r>
      <w:r>
        <w:t>The plain-English outcome per hour/report: Healthy, Watch, Suspect, or Critical.</w:t>
      </w:r>
    </w:p>
    <w:p>
      <w:pPr>
        <w:pStyle w:val="ListBullet"/>
      </w:pPr>
      <w:r>
        <w:rPr>
          <w:b/>
        </w:rPr>
        <w:t xml:space="preserve">Fuzzy logic — </w:t>
      </w:r>
      <w:r>
        <w:t>Reasoning with soft categories (“small/large gap”) instead of hard cut-offs, the way people judge.</w:t>
      </w:r>
    </w:p>
    <w:p>
      <w:pPr>
        <w:pStyle w:val="ListBullet"/>
      </w:pPr>
      <w:r>
        <w:rPr>
          <w:b/>
        </w:rPr>
        <w:t xml:space="preserve">Interval Type-2 — </w:t>
      </w:r>
      <w:r>
        <w:t>A fuzzy method that also captures uncertainty about the category boundaries — shown as the confidence band.</w:t>
      </w:r>
    </w:p>
    <w:p>
      <w:pPr>
        <w:pStyle w:val="ListBullet"/>
      </w:pPr>
      <w:r>
        <w:rPr>
          <w:b/>
        </w:rPr>
        <w:t xml:space="preserve">Catch-up / latency — </w:t>
      </w:r>
      <w:r>
        <w:t>Data that arrived late but did arrive; not a real loss, and the engine discounts it.</w:t>
      </w:r>
    </w:p>
    <w:p>
      <w:pPr>
        <w:pStyle w:val="ListBullet"/>
      </w:pPr>
      <w:r>
        <w:rPr>
          <w:b/>
        </w:rPr>
        <w:t xml:space="preserve">Rule trace — </w:t>
      </w:r>
      <w:r>
        <w:t>The short list of IF…THEN rules that produced a verdict — the explanation.</w:t>
      </w:r>
    </w:p>
    <w:p>
      <w:pPr>
        <w:pStyle w:val="ListBullet"/>
      </w:pPr>
      <w:r>
        <w:rPr>
          <w:b/>
        </w:rPr>
        <w:t xml:space="preserve">Benchmark — </w:t>
      </w:r>
      <w:r>
        <w:t>A fair test comparing the fuzzy engine against a normal threshold on labelled examples.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