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Primer Control - 23 d’octubre de 2015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 xml:space="preserve">----1----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1)) La modulació QAM-128 varia la fase i l’amplada de 128 portadores per aconseguir un senyal multinivell ( C / F )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Nomes hi ha una portadora, la frequencia es unica.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2) Una relació Senyal/Soroll (SNR) de 10 dB significa que el senyal té un potència deu vegades més gran que el soroll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10 log10 Ps/Pn = 10db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Ps/Pn = 10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3) La codificació NRZ permet detectar errors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es un 1 o es un 0 pero no es pot detectar errors.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4) En una fibra òptica només es poden utilitzar determinats amples de banda del total disponible (finestres) debut a la distorsió d’atenuació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Es la distorsio de l’atenuacio.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5) El payload disponible per dades d’usuari en un sistema de transmissió SDH de 155,52 Mbps és de 2340 canals de 64 Kbps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8bits/125x10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  <w:t xml:space="preserve"> = 64kbps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260 x 9 = 2340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6)  En xarxes de commutació de paquets, per un mateix volum de dades és millor fer els paquets tan petits com sigui possible a l’hora d’obtenir un temps total de transmissió menor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Sempre que el tamany en bits de la capçelera no sigui superior al payload.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