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AVISO DE PRIVACIDAD INTEGRAL - PLATAFORMA NEXUS</w:t>
      </w:r>
    </w:p>
    <w:p>
      <w:pPr>
        <w:pStyle w:val="Heading1"/>
      </w:pPr>
      <w:r>
        <w:t>1. Identidad y Domicilio del Responsable (Sección 1)</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1)</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1)</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1)</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1)</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1)</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1)</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1)</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1)</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1)</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2)</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2)</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2)</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2)</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2)</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2)</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2)</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2)</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2)</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2)</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3)</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3)</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3)</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3)</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3)</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3)</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3)</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3)</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3)</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3)</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4)</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4)</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4)</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4)</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4)</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4)</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4)</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4)</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4)</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4)</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5)</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5)</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5)</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5)</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5)</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5)</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5)</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5)</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5)</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5)</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6)</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6)</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6)</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6)</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6)</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6)</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6)</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6)</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6)</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6)</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7)</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7)</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7)</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7)</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7)</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7)</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7)</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7)</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7)</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7)</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8)</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8)</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8)</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8)</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8)</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8)</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8)</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8)</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8)</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8)</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9)</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9)</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9)</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9)</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9)</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9)</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9)</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9)</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9)</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9)</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10)</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10)</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10)</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10)</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10)</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10)</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10)</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10)</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10)</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10)</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11)</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11)</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11)</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11)</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11)</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11)</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11)</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11)</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11)</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11)</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12)</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12)</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12)</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12)</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12)</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12)</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12)</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12)</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12)</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12)</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13)</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13)</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13)</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13)</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13)</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13)</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13)</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13)</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13)</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13)</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 Identidad y Domicilio del Responsable (Sección 14)</w:t>
      </w:r>
    </w:p>
    <w:p>
      <w:r>
        <w:t>NEXUS, con domicilio en Ciudad de México, México, es el responsable del tratamiento de los datos personales de conformidad con la Ley General de Protección de Datos Personales en Posesión de Sujetos Obligados (LGPDPPSO).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2. Definiciones de acuerdo a los estándares del IAIP (Sección 14)</w:t>
      </w:r>
    </w:p>
    <w:p>
      <w:r>
        <w:t>De acuerdo con la Guía para Sujetos Obligados, el 'Responsable' es la entidad que decide sobre el tratamiento de datos. El 'Titular' es la persona física a quien corresponden los datos. El 'Tratamiento' incluye cualquier operación de manejo automatizado o manual.</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3. Datos Personales Recabados (Sección 14)</w:t>
      </w:r>
    </w:p>
    <w:p>
      <w:r>
        <w:t>Se recaban datos de identificación, contacto y datos sensibles de salud (historial clínico, diagnósticos, niveles bioquímicos). Se garantiza el consentimiento expreso y por escrito para el tratamiento de datos sensibles.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4. Finalidades del Tratamiento (Sección 14)</w:t>
      </w:r>
    </w:p>
    <w:p>
      <w:r>
        <w:t>El tratamiento tiene como fin principal la integración del Expediente Único de Salud (EUS) para la interoperabilidad médica nacional y la mejora de la eficiencia del sistema de salud.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5. Transferencias de Datos (Sección 14)</w:t>
      </w:r>
    </w:p>
    <w:p>
      <w:r>
        <w:t>No se realizarán transferencias de datos sin consentimiento, salvo las permitidas por el artículo 22 de la LGPDPPSO en casos de salud pública o emergencia sanitaria.</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6. Medidas de Seguridad (Sección 14)</w:t>
      </w:r>
    </w:p>
    <w:p>
      <w:r>
        <w:t>Se implementan medidas técnicas, administrativas y físicas para proteger la información contra daño, pérdida, alteración o acceso no autorizado.</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7. Derechos ARCO (Sección 14)</w:t>
      </w:r>
    </w:p>
    <w:p>
      <w:r>
        <w:t>Los titulares pueden ejercer sus derechos de Acceso, Rectificación, Cancelación y Oposición mediante los mecanismos establecidos.</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8. Procedimiento para Ejercicio de Derechos ARCO (Sección 14)</w:t>
      </w:r>
    </w:p>
    <w:p>
      <w:r>
        <w:t>El titular deberá presentar una solicitud por escrito o vía electrónica con la documentación que acredite su identidad.</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9. Cambios al Aviso de Privacidad (Sección 14)</w:t>
      </w:r>
    </w:p>
    <w:p>
      <w:r>
        <w:t>Cualquier modificación será notificada a través del portal oficial con al menos 15 días de anticipación.</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p>
      <w:pPr>
        <w:pStyle w:val="Heading1"/>
      </w:pPr>
      <w:r>
        <w:t>10. Fundamento Jurídico (Sección 14)</w:t>
      </w:r>
    </w:p>
    <w:p>
      <w:r>
        <w:t>Este aviso cumple con la Ley General de Protección de Datos Personales en Posesión de Sujetos Obligados, la NOM-004-SSA3-2012 y estándares de interoperabilidad HL7 FHIR.</w:t>
      </w:r>
    </w:p>
    <w:p>
      <w:r>
        <w:t>Este tratamiento se realiza bajo los principios de licitud, finalidad, proporcionalidad y responsabilidad exigidos por la normativa vigente para garantizar la protección de la integridad de los datos clínicos de los pacientes en el territorio nacional.</w:t>
      </w:r>
    </w:p>
    <w:p>
      <w:r>
        <w:t>La plataforma NEXUS se compromete a mantener el más alto estándar de confidencialidad médica y tecnológica en el manejo de expedientes digitales.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