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after="80"/>
        <w:jc w:val="center"/>
      </w:pPr>
      <w:r>
        <w:rPr>
          <w:rFonts w:ascii="Arial" w:hAnsi="Arial"/>
          <w:b/>
          <w:color w:val="1A2E3B"/>
          <w:sz w:val="76"/>
        </w:rPr>
        <w:t>DE 420 À 710</w:t>
      </w:r>
    </w:p>
    <w:p>
      <w:pPr>
        <w:pBdr>
          <w:bottom w:val="single" w:sz="4" w:space="1" w:color="B0CEC8"/>
        </w:pBdr>
        <w:spacing w:before="160" w:after="160"/>
      </w:pPr>
    </w:p>
    <w:p>
      <w:pPr>
        <w:spacing w:before="240" w:after="80" w:line="324" w:lineRule="auto"/>
        <w:jc w:val="center"/>
      </w:pPr>
      <w:r>
        <w:rPr>
          <w:rFonts w:ascii="Garamond" w:hAnsi="Garamond"/>
          <w:b w:val="0"/>
          <w:i/>
          <w:color w:val="2E6B8A"/>
          <w:sz w:val="32"/>
        </w:rPr>
        <w:t>Phytochimie du Cannabis sativa L. :</w:t>
      </w:r>
    </w:p>
    <w:p>
      <w:pPr>
        <w:spacing w:before="0" w:after="80" w:line="324" w:lineRule="auto"/>
        <w:jc w:val="center"/>
      </w:pPr>
      <w:r>
        <w:rPr>
          <w:rFonts w:ascii="Garamond" w:hAnsi="Garamond"/>
          <w:b w:val="0"/>
          <w:i/>
          <w:color w:val="2E6B8A"/>
          <w:sz w:val="30"/>
        </w:rPr>
        <w:t>De la biosynthèse des trichomes aux mécanismes d'extraction,</w:t>
      </w:r>
    </w:p>
    <w:p>
      <w:pPr>
        <w:spacing w:before="0" w:after="400" w:line="324" w:lineRule="auto"/>
        <w:jc w:val="center"/>
      </w:pPr>
      <w:r>
        <w:rPr>
          <w:rFonts w:ascii="Garamond" w:hAnsi="Garamond"/>
          <w:b w:val="0"/>
          <w:i/>
          <w:color w:val="2E6B8A"/>
          <w:sz w:val="30"/>
        </w:rPr>
        <w:t>pharmacologie des cannabinoïdes et implications cliniques</w:t>
      </w:r>
    </w:p>
    <w:p>
      <w:pPr>
        <w:spacing w:before="0" w:after="0"/>
      </w:pPr>
    </w:p>
    <w:p>
      <w:pPr>
        <w:spacing w:before="0" w:after="0"/>
      </w:pPr>
    </w:p>
    <w:p>
      <w:pPr>
        <w:spacing w:before="0" w:after="0"/>
      </w:pPr>
    </w:p>
    <w:p>
      <w:pPr>
        <w:spacing w:before="160" w:after="80" w:line="324" w:lineRule="auto"/>
        <w:jc w:val="center"/>
      </w:pPr>
      <w:r>
        <w:rPr>
          <w:rFonts w:ascii="Garamond" w:hAnsi="Garamond"/>
          <w:b/>
          <w:i w:val="0"/>
          <w:color w:val="1A2E3B"/>
          <w:sz w:val="30"/>
        </w:rPr>
        <w:t>M.R.</w:t>
      </w:r>
    </w:p>
    <w:p>
      <w:pPr>
        <w:spacing w:before="0" w:after="80" w:line="324" w:lineRule="auto"/>
        <w:jc w:val="center"/>
      </w:pPr>
      <w:r>
        <w:rPr>
          <w:rFonts w:ascii="Garamond" w:hAnsi="Garamond"/>
          <w:b w:val="0"/>
          <w:i/>
          <w:color w:val="5A5A5A"/>
          <w:sz w:val="24"/>
        </w:rPr>
        <w:t>Fondateur de Terpologie</w:t>
      </w:r>
    </w:p>
    <w:p>
      <w:pPr>
        <w:spacing w:before="0" w:after="160" w:line="324" w:lineRule="auto"/>
        <w:jc w:val="center"/>
      </w:pPr>
      <w:r>
        <w:rPr>
          <w:rFonts w:ascii="Garamond" w:hAnsi="Garamond"/>
          <w:b w:val="0"/>
          <w:i w:val="0"/>
          <w:color w:val="5A5A5A"/>
          <w:sz w:val="24"/>
        </w:rPr>
        <w:t>Synthèse scientifique — édition 2023–2025</w:t>
      </w:r>
    </w:p>
    <w:p>
      <w:pPr>
        <w:spacing w:before="0" w:after="0"/>
      </w:pPr>
    </w:p>
    <w:p>
      <w:pPr>
        <w:spacing w:before="0" w:after="0"/>
      </w:pPr>
    </w:p>
    <w:p>
      <w:pPr>
        <w:spacing w:before="160" w:after="80" w:line="324" w:lineRule="auto"/>
        <w:jc w:val="center"/>
      </w:pPr>
      <w:r>
        <w:rPr>
          <w:rFonts w:ascii="Garamond" w:hAnsi="Garamond"/>
          <w:b w:val="0"/>
          <w:i w:val="0"/>
          <w:color w:val="5A5A5A"/>
          <w:sz w:val="22"/>
        </w:rPr>
        <w:t>Correspondance : @rafouactif  |  discord.gg/NQ7qhZyRnh</w:t>
      </w:r>
    </w:p>
    <w:p>
      <w:r>
        <w:br w:type="page"/>
      </w:r>
    </w:p>
    <w:p>
      <w:pPr>
        <w:spacing w:before="400" w:after="280"/>
        <w:jc w:val="center"/>
      </w:pPr>
      <w:r>
        <w:rPr>
          <w:rFonts w:ascii="Arial" w:hAnsi="Arial"/>
          <w:b/>
          <w:color w:val="1A2E3B"/>
          <w:sz w:val="32"/>
        </w:rPr>
        <w:t>RÉSUMÉ</w:t>
      </w:r>
    </w:p>
    <w:p>
      <w:pPr>
        <w:spacing w:line="336" w:lineRule="auto" w:after="120"/>
        <w:ind w:left="680" w:right="680"/>
        <w:jc w:val="both"/>
      </w:pPr>
      <w:r>
        <w:rPr>
          <w:rFonts w:ascii="Garamond" w:hAnsi="Garamond"/>
          <w:sz w:val="21"/>
        </w:rPr>
        <w:t>Cannabis sativa L. est l'une des plantes les plus complexes sur le plan phytochimique, produisant plus de 565 composés identifiés à ce jour (ElSohly &amp; Slade, 2005 ; ElSohly et al., 2017), incluant 144 cannabinoïdes recensés, plus de 200 terpènes et terpénoïdes, et plus de 20 flavonoïdes incluant les cannflavines A, B, C exclusives à cette espèce. La présente revue de synthèse propose une analyse intégrative en quinze chapitres : (1) taxonomie, génétique et biologie de la plante ; (2) morphologie et biosynthèse trichomale ; (3) phytochimie des terpènes ; (4) flavonoïdes et composés phénoliques ; (5) système endocannabinoïde et signalisation rétrograde ; (6) effet d'entourage et synergies phytochimiques ; (7) pharmacologie comparée des phytocannabinoïdes ; (8) méthodes de séparation et d'extraction ; (9) chimie du vieillissement et de l'affinage ; (10) voies d'administration et pharmacocinétique comparative ; (11) intoxication aiguë et addictologie clinique ; (12) interactions médicamenteuses et cytochromes P450 ; (13) méthodes analytiques de référence ; (14) histoire et trajectoire technologique ; (15) perspectives de recherche. Chaque section s'appuie sur la littérature scientifique peer-reviewed (PubMed, ScienceDirect, ACS, RSC, Nature, NEJM) avec citations indexées. Les données quantitatives (constantes d'affinité Ki, EC50, LD50, biodisponibilités, pharmacocinétiques) sont rapportées avec leurs sources primaires. Cette synthèse s'adresse aux chercheurs en phytopharmacologie, aux professionnels de santé, aux chimistes analytiques et aux producteurs souhaitant appréhender le cannabis avec la rigueur scientifique requise par sa pharmacologisation contemporaine.</w:t>
      </w:r>
    </w:p>
    <w:p>
      <w:pPr>
        <w:spacing w:before="0" w:after="0"/>
      </w:pPr>
    </w:p>
    <w:p>
      <w:pPr>
        <w:spacing w:before="120" w:after="80"/>
        <w:ind w:left="680"/>
      </w:pPr>
      <w:r>
        <w:rPr>
          <w:rFonts w:ascii="Arial" w:hAnsi="Arial"/>
          <w:b/>
          <w:color w:val="1A2E3B"/>
          <w:sz w:val="20"/>
        </w:rPr>
        <w:t xml:space="preserve">Mots-clés : </w:t>
      </w:r>
      <w:r>
        <w:rPr>
          <w:rFonts w:ascii="Garamond" w:hAnsi="Garamond"/>
          <w:i/>
          <w:color w:val="5A5A5A"/>
          <w:sz w:val="20"/>
        </w:rPr>
        <w:t>Cannabis sativa, phytocannabinoïdes, terpènes, flavonoïdes, système endocannabinoïde, trichomes glandulaires, extraction supercritique, pharmacocinétique, effet d'entourage, dépendance, CYP450, biosynthèse, chémotype.</w:t>
      </w:r>
    </w:p>
    <w:p>
      <w:pPr>
        <w:pBdr>
          <w:bottom w:val="single" w:sz="4" w:space="1" w:color="B0CEC8"/>
        </w:pBdr>
        <w:spacing w:before="160" w:after="160"/>
      </w:pPr>
    </w:p>
    <w:p>
      <w:r>
        <w:br w:type="page"/>
      </w:r>
    </w:p>
    <w:p>
      <w:pPr>
        <w:spacing w:before="400" w:after="400"/>
        <w:jc w:val="center"/>
      </w:pPr>
      <w:r>
        <w:rPr>
          <w:rFonts w:ascii="Arial" w:hAnsi="Arial"/>
          <w:b/>
          <w:color w:val="1A2E3B"/>
          <w:sz w:val="32"/>
        </w:rPr>
        <w:t>TABLE DES MATIÈRES</w:t>
      </w:r>
    </w:p>
    <w:p>
      <w:pPr>
        <w:spacing w:after="120" w:before="40"/>
        <w:ind w:left="567"/>
      </w:pPr>
      <w:r>
        <w:rPr>
          <w:rFonts w:ascii="Garamond" w:hAnsi="Garamond"/>
          <w:i/>
          <w:color w:val="2E6B8A"/>
          <w:sz w:val="23"/>
        </w:rPr>
        <w:t>Avant-propos et introduction générale</w:t>
      </w:r>
    </w:p>
    <w:p>
      <w:pPr>
        <w:spacing w:after="120" w:before="40"/>
        <w:ind w:left="567"/>
      </w:pPr>
      <w:r>
        <w:rPr>
          <w:rFonts w:ascii="Garamond" w:hAnsi="Garamond"/>
          <w:b/>
          <w:color w:val="1A2E3B"/>
          <w:sz w:val="23"/>
        </w:rPr>
        <w:t>I.    Taxonomie, génétique et biologie de Cannabis sativa L.</w:t>
      </w:r>
    </w:p>
    <w:p>
      <w:pPr>
        <w:spacing w:after="120" w:before="40"/>
        <w:ind w:left="567"/>
      </w:pPr>
      <w:r>
        <w:rPr>
          <w:rFonts w:ascii="Garamond" w:hAnsi="Garamond"/>
          <w:b/>
          <w:color w:val="1A2E3B"/>
          <w:sz w:val="23"/>
        </w:rPr>
        <w:t>II.   Trichomes glandulaires : morphologie et biosynthèse</w:t>
      </w:r>
    </w:p>
    <w:p>
      <w:pPr>
        <w:spacing w:after="120" w:before="40"/>
        <w:ind w:left="567"/>
      </w:pPr>
      <w:r>
        <w:rPr>
          <w:rFonts w:ascii="Garamond" w:hAnsi="Garamond"/>
          <w:b/>
          <w:color w:val="1A2E3B"/>
          <w:sz w:val="23"/>
        </w:rPr>
        <w:t>III.  Phytochimie I — Les terpènes et terpénoïdes</w:t>
      </w:r>
    </w:p>
    <w:p>
      <w:pPr>
        <w:spacing w:after="120" w:before="40"/>
        <w:ind w:left="567"/>
      </w:pPr>
      <w:r>
        <w:rPr>
          <w:rFonts w:ascii="Garamond" w:hAnsi="Garamond"/>
          <w:b/>
          <w:color w:val="1A2E3B"/>
          <w:sz w:val="23"/>
        </w:rPr>
        <w:t>IV.   Phytochimie II — Flavonoïdes et composés phénoliques</w:t>
      </w:r>
    </w:p>
    <w:p>
      <w:pPr>
        <w:spacing w:after="120" w:before="40"/>
        <w:ind w:left="567"/>
      </w:pPr>
      <w:r>
        <w:rPr>
          <w:rFonts w:ascii="Garamond" w:hAnsi="Garamond"/>
          <w:b/>
          <w:color w:val="1A2E3B"/>
          <w:sz w:val="23"/>
        </w:rPr>
        <w:t>V.    Le système endocannabinoïde (SEC) : architecture et signalisation</w:t>
      </w:r>
    </w:p>
    <w:p>
      <w:pPr>
        <w:spacing w:after="120" w:before="40"/>
        <w:ind w:left="567"/>
      </w:pPr>
      <w:r>
        <w:rPr>
          <w:rFonts w:ascii="Garamond" w:hAnsi="Garamond"/>
          <w:b/>
          <w:color w:val="1A2E3B"/>
          <w:sz w:val="23"/>
        </w:rPr>
        <w:t>VI.   L'effet d'entourage : synergies et débat scientifique</w:t>
      </w:r>
    </w:p>
    <w:p>
      <w:pPr>
        <w:spacing w:after="120" w:before="40"/>
        <w:ind w:left="567"/>
      </w:pPr>
      <w:r>
        <w:rPr>
          <w:rFonts w:ascii="Garamond" w:hAnsi="Garamond"/>
          <w:b/>
          <w:color w:val="1A2E3B"/>
          <w:sz w:val="23"/>
        </w:rPr>
        <w:t>VII.  Pharmacologie comparée des phytocannabinoïdes</w:t>
      </w:r>
    </w:p>
    <w:p>
      <w:pPr>
        <w:spacing w:after="120" w:before="40"/>
        <w:ind w:left="567"/>
      </w:pPr>
      <w:r>
        <w:rPr>
          <w:rFonts w:ascii="Garamond" w:hAnsi="Garamond"/>
          <w:b/>
          <w:color w:val="1A2E3B"/>
          <w:sz w:val="23"/>
        </w:rPr>
        <w:t>VIII. Méthodes de séparation et d'extraction</w:t>
      </w:r>
    </w:p>
    <w:p>
      <w:pPr>
        <w:spacing w:after="120" w:before="40"/>
        <w:ind w:left="567"/>
      </w:pPr>
      <w:r>
        <w:rPr>
          <w:rFonts w:ascii="Garamond" w:hAnsi="Garamond"/>
          <w:b/>
          <w:color w:val="1A2E3B"/>
          <w:sz w:val="23"/>
        </w:rPr>
        <w:t>IX.   Conservation, affinage et chimie du vieillissement</w:t>
      </w:r>
    </w:p>
    <w:p>
      <w:pPr>
        <w:spacing w:after="120" w:before="40"/>
        <w:ind w:left="567"/>
      </w:pPr>
      <w:r>
        <w:rPr>
          <w:rFonts w:ascii="Garamond" w:hAnsi="Garamond"/>
          <w:b/>
          <w:color w:val="1A2E3B"/>
          <w:sz w:val="23"/>
        </w:rPr>
        <w:t>X.    Voies d'administration et pharmacocinétique comparative</w:t>
      </w:r>
    </w:p>
    <w:p>
      <w:pPr>
        <w:spacing w:after="120" w:before="40"/>
        <w:ind w:left="567"/>
      </w:pPr>
      <w:r>
        <w:rPr>
          <w:rFonts w:ascii="Garamond" w:hAnsi="Garamond"/>
          <w:b/>
          <w:color w:val="1A2E3B"/>
          <w:sz w:val="23"/>
        </w:rPr>
        <w:t>XI.   Aspects cliniques : intoxication aiguë et addictologie</w:t>
      </w:r>
    </w:p>
    <w:p>
      <w:pPr>
        <w:spacing w:after="120" w:before="40"/>
        <w:ind w:left="567"/>
      </w:pPr>
      <w:r>
        <w:rPr>
          <w:rFonts w:ascii="Garamond" w:hAnsi="Garamond"/>
          <w:b/>
          <w:color w:val="1A2E3B"/>
          <w:sz w:val="23"/>
        </w:rPr>
        <w:t>XII.  Interactions médicamenteuses et cytochromes P450</w:t>
      </w:r>
    </w:p>
    <w:p>
      <w:pPr>
        <w:spacing w:after="120" w:before="40"/>
        <w:ind w:left="567"/>
      </w:pPr>
      <w:r>
        <w:rPr>
          <w:rFonts w:ascii="Garamond" w:hAnsi="Garamond"/>
          <w:b/>
          <w:color w:val="1A2E3B"/>
          <w:sz w:val="23"/>
        </w:rPr>
        <w:t>XIII. Méthodes analytiques de référence</w:t>
      </w:r>
    </w:p>
    <w:p>
      <w:pPr>
        <w:spacing w:after="120" w:before="40"/>
        <w:ind w:left="567"/>
      </w:pPr>
      <w:r>
        <w:rPr>
          <w:rFonts w:ascii="Garamond" w:hAnsi="Garamond"/>
          <w:b/>
          <w:color w:val="1A2E3B"/>
          <w:sz w:val="23"/>
        </w:rPr>
        <w:t>XIV.  Histoire, avancées technologiques et perspectives</w:t>
      </w:r>
    </w:p>
    <w:p>
      <w:pPr>
        <w:spacing w:after="120" w:before="40"/>
        <w:ind w:left="567"/>
      </w:pPr>
      <w:r>
        <w:rPr>
          <w:rFonts w:ascii="Garamond" w:hAnsi="Garamond"/>
          <w:b/>
          <w:color w:val="1A2E3B"/>
          <w:sz w:val="23"/>
        </w:rPr>
        <w:t>XV.   Conclusion et axes de recherche prioritaires</w:t>
      </w:r>
    </w:p>
    <w:p>
      <w:pPr>
        <w:spacing w:after="120" w:before="40"/>
        <w:ind w:left="567"/>
      </w:pPr>
      <w:r>
        <w:rPr>
          <w:rFonts w:ascii="Garamond" w:hAnsi="Garamond"/>
          <w:i/>
          <w:color w:val="2E6B8A"/>
          <w:sz w:val="23"/>
        </w:rPr>
        <w:t>Bibliographie</w:t>
      </w:r>
    </w:p>
    <w:p>
      <w:pPr>
        <w:spacing w:after="120" w:before="40"/>
        <w:ind w:left="567"/>
      </w:pPr>
      <w:r>
        <w:rPr>
          <w:rFonts w:ascii="Garamond" w:hAnsi="Garamond"/>
          <w:i/>
          <w:color w:val="2E6B8A"/>
          <w:sz w:val="23"/>
        </w:rPr>
        <w:t>Lexique et abréviations</w:t>
      </w:r>
    </w:p>
    <w:p>
      <w:r>
        <w:br w:type="page"/>
      </w:r>
    </w:p>
    <w:p>
      <w:pPr>
        <w:pStyle w:val="Heading1"/>
      </w:pPr>
      <w:r>
        <w:t>AVANT-PROPOS ET INTRODUCTION GÉNÉRALE</w:t>
      </w:r>
    </w:p>
    <w:p>
      <w:pPr>
        <w:pStyle w:val="Heading2"/>
      </w:pPr>
      <w:r>
        <w:t>Préambule</w:t>
      </w:r>
    </w:p>
    <w:p>
      <w:pPr>
        <w:spacing w:before="80" w:after="120" w:line="324" w:lineRule="auto"/>
        <w:jc w:val="both"/>
      </w:pPr>
      <w:r>
        <w:rPr>
          <w:rFonts w:ascii="Garamond" w:hAnsi="Garamond"/>
          <w:b w:val="0"/>
          <w:i w:val="0"/>
          <w:sz w:val="22"/>
        </w:rPr>
        <w:t>Cannabis sativa L. représente l'une des plantes les plus étudiées, les plus controversées et les plus utilisées dans l'histoire de l'humanité. Domestiquée vraisemblablement il y a plus de 12 000 ans en Asie centrale (Ren et al., 2019, Science Advances 5: eaaw1391), elle a accompagné le développement des civilisations dans des registres aussi variés que l'industrie textile (fibres longues du chanvre), l'alimentation (graines riches en oméga-3 et oméga-6), le rituel (charas indien, chillum népalais), la médecine traditionnelle (pharmacopées chinoise, indienne, arabo-musulmane) et l'usage récréatif moderne. Aucune autre plante ne réunit une telle diversité d'applications culturelles documentées sur une telle profondeur historique.</w:t>
      </w:r>
    </w:p>
    <w:p>
      <w:pPr>
        <w:spacing w:before="80" w:after="120" w:line="324" w:lineRule="auto"/>
        <w:jc w:val="both"/>
      </w:pPr>
      <w:r>
        <w:rPr>
          <w:rFonts w:ascii="Garamond" w:hAnsi="Garamond"/>
          <w:b w:val="0"/>
          <w:i w:val="0"/>
          <w:sz w:val="22"/>
        </w:rPr>
        <w:t>La pharmacologisation contemporaine du cannabis — initiée par l'isolement structural du Δ⁹-THC par Gaoni et Mechoulam en 1964 (J. Am. Chem. Soc. 86: 1646–1647), poursuivie par la découverte du système endocannabinoïde dans les années 1988–1995, et accélérée par les vagues de légalisation médicale (Canada 2001 ; Israël, Allemagne, Australie ; majorité des États américains) et récréative (Uruguay 2013, Canada 2018, Allemagne 2024) — a généré une littérature scientifique exponentielle. Une recherche PubMed sur le terme "cannabis" en 2024 retournait plus de 38 000 publications, dont environ 4 500 sur les seules cinq dernières années.</w:t>
      </w:r>
    </w:p>
    <w:p>
      <w:pPr>
        <w:pStyle w:val="Heading2"/>
      </w:pPr>
      <w:r>
        <w:t>Cadre et ambition du présent document</w:t>
      </w:r>
    </w:p>
    <w:p>
      <w:pPr>
        <w:spacing w:before="80" w:after="120" w:line="324" w:lineRule="auto"/>
        <w:jc w:val="both"/>
      </w:pPr>
      <w:r>
        <w:rPr>
          <w:rFonts w:ascii="Garamond" w:hAnsi="Garamond"/>
          <w:b w:val="0"/>
          <w:i w:val="0"/>
          <w:sz w:val="22"/>
        </w:rPr>
        <w:t>Le titre « De 420 à 710 » emprunte à deux codes culturels emblématiques. Le "420", popularisé depuis les années 1970 dans la sous-culture cannabis californienne, symbolise désormais internationalement la plante et sa consommation traditionnelle (fleurs séchées). Le "710", anagramme du mot "OIL" lu à l'envers, désigne dans la sous-culture des concentrés la journée commémorative des extraits et huiles. Cette trajectoire — de la feuille brûlée à l'extrait moléculairement contrôlé — incarne l'évolution technologique et épistémologique qui structure l'ambition de ce travail.</w:t>
      </w:r>
    </w:p>
    <w:p>
      <w:pPr>
        <w:spacing w:before="80" w:after="120" w:line="324" w:lineRule="auto"/>
        <w:jc w:val="both"/>
      </w:pPr>
      <w:r>
        <w:rPr>
          <w:rFonts w:ascii="Garamond" w:hAnsi="Garamond"/>
          <w:b w:val="0"/>
          <w:i w:val="0"/>
          <w:sz w:val="22"/>
        </w:rPr>
        <w:t>Le présent mémoire vise à proposer une synthèse intégrative en quinze chapitres, articulant les données phytochimiques, pharmacologiques, technologiques et cliniques disponibles dans la littérature scientifique internationale peer-reviewed. Chaque affirmation factuelle est référencée à sa source primaire (PubMed PMID, DOI ou identifiant équivalent). Les valeurs numériques (Ki, EC50, biodisponibilités, demi-vies, doses) sont reportées telles qu'elles figurent dans les publications originales, avec leurs intervalles de confiance ou écarts-types lorsque disponibles.</w:t>
      </w:r>
    </w:p>
    <w:p>
      <w:pPr>
        <w:pBdr>
          <w:left w:val="single" w:sz="12" w:space="12" w:color="2E6B8A"/>
        </w:pBdr>
        <w:spacing w:before="160" w:after="160" w:line="312" w:lineRule="auto"/>
        <w:ind w:left="680" w:right="680"/>
        <w:jc w:val="both"/>
      </w:pPr>
      <w:r>
        <w:rPr>
          <w:rFonts w:ascii="Garamond" w:hAnsi="Garamond"/>
          <w:i/>
          <w:color w:val="5A5A5A"/>
          <w:sz w:val="21"/>
        </w:rPr>
        <w:t>« Le cannabis ne devrait pas être compris comme une molécule unique, mais comme une matrice chimique complexe dont les composantes interagissent de façon synergique. La pharmacologie monomoléculaire classique, héritée du paradigme thérapeutique du XXᵉ siècle, n'est pas intrinsèquement adaptée à l'analyse de tels systèmes. » — E. B. Russo, Br. J. Pharmacol., 163(7), 1344–1364, 2011.</w:t>
      </w:r>
    </w:p>
    <w:p>
      <w:pPr>
        <w:pStyle w:val="Heading2"/>
      </w:pPr>
      <w:r>
        <w:t>Structure et méthodologie</w:t>
      </w:r>
    </w:p>
    <w:p>
      <w:pPr>
        <w:spacing w:before="80" w:after="120" w:line="324" w:lineRule="auto"/>
        <w:jc w:val="both"/>
      </w:pPr>
      <w:r>
        <w:rPr>
          <w:rFonts w:ascii="Garamond" w:hAnsi="Garamond"/>
          <w:b w:val="0"/>
          <w:i w:val="0"/>
          <w:sz w:val="22"/>
        </w:rPr>
        <w:t>Les chapitres I à V établissent les fondations biologiques et phytochimiques : taxonomie, biosynthèse trichomale, terpènes, flavonoïdes, et système endocannabinoïde. Les chapitres VI à XII abordent les aspects pharmacologiques, technologiques et cliniques : effet d'entourage, pharmacologie des cannabinoïdes, extraction, conservation, voies d'administration, intoxication, interactions médicamenteuses. Les chapitres XIII et XIV traitent des méthodes analytiques et de l'histoire technologique. Le chapitre XV conclut sur les perspectives de recherche prioritaires.</w:t>
      </w:r>
    </w:p>
    <w:p>
      <w:pPr>
        <w:spacing w:before="80" w:after="120" w:line="324" w:lineRule="auto"/>
        <w:jc w:val="both"/>
      </w:pPr>
      <w:r>
        <w:rPr>
          <w:rFonts w:ascii="Garamond" w:hAnsi="Garamond"/>
          <w:b w:val="0"/>
          <w:i w:val="0"/>
          <w:sz w:val="22"/>
        </w:rPr>
        <w:t>Les sources primaires ont été sélectionnées prioritairement parmi les revues à comité de lecture de tier 1 (British Journal of Pharmacology, PNAS, Nature, Science, NEJM, Lancet, JAMA), complétées par les revues spécialisées (Cannabis and Cannabinoid Research, Journal of Pharmacology and Experimental Therapeutics, Journal of Natural Products, Phytochemistry, Frontiers in Pharmacology). Les données non vérifiées par publication peer-reviewed sont explicitement signalées comme telles. Les controverses scientifiques actuelles — effet d'entourage, schizophrénie et cannabis, distinction indica/sativa — sont rapportées avec présentation équilibrée des positions opposées.</w:t>
      </w:r>
    </w:p>
    <w:p>
      <w:pPr>
        <w:spacing w:before="80" w:after="120" w:line="324" w:lineRule="auto"/>
        <w:jc w:val="both"/>
      </w:pPr>
      <w:r>
        <w:rPr>
          <w:rFonts w:ascii="Garamond" w:hAnsi="Garamond"/>
          <w:b w:val="0"/>
          <w:i w:val="0"/>
          <w:sz w:val="22"/>
        </w:rPr>
        <w:t>Une attention particulière est portée à la convergence entre savoirs empiriques traditionnels (charas indien, hashish marocain, hashish népalais — incarnés notamment par Frenchy Cannoli, 1960–2021) et caractérisations scientifiques formelles contemporaines. Cette convergence constitue, selon nous, l'une des dynamiques les plus fertiles de la compréhension actuelle du cannabis.</w:t>
      </w:r>
    </w:p>
    <w:p>
      <w:pPr>
        <w:pStyle w:val="Heading1"/>
      </w:pPr>
      <w:r>
        <w:t>I. TAXONOMIE, GÉNÉTIQUE ET BIOLOGIE DE CANNABIS SATIVA L.</w:t>
      </w:r>
    </w:p>
    <w:p>
      <w:pPr>
        <w:pStyle w:val="Heading2"/>
      </w:pPr>
      <w:r>
        <w:t>1.1  Position systématique</w:t>
      </w:r>
    </w:p>
    <w:p>
      <w:pPr>
        <w:spacing w:before="80" w:after="120" w:line="324" w:lineRule="auto"/>
        <w:jc w:val="both"/>
      </w:pPr>
      <w:r>
        <w:rPr>
          <w:rFonts w:ascii="Garamond" w:hAnsi="Garamond"/>
          <w:b w:val="0"/>
          <w:i w:val="0"/>
          <w:sz w:val="22"/>
        </w:rPr>
        <w:t>Cannabis sativa L. appartient à la famille des Cannabaceae (ordre Rosales, sous-classe Rosidae). Cette famille, comprenant historiquement 10 genres et environ 170 espèces, est particulièrement remarquée pour ne contenir aucun parent économique majeur en dehors de Cannabis et Humulus (le houblon, Humulus lupulus L.). Les analyses phylogénétiques moléculaires récentes basées sur les séquences chloroplastiques rbcL, matK et trnL-F (Yang et al., 2013, PLOS ONE 8: e80172) confirment la proximité Cannabis-Humulus, avec une divergence évolutive estimée entre 22 et 28 millions d'années.</w:t>
      </w:r>
    </w:p>
    <w:p>
      <w:pPr>
        <w:spacing w:before="80" w:after="120" w:line="324" w:lineRule="auto"/>
        <w:jc w:val="both"/>
      </w:pPr>
      <w:r>
        <w:rPr>
          <w:rFonts w:ascii="Garamond" w:hAnsi="Garamond"/>
          <w:b w:val="0"/>
          <w:i w:val="0"/>
          <w:sz w:val="22"/>
        </w:rPr>
        <w:t>La taxonomie infraspécifique du genre Cannabis a fait l'objet de débats persistants depuis le XVIIIᵉ siècle. Linné établit Cannabis sativa en 1753 dans Species Plantarum comme espèce unique. En 1785, Jean-Baptiste Lamarck décrit Cannabis indica comme espèce distincte sur la base de spécimens indiens présentant des caractères morphologiques nettement différents. En 1924, le botaniste russe Janischevsky propose Cannabis ruderalis pour décrire des populations spontanées autoflorifères d'Europe orientale et d'Asie centrale.</w:t>
      </w:r>
    </w:p>
    <w:p>
      <w:pPr>
        <w:spacing w:before="80" w:after="120" w:line="324" w:lineRule="auto"/>
        <w:jc w:val="both"/>
      </w:pPr>
      <w:r>
        <w:rPr>
          <w:rFonts w:ascii="Garamond" w:hAnsi="Garamond"/>
          <w:sz w:val="22"/>
        </w:rPr>
        <w:t>Trois positions taxonomiques contemporaines coexistent. (1) Position monospécifique : Cannabis sativa L. est une espèce unique polymorphe (Small &amp; Cronquist, 1976, Taxon 25: 405–435). Cette position est soutenue par la capacité d'hybridation interfécondante totale entre les trois sous-types et l'absence de barrières reproductives. (2) Position bispécifique : Cannabis sativa et Cannabis indica sont reconnues comme espèces distinctes (Hillig, 2005, Genet. Resour. Crop Evol. 52: 161–180), C. ruderalis étant rattachée à C. sativa. (3) Position trispécifique : trois espèces distinctes — sativa, indica, ruderalis. Cette dernière position, majoritaire dans la littérature horticole et commerciale, est minoritaire dans la taxonomie botanique formelle.</w:t>
      </w:r>
    </w:p>
    <w:p>
      <w:pPr>
        <w:pStyle w:val="Heading2"/>
      </w:pPr>
      <w:r>
        <w:t>1.2  Caractères morphologiques des sous-types classiques</w:t>
      </w:r>
    </w:p>
    <w:p>
      <w:pPr>
        <w:spacing w:before="80" w:after="120" w:line="324" w:lineRule="auto"/>
        <w:jc w:val="both"/>
      </w:pPr>
      <w:r>
        <w:rPr>
          <w:rFonts w:ascii="Garamond" w:hAnsi="Garamond"/>
          <w:b w:val="0"/>
          <w:i w:val="0"/>
          <w:sz w:val="22"/>
        </w:rPr>
        <w:t>Au-delà du débat taxonomique formel, les caractères morphologiques distinctifs traditionnellement associés aux trois sous-types restent pédagogiquement utiles et empiriquement pertinents.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Caractère</w:t>
            </w:r>
          </w:p>
        </w:tc>
        <w:tc>
          <w:tcPr>
            <w:tcW w:type="dxa" w:w="2268"/>
            <w:tcBorders>
              <w:top w:val="nil"/>
              <w:left w:val="nil"/>
              <w:bottom w:val="single" w:sz="8" w:color="2E6B8A"/>
              <w:right w:val="nil"/>
            </w:tcBorders>
            <w:shd w:fill="E8F4F0" w:val="clear" w:color="auto"/>
            <w:vAlign w:val="center"/>
          </w:tcPr>
          <w:p>
            <w:r/>
            <w:r>
              <w:rPr>
                <w:rFonts w:ascii="Arial" w:hAnsi="Arial"/>
                <w:b/>
                <w:color w:val="1A2E3B"/>
                <w:sz w:val="19"/>
              </w:rPr>
              <w:t>Cannabis sativa s.s.</w:t>
            </w:r>
          </w:p>
        </w:tc>
        <w:tc>
          <w:tcPr>
            <w:tcW w:type="dxa" w:w="2268"/>
            <w:tcBorders>
              <w:top w:val="nil"/>
              <w:left w:val="nil"/>
              <w:bottom w:val="single" w:sz="8" w:color="2E6B8A"/>
              <w:right w:val="nil"/>
            </w:tcBorders>
            <w:shd w:fill="E8F4F0" w:val="clear" w:color="auto"/>
            <w:vAlign w:val="center"/>
          </w:tcPr>
          <w:p>
            <w:r/>
            <w:r>
              <w:rPr>
                <w:rFonts w:ascii="Arial" w:hAnsi="Arial"/>
                <w:b/>
                <w:color w:val="1A2E3B"/>
                <w:sz w:val="19"/>
              </w:rPr>
              <w:t>Cannabis indica</w:t>
            </w:r>
          </w:p>
        </w:tc>
        <w:tc>
          <w:tcPr>
            <w:tcW w:type="dxa" w:w="2268"/>
            <w:tcBorders>
              <w:top w:val="nil"/>
              <w:left w:val="nil"/>
              <w:bottom w:val="single" w:sz="8" w:color="2E6B8A"/>
              <w:right w:val="nil"/>
            </w:tcBorders>
            <w:shd w:fill="E8F4F0" w:val="clear" w:color="auto"/>
            <w:vAlign w:val="center"/>
          </w:tcPr>
          <w:p>
            <w:r/>
            <w:r>
              <w:rPr>
                <w:rFonts w:ascii="Arial" w:hAnsi="Arial"/>
                <w:b/>
                <w:color w:val="1A2E3B"/>
                <w:sz w:val="19"/>
              </w:rPr>
              <w:t>Cannabis ruderalis</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Hauteur adulte</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1,5–6 m</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0,6–1,5 m</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0,3–0,8 m</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Architecture</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Élancée, internœuds longs</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Compacte, internœuds courts</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Très petite, peu ramifiée</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Folioles par feuille</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7–11</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5–7 (parfois 9)</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3–5</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Largeur des folioles</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Étroites (1–2 cm)</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Larges (2–4 cm)</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Étroites</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Cycle floraison</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10–16 semaines</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7–10 semaines</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5–9 sem. (autofleurissante)</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Réponse photopériodique</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Forte (jours courts)</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Modérée (jours courts)</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Aucune (autonome)</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Origine géographique</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Tropicale, équatoriale</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Subtropicale, montagneuse</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Tempérée, continentale</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Profil chimique typique</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THC élevé, terpènes citriques</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THC + CBD, terpènes myrcène/linalol</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Faible THC, CBD modéré</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Effets décrits (usage récréatif)</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Cérébral, stimulant</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Corporel, sédatif</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Faibles</w:t>
            </w:r>
          </w:p>
        </w:tc>
      </w:tr>
    </w:tbl>
    <w:p>
      <w:pPr>
        <w:spacing w:before="0" w:after="80"/>
      </w:pPr>
    </w:p>
    <w:p>
      <w:pPr>
        <w:spacing w:before="60" w:after="240"/>
        <w:jc w:val="center"/>
      </w:pPr>
      <w:r>
        <w:rPr>
          <w:rFonts w:ascii="Arial" w:hAnsi="Arial"/>
          <w:i/>
          <w:color w:val="5A5A5A"/>
          <w:sz w:val="18"/>
        </w:rPr>
        <w:t>Tableau 1.1 — Caractères distinctifs traditionnels des trois sous-types de Cannabis sativa L. (compilation d'après Small &amp; Cronquist, 1976 ; Hillig, 2005 ; Clarke &amp; Merlin, 2013).</w:t>
      </w:r>
    </w:p>
    <w:p>
      <w:pPr>
        <w:pStyle w:val="Heading2"/>
      </w:pPr>
      <w:r>
        <w:t>1.3  Données génomiques contemporaines et remise en cause de la trichotomie</w:t>
      </w:r>
    </w:p>
    <w:p>
      <w:pPr>
        <w:spacing w:before="80" w:after="120" w:line="324" w:lineRule="auto"/>
        <w:jc w:val="both"/>
      </w:pPr>
      <w:r>
        <w:rPr>
          <w:rFonts w:ascii="Garamond" w:hAnsi="Garamond"/>
          <w:sz w:val="22"/>
        </w:rPr>
        <w:t xml:space="preserve">L'étude génomique publiée par Sawler et al. dans PLOS ONE en 2015 (10: e0133292) a fondamentalement remis en cause la pertinence de la trichotomie morphologique sur le plan génétique. Les auteurs ont analysé les profils génomiques de 81 individus représentatifs de variétés étiquetées sativa, indica, chanvre et hybride, à l'aide de 13 marqueurs microsatellites (SSR). Résultat majeur : </w:t>
      </w:r>
      <w:r>
        <w:rPr>
          <w:b/>
          <w:color w:val="2E6B8A"/>
          <w:sz w:val="18"/>
          <w:vertAlign w:val="superscript"/>
        </w:rPr>
        <w:t>[1]</w:t>
      </w:r>
      <w:r>
        <w:rPr>
          <w:rFonts w:ascii="Garamond" w:hAnsi="Garamond"/>
          <w:sz w:val="22"/>
        </w:rPr>
        <w:t xml:space="preserve"> plus de 35 % des variétés vendues commercialement comme "sativa" présentaient un profil génétique structurellement indiscernable de lignées indica, et vice versa. La distinction phénotypique morphologique apparaît ainsi comme une catégorisation commerciale héritée plus qu'une réalité génomique stable.</w:t>
      </w:r>
    </w:p>
    <w:p>
      <w:pPr>
        <w:spacing w:before="80" w:after="120" w:line="324" w:lineRule="auto"/>
        <w:jc w:val="both"/>
      </w:pPr>
      <w:r>
        <w:rPr>
          <w:rFonts w:ascii="Garamond" w:hAnsi="Garamond"/>
          <w:b w:val="0"/>
          <w:i w:val="0"/>
          <w:sz w:val="22"/>
        </w:rPr>
        <w:t>Le séquençage complet du génome de Cannabis sativa, achevé par Bakel et al. en 2011 (Genome Biology 12: R102) sur la variété Purple Kush et raffiné par Grassa et al. en 2018 et 2021 (New Phytologist 230: 1665–1679), a révélé un génome diploïde de 818 Mb organisé en 10 chromosomes (2n = 20), dont environ 64 % constitué de séquences répétées transposables. Les gènes codant les enzymes de la biosynthèse cannabinoïdienne — THCA synthase, CBDA synthase, CBCA synthase — sont organisés en clusters génomiques sur le chromosome 6 (locus B), permettant une régulation coordonnée.</w:t>
      </w:r>
    </w:p>
    <w:p>
      <w:pPr>
        <w:spacing w:before="80" w:after="120" w:line="324" w:lineRule="auto"/>
        <w:jc w:val="both"/>
      </w:pPr>
      <w:r>
        <w:rPr>
          <w:rFonts w:ascii="Garamond" w:hAnsi="Garamond"/>
          <w:b w:val="0"/>
          <w:i w:val="0"/>
          <w:sz w:val="22"/>
        </w:rPr>
        <w:t>Cette architecture génomique explique également les chémotypes observés. McPartland (2018, Cannabis and Cannabinoid Research 3: 203–212) propose une classification en cinq chémotypes principaux basée sur le ratio THCA/CBDA : Type I (THC dominant, &gt; 0,3 % ; CBD &lt; 0,5 %), Type II (THC et CBD intermédiaires), Type III (CBD dominant, THC &lt; 0,3 % — chanvre médical), Type IV (CBG dominant, mutation rare des synthases), Type V (cannabinoïdes négligeables — chanvre industriel). Cette classification chémotypique est aujourd'hui considérée comme le standard de référence dans les contextes pharmaceutique et analytique, supplantant largement la classification morphologique.</w:t>
      </w:r>
    </w:p>
    <w:p>
      <w:pPr>
        <w:pStyle w:val="Heading2"/>
      </w:pPr>
      <w:r>
        <w:t>1.4  Cycle de vie et régulation moléculaire de la floraison</w:t>
      </w:r>
    </w:p>
    <w:p>
      <w:pPr>
        <w:pStyle w:val="Heading3"/>
      </w:pPr>
      <w:r>
        <w:t>1.4.1  Phase germinative et croissance végétative</w:t>
      </w:r>
    </w:p>
    <w:p>
      <w:pPr>
        <w:spacing w:before="80" w:after="120" w:line="324" w:lineRule="auto"/>
        <w:jc w:val="both"/>
      </w:pPr>
      <w:r>
        <w:rPr>
          <w:rFonts w:ascii="Garamond" w:hAnsi="Garamond"/>
          <w:b w:val="0"/>
          <w:i w:val="0"/>
          <w:sz w:val="22"/>
        </w:rPr>
        <w:t>La germination du cannabis suit une cinétique typique des Angiospermes : imbibition de la graine, activation enzymatique (lipases, amylases, protéases), mobilisation des réserves cotylédonnaires, et émergence radiculaire en 24–96 heures à 22–25°C. La rhizogenèse — différenciation et allongement du système racinaire — est principalement médiée par les auxines (acide indole-3-acétique, AIA), dont le gradient polaire descendant détermine l'architecture racinaire via les transporteurs AUX/LAX et PIN.</w:t>
      </w:r>
    </w:p>
    <w:p>
      <w:pPr>
        <w:spacing w:before="80" w:after="120" w:line="324" w:lineRule="auto"/>
        <w:jc w:val="both"/>
      </w:pPr>
      <w:r>
        <w:rPr>
          <w:rFonts w:ascii="Garamond" w:hAnsi="Garamond"/>
          <w:b w:val="0"/>
          <w:i w:val="0"/>
          <w:sz w:val="22"/>
        </w:rPr>
        <w:t>Dès le stade plantule, les photorécepteurs jouent un rôle déterminant. Les cryptochromes (CRY1 et CRY2), récepteurs de la lumière bleue (320–500 nm), régulent l'allongement des entre-nœuds (réponse de photomorphogenèse) et participent au calibrage de l'horloge circadienne. Les phytochromes (phyA à phyE), sensibles aux longueurs d'onde rouge (660 nm, forme Pr) et rouge lointain (730 nm, forme Pfr), constituent les capteurs primaires de la photopériode. Le ratio Pfr/Pr déclenche les cascades de transduction conduisant à l'expression ou à la répression de gènes spécifiques de phase (Quail, 2002, Nature Reviews Molecular Cell Biology 3: 85–93).</w:t>
      </w:r>
    </w:p>
    <w:p>
      <w:pPr>
        <w:pStyle w:val="Heading3"/>
      </w:pPr>
      <w:r>
        <w:t>1.4.2  Induction florale et régulation génétique</w:t>
      </w:r>
    </w:p>
    <w:p>
      <w:pPr>
        <w:spacing w:before="80" w:after="120" w:line="324" w:lineRule="auto"/>
        <w:jc w:val="both"/>
      </w:pPr>
      <w:r>
        <w:rPr>
          <w:rFonts w:ascii="Garamond" w:hAnsi="Garamond"/>
          <w:b w:val="0"/>
          <w:i w:val="0"/>
          <w:sz w:val="22"/>
        </w:rPr>
        <w:t>Le passage à la floraison chez les cultivars photoperiodiques est déclenché par une diminution de la photopériode sous le seuil critique propre à chaque cultivar (12–14 heures de lumière selon les variétés). Le mécanisme moléculaire implique le module FT-CONSTANS, conservé chez les Angiospermes. La protéine CONSTANS (CO), exprimée en réponse à la longueur du jour, active la transcription du gène FLOWERING LOCUS T (FT). La protéine FT, dite "florigène", est synthétisée dans les feuilles et migre via le phloème jusqu'au méristème apical, où elle s'associe au facteur de transcription FD pour activer en cascade LEAFY (LFY) et APETALA1 (AP1), responsables de la transformation du méristème végétatif en méristème floral.</w:t>
      </w:r>
    </w:p>
    <w:p>
      <w:pPr>
        <w:spacing w:before="80" w:after="120" w:line="324" w:lineRule="auto"/>
        <w:jc w:val="both"/>
      </w:pPr>
      <w:r>
        <w:rPr>
          <w:rFonts w:ascii="Garamond" w:hAnsi="Garamond"/>
          <w:b w:val="0"/>
          <w:i w:val="0"/>
          <w:sz w:val="22"/>
        </w:rPr>
        <w:t>L'autofleurissement caractéristique des variétés ruderalis et des hybrides "auto" résulte d'un polymorphisme du gène Autoflower (AT), récemment caractérisé par Toth et al. (2022, Plants 11: 215). Ce gène code un répresseur dont la perte de fonction permet une activation constitutive du module FT-LFY indépendamment de la photopériode, déclenchant la floraison vers l'âge de 4–6 semaines après germination, quel que soit l'éclairement.</w:t>
      </w:r>
    </w:p>
    <w:p>
      <w:pPr>
        <w:pStyle w:val="Heading3"/>
      </w:pPr>
      <w:r>
        <w:t>1.4.3  Conditions optimales de culture</w:t>
      </w:r>
    </w:p>
    <w:p>
      <w:pPr>
        <w:spacing w:before="80" w:after="120" w:line="324" w:lineRule="auto"/>
        <w:jc w:val="both"/>
      </w:pPr>
      <w:r>
        <w:rPr>
          <w:rFonts w:ascii="Garamond" w:hAnsi="Garamond"/>
          <w:b w:val="0"/>
          <w:i w:val="0"/>
          <w:sz w:val="22"/>
        </w:rPr>
        <w:t>La maîtrise des paramètres culturaux conditionne directement la quantité et la qualité des métabolites secondaires produits. En culture intérieure indoor, les standards contemporains incluent : éclairement de 600 à 1000 µmol/m²/s PPFD (Photosynthetic Photon Flux Density) en phase végétative, 800 à 1500 µmol/m²/s en floraison ; température diurne 22–28°C, nocturne 18–22°C ; humidité relative 60–70 % en végétation, 40–50 % en floraison (réduction pour prévenir Botrytis cinerea) ; concentration en CO₂ 800–1200 ppm pour optimiser la photosynthèse (Chandra et al., 2008, Physiology and Molecular Biology of Plants 14: 299–306).</w:t>
      </w:r>
    </w:p>
    <w:p>
      <w:pPr>
        <w:spacing w:before="80" w:after="120" w:line="324" w:lineRule="auto"/>
        <w:jc w:val="both"/>
      </w:pPr>
      <w:r>
        <w:rPr>
          <w:rFonts w:ascii="Garamond" w:hAnsi="Garamond"/>
          <w:b w:val="0"/>
          <w:i w:val="0"/>
          <w:sz w:val="22"/>
        </w:rPr>
        <w:t>En culture hydroponique, le pH de la solution nutritive est maintenu entre 5,5 et 6,5 — plage optimale pour la disponibilité simultanée des macronutriments (N, P, K, Ca, Mg, S) et des micronutriments (Fe, Mn, Zn, Cu, Mo, B). La conductivité électrique (CE) est ajustée de 1,2 à 1,8 mS/cm en début de cycle, jusqu'à 2,2 à 2,8 mS/cm en pleine floraison. L'aéroponie — atomisation périodique directe sur racines nues — permet une oxygénation rhizosphérique maximale (O₂ dissous &gt; 8 mg/L) et des taux de croissance végétative 20 à 30 % supérieurs au substrat terreux (Chandra et al., 2017, Frontiers in Plant Science 8: 1657).</w:t>
      </w:r>
    </w:p>
    <w:p>
      <w:pPr>
        <w:pStyle w:val="Heading2"/>
      </w:pPr>
      <w:r>
        <w:t>1.5  Polyploïdie expérimentale et sélection variétale</w:t>
      </w:r>
    </w:p>
    <w:p>
      <w:pPr>
        <w:spacing w:before="80" w:after="120" w:line="324" w:lineRule="auto"/>
        <w:jc w:val="both"/>
      </w:pPr>
      <w:r>
        <w:rPr>
          <w:rFonts w:ascii="Garamond" w:hAnsi="Garamond"/>
          <w:b w:val="0"/>
          <w:i w:val="0"/>
          <w:sz w:val="22"/>
        </w:rPr>
        <w:t>Les programmes de sélection contemporains explorent activement l'induction de polyploïdie (tétraploïdisation par traitement à la colchicine ou à l'oryzaline) pour augmenter la productivité de métabolites secondaires. Bagheri &amp; Mansouri (2015, Journal of Plant Studies 4: 1–8) ont documenté chez Cannabis sativa tétraploïde induite : stomates 30 % plus grands, densité trichomale glandulaire augmentée de 40,4 %, et concentrations en cannabinoïdes totaux augmentées de 15 à 25 %. Ces caractéristiques résultent de l'augmentation de la taille cellulaire associée à la duplication du génome (gigantisme cellulaire). La stabilité reproductive des lignées tétraploïdes — fertilité, stabilité chromosomique, reproductibilité du chémotype — reste à documenter sur plusieurs générations avant validation agronomique formelle.</w:t>
      </w:r>
    </w:p>
    <w:p>
      <w:pPr>
        <w:spacing w:before="80" w:after="120" w:line="324" w:lineRule="auto"/>
        <w:jc w:val="both"/>
      </w:pPr>
      <w:r>
        <w:rPr>
          <w:rFonts w:ascii="Garamond" w:hAnsi="Garamond"/>
          <w:b w:val="0"/>
          <w:i w:val="0"/>
          <w:sz w:val="22"/>
        </w:rPr>
        <w:t>Sur le plan diploïde, des sélectionneurs comme Skunkman Sam, DJ Short, ou plus récemment Bodhi Seeds et Swami Organic Seed, ont contribué à l'établissement de cultivars de référence (Skunk #1, Blueberry, Northern Lights, OG Kush) dont les chémotypes ont été caractérisés par des laboratoires accrédités. La traçabilité génétique des cultivars commerciaux contemporains reste cependant inégale, justifiant les efforts de standardisation chémotypique mentionnés section 1.3.</w:t>
      </w:r>
    </w:p>
    <w:p>
      <w:pPr>
        <w:pStyle w:val="Heading1"/>
      </w:pPr>
      <w:r>
        <w:t>II. TRICHOMES GLANDULAIRES : MORPHOLOGIE ET BIOSYNTHÈSE</w:t>
      </w:r>
    </w:p>
    <w:p>
      <w:pPr>
        <w:pStyle w:val="Heading2"/>
      </w:pPr>
      <w:r>
        <w:t>2.1  Anatomie florale et localisation des trichomes</w:t>
      </w:r>
    </w:p>
    <w:p>
      <w:pPr>
        <w:spacing w:before="80" w:after="120" w:line="324" w:lineRule="auto"/>
        <w:jc w:val="both"/>
      </w:pPr>
      <w:r>
        <w:rPr>
          <w:rFonts w:ascii="Garamond" w:hAnsi="Garamond"/>
          <w:b w:val="0"/>
          <w:i w:val="0"/>
          <w:sz w:val="22"/>
        </w:rPr>
        <w:t>La fleur femelle de Cannabis sativa est une structure botanique d'une remarquable complexité morphologique, organisée en couches protectrices et fonctionnelles imbriquées. La compréhension anatomique précise de cette architecture est essentielle pour appréhender la biosynthèse et la distribution des composés actifs.</w:t>
      </w:r>
    </w:p>
    <w:p>
      <w:pPr>
        <w:spacing w:before="80" w:after="120" w:line="324" w:lineRule="auto"/>
        <w:jc w:val="both"/>
      </w:pPr>
      <w:r>
        <w:rPr>
          <w:rFonts w:ascii="Garamond" w:hAnsi="Garamond"/>
          <w:b w:val="0"/>
          <w:i w:val="0"/>
          <w:sz w:val="22"/>
        </w:rPr>
        <w:t>Les colas désignent les grandes grappes florales compactes situées à l'extrémité des branches principales. Chaque cola est composé de centaines à milliers de fleurs individuelles (également appelées calices) groupées de façon dense. Chaque fleur individuelle comporte : (1) un calice externe protégeant les ovules ; (2) deux bractées triangulaires recouvertes d'une forte densité de trichomes glandulaires ; (3) deux pistils filiformes (stigmates) émergeant du calice — ces filaments fins, blancs ou orangés selon la maturité, captent le pollen des fleurs mâles lors de la reproduction sexuée et constituent un indicateur macroscopique de maturité (70 à 90 % de pistils orangés = phase de maturité avancée).</w:t>
      </w:r>
    </w:p>
    <w:p>
      <w:pPr>
        <w:spacing w:before="80" w:after="120" w:line="324" w:lineRule="auto"/>
        <w:jc w:val="both"/>
      </w:pPr>
      <w:r>
        <w:rPr>
          <w:rFonts w:ascii="Garamond" w:hAnsi="Garamond"/>
          <w:b w:val="0"/>
          <w:i w:val="0"/>
          <w:sz w:val="22"/>
        </w:rPr>
        <w:t>Autour des fleurs se développent les feuilles de sucre ("sugar leaves"), feuilles foliaires réduites en taille mais densément recouvertes de trichomes glandulaires, leur conférant un aspect cristallin ou givré caractéristique. Ces feuilles contribuent significativement à la production de résine cannabinoïdique. À l'opposé, les feuilles en éventail ("fan leaves") sont essentiellement photosynthétiques et présentent une densité trichomale faible.</w:t>
      </w:r>
    </w:p>
    <w:p>
      <w:pPr>
        <w:pStyle w:val="Heading2"/>
      </w:pPr>
      <w:r>
        <w:t>2.2  Classification morphologique des trichomes</w:t>
      </w:r>
    </w:p>
    <w:p>
      <w:pPr>
        <w:spacing w:before="80" w:after="120" w:line="324" w:lineRule="auto"/>
        <w:jc w:val="both"/>
      </w:pPr>
      <w:r>
        <w:rPr>
          <w:rFonts w:ascii="Garamond" w:hAnsi="Garamond"/>
          <w:sz w:val="22"/>
        </w:rPr>
        <w:t>La classification de référence des trichomes de Cannabis sativa repose sur les travaux séminaux de Dayanandan &amp; Kaufman (1976, Am. J. Bot. 63: 578–591)</w:t>
      </w:r>
      <w:r>
        <w:rPr>
          <w:b/>
          <w:color w:val="2E6B8A"/>
          <w:sz w:val="18"/>
          <w:vertAlign w:val="superscript"/>
        </w:rPr>
        <w:t>[1]</w:t>
      </w:r>
      <w:r>
        <w:rPr>
          <w:rFonts w:ascii="Garamond" w:hAnsi="Garamond"/>
          <w:sz w:val="22"/>
        </w:rPr>
        <w:t>, précisés ultérieurement par Hammond &amp; Mahlberg (1973, Am. J. Bot. 60: 524–528 ; 1977, Am. J. Bot. 64: 1023–1031) puis raffinés par les techniques de microscopie électronique à balayage (MEB) et confocale. Livingston et al. (2020, Plant Journal 101: 37–56)</w:t>
      </w:r>
      <w:r>
        <w:rPr>
          <w:b/>
          <w:color w:val="2E6B8A"/>
          <w:sz w:val="18"/>
          <w:vertAlign w:val="superscript"/>
        </w:rPr>
        <w:t>[2]</w:t>
      </w:r>
      <w:r>
        <w:rPr>
          <w:rFonts w:ascii="Garamond" w:hAnsi="Garamond"/>
          <w:sz w:val="22"/>
        </w:rPr>
        <w:t xml:space="preserve"> ont publié la caractérisation morphométrique et biochimique la plus complète à ce jour, incluant cartographie 3D des cavités sécrétrices et quantification métabolomique par cellule.</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Type</w:t>
            </w:r>
          </w:p>
        </w:tc>
        <w:tc>
          <w:tcPr>
            <w:tcW w:type="dxa" w:w="1417"/>
            <w:tcBorders>
              <w:top w:val="nil"/>
              <w:left w:val="nil"/>
              <w:bottom w:val="single" w:sz="8" w:color="2E6B8A"/>
              <w:right w:val="nil"/>
            </w:tcBorders>
            <w:shd w:fill="E8F4F0" w:val="clear" w:color="auto"/>
            <w:vAlign w:val="center"/>
          </w:tcPr>
          <w:p>
            <w:r/>
            <w:r>
              <w:rPr>
                <w:rFonts w:ascii="Arial" w:hAnsi="Arial"/>
                <w:b/>
                <w:color w:val="1A2E3B"/>
                <w:sz w:val="19"/>
              </w:rPr>
              <w:t>Taille</w:t>
            </w:r>
          </w:p>
        </w:tc>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Localisation</w:t>
            </w:r>
          </w:p>
        </w:tc>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Composition</w:t>
            </w:r>
          </w:p>
        </w:tc>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Rôle biosynthétique</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Bulbeux unicellulaires</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10–15 µm</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Feuilles, tiges, pétioles</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Cannabinoïdes &lt; 1 µg/trichome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Précurseur — biosynthèse initiale</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Capités-sessiles</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20–30 µm</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Feuilles, tiges, bractées</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1–5 µg/trichome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Modéré — biosynthèse intermédiaire</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Capités-pédiculés</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50–500 µm (hauteur)</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Bractées, calices, feuilles de sucre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5–50 µg/trichome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Majeur — site principal (&gt;90 % production totale)</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Antherides (mâles)</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30–80 µm</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Fleurs mâles uniquement</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0,5–2 µg/trichome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Minoritaire — concentrations 10–50× inférieures</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Cystolithiques</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Variable</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Surface foliaire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CaCO₃ — pas de cannabinoïdes</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Nul — fonction défensive structurale</w:t>
            </w:r>
          </w:p>
        </w:tc>
      </w:tr>
    </w:tbl>
    <w:p>
      <w:pPr>
        <w:spacing w:before="0" w:after="80"/>
      </w:pPr>
    </w:p>
    <w:p>
      <w:pPr>
        <w:spacing w:before="60" w:after="240"/>
        <w:jc w:val="center"/>
      </w:pPr>
      <w:r>
        <w:rPr>
          <w:rFonts w:ascii="Arial" w:hAnsi="Arial"/>
          <w:i/>
          <w:color w:val="5A5A5A"/>
          <w:sz w:val="18"/>
        </w:rPr>
        <w:t>Tableau 2.1 — Classification morphologique et fonctionnelle des trichomes de Cannabis sativa L. (d'après Dayanandan &amp; Kaufman, 1976 ; Livingston et al., 2020).</w:t>
      </w:r>
    </w:p>
    <w:p>
      <w:pPr>
        <w:spacing w:before="80" w:after="120" w:line="324" w:lineRule="auto"/>
        <w:jc w:val="both"/>
      </w:pPr>
      <w:r>
        <w:rPr>
          <w:rFonts w:ascii="Garamond" w:hAnsi="Garamond"/>
          <w:b w:val="0"/>
          <w:i w:val="0"/>
          <w:sz w:val="22"/>
        </w:rPr>
        <w:t>Les trichomes capités-pédiculés constituent l'unité fonctionnelle majeure de la biosynthèse cannabinoïdienne. Leur architecture interne, élucidée par cryo-microscopie électronique (Livingston et al., 2020), comprend : (i) un pédoncule pluricellulaire ancré dans l'épiderme végétal ; (ii) une rosette basale de cellules de soutien et de cellules sécrétrices (8 à 16 cellules en moyenne) ; (iii) une cavité sub-cuticulaire de stockage formée par séparation entre la cuticule cireuse externe et la couche de cellules sécrétrices ; (iv) une cuticule externe imperméable contenant les composés actifs sous forme de résine semi-liquide.</w:t>
      </w:r>
    </w:p>
    <w:p>
      <w:pPr>
        <w:spacing w:before="80" w:after="120" w:line="324" w:lineRule="auto"/>
        <w:jc w:val="both"/>
      </w:pPr>
      <w:r>
        <w:rPr>
          <w:rFonts w:ascii="Garamond" w:hAnsi="Garamond"/>
          <w:b w:val="0"/>
          <w:i w:val="0"/>
          <w:sz w:val="22"/>
        </w:rPr>
        <w:t>Le volume moyen de la cavité de stockage d'un trichome capité-pédiculé mature est estimé entre 70 et 200 picolitres. La densité maximale documentée sur des cultivars élites contemporains atteint 800 à 1200 trichomes par mm² de surface bractéale (Kim &amp; Mahlberg, 2003, J. Nat. Prod. 66: 1192–1196), expliquant les teneurs en cannabinoïdes totaux dépassant 30 % du poids sec dans certains chémotypes de pointe.</w:t>
      </w:r>
    </w:p>
    <w:p>
      <w:pPr>
        <w:pStyle w:val="Heading2"/>
      </w:pPr>
      <w:r>
        <w:t>2.3  Voie de biosynthèse cannabinoïdienne</w:t>
      </w:r>
    </w:p>
    <w:p>
      <w:pPr>
        <w:spacing w:before="80" w:after="120" w:line="324" w:lineRule="auto"/>
        <w:jc w:val="both"/>
      </w:pPr>
      <w:r>
        <w:rPr>
          <w:rFonts w:ascii="Garamond" w:hAnsi="Garamond"/>
          <w:b w:val="0"/>
          <w:i w:val="0"/>
          <w:sz w:val="22"/>
        </w:rPr>
        <w:t>La biosynthèse des cannabinoïdes est l'une des voies métaboliques végétales les mieux caractérisées sur le plan moléculaire. Elle résulte de la convergence de deux voies biosynthétiques distinctes — la voie polycétide et la voie isoprénoïde — convergeant vers un précurseur universel : l'acide cannabigérolique (CBGA).</w:t>
      </w:r>
    </w:p>
    <w:p>
      <w:pPr>
        <w:pStyle w:val="Heading3"/>
      </w:pPr>
      <w:r>
        <w:t>2.3.1  Étapes amont</w:t>
      </w:r>
    </w:p>
    <w:p>
      <w:pPr>
        <w:pStyle w:val="ListBullet"/>
        <w:spacing w:line="312" w:lineRule="auto" w:before="60" w:after="60"/>
      </w:pPr>
      <w:r>
        <w:rPr>
          <w:rFonts w:ascii="Garamond" w:hAnsi="Garamond"/>
          <w:sz w:val="22"/>
        </w:rPr>
        <w:t>Voie polycétide cytoplasmique : condensation de trois unités de malonyl-CoA avec un hexanoyl-CoA (issu de l'acide hexanoïque) par la tétracétide synthase (TKS), produisant un tétracétide instable, cyclisé en acide olivétolique (OLA, C12) par l'olivetolic acid cyclase (OAC) — découverte décisive par Gagne et al. (2012, PNAS 109: 12811–12816).</w:t>
      </w:r>
    </w:p>
    <w:p>
      <w:pPr>
        <w:pStyle w:val="ListBullet"/>
        <w:spacing w:line="312" w:lineRule="auto" w:before="60" w:after="60"/>
      </w:pPr>
      <w:r>
        <w:rPr>
          <w:rFonts w:ascii="Garamond" w:hAnsi="Garamond"/>
          <w:sz w:val="22"/>
        </w:rPr>
        <w:t>Voie isoprénoïde plastidiale (voie MEP/DXP) : condensation séquentielle d'unités isopréniques (IPP et DMAPP) par la géranyl pyrophosphate synthase (GPPS), produisant le géranyl pyrophosphate (GPP, C10).</w:t>
      </w:r>
    </w:p>
    <w:p>
      <w:pPr>
        <w:pStyle w:val="ListBullet"/>
        <w:spacing w:line="312" w:lineRule="auto" w:before="60" w:after="60"/>
      </w:pPr>
      <w:r>
        <w:rPr>
          <w:rFonts w:ascii="Garamond" w:hAnsi="Garamond"/>
          <w:sz w:val="22"/>
        </w:rPr>
        <w:t>Couplage : la prénylation de l'acide olivétolique par le GPP est catalysée par la géranylpyrophosphate-olivétolate-géranyltransférase (PT4, également désignée GOT), enzyme membranaire purifiée et caractérisée pour la première fois par Fellermeier &amp; Zenk (1998, FEBS Letters 427: 283–285). Le produit est l'acide cannabigérolique (CBGA, C22H32O4, MW = 360,49 g/mol), précurseur universel.</w:t>
      </w:r>
    </w:p>
    <w:p>
      <w:pPr>
        <w:pStyle w:val="Heading3"/>
      </w:pPr>
      <w:r>
        <w:t>2.3.2  Synthases terminales et compartimentation</w:t>
      </w:r>
    </w:p>
    <w:p>
      <w:pPr>
        <w:spacing w:before="80" w:after="120" w:line="324" w:lineRule="auto"/>
        <w:jc w:val="both"/>
      </w:pPr>
      <w:r>
        <w:rPr>
          <w:rFonts w:ascii="Garamond" w:hAnsi="Garamond"/>
          <w:sz w:val="22"/>
        </w:rPr>
        <w:t>À partir du CBGA, trois synthases oxydocyclases concurrentes — toutes flavoprotéines FAD-dépendantes secrétées dans la cavité sub-cuticulaire — catalysent la cyclisation oxydative vers les trois acides cannabinoïdes majeurs : (1) THCA synthase (Sirikantaramas et al., 2004, J. Biol. Chem. 279: 39767–39774)</w:t>
      </w:r>
      <w:r>
        <w:rPr>
          <w:b/>
          <w:color w:val="2E6B8A"/>
          <w:sz w:val="18"/>
          <w:vertAlign w:val="superscript"/>
        </w:rPr>
        <w:t>[24]</w:t>
      </w:r>
      <w:r>
        <w:rPr>
          <w:rFonts w:ascii="Garamond" w:hAnsi="Garamond"/>
          <w:sz w:val="22"/>
        </w:rPr>
        <w:t xml:space="preserve"> → acide tétrahydrocannabinolique (THCA) ; (2) CBDA synthase (Taura et al., 1996, J. Biol. Chem. 271: 17411–17416) → acide cannabidiolique (CBDA) ; (3) CBCA synthase (Morimoto et al., 1998, Phytochemistry 49: 1525–1529) → acide cannabichroménique (CBCA).</w:t>
      </w:r>
    </w:p>
    <w:p>
      <w:pPr>
        <w:spacing w:before="80" w:after="120" w:line="324" w:lineRule="auto"/>
        <w:jc w:val="both"/>
      </w:pPr>
      <w:r>
        <w:rPr>
          <w:rFonts w:ascii="Garamond" w:hAnsi="Garamond"/>
          <w:b w:val="0"/>
          <w:i w:val="0"/>
          <w:sz w:val="22"/>
        </w:rPr>
        <w:t>Sirikantaramas et al. ont démontré en 2005 (Plant Cell Physiology 46: 1578–1582) un fait biologique remarquable : ces synthases sont sécrétées hors des cellules par les cellules sécrétrices et accumulées dans la cavité sub-cuticulaire, où elles catalysent les réactions terminales. Cette extracellularisation expliquerait l'auto-protection de la plante contre la cytotoxicité potentielle de ces produits — la cytotoxicité du THCA contre les cellules végétales étant documentée à des concentrations supérieures à 1 mM.</w:t>
      </w:r>
    </w:p>
    <w:p>
      <w:pPr>
        <w:spacing w:before="80" w:after="120" w:line="324" w:lineRule="auto"/>
        <w:jc w:val="both"/>
      </w:pPr>
      <w:r>
        <w:rPr>
          <w:rFonts w:ascii="Garamond" w:hAnsi="Garamond"/>
          <w:b w:val="0"/>
          <w:i w:val="0"/>
          <w:sz w:val="22"/>
        </w:rPr>
        <w:t>Sur le plan structural, la THCA synthase est une protéine de 545 acides aminés (poids moléculaire 62 kDa) dont la structure cristallographique a été résolue par Shoyama et al. (2012, J. Mol. Biol. 423: 96–105). Son site actif contient un cofacteur FAD lié de manière covalente (résidus Cys176 et His114). La conversion CBGA → THCA procède par déprotonation, transfert d'hydrure vers le FAD (oxydation), puis cyclisation intramoléculaire avec libération de peroxyde d'hydrogène.</w:t>
      </w:r>
    </w:p>
    <w:p>
      <w:pPr>
        <w:pStyle w:val="Heading3"/>
      </w:pPr>
      <w:r>
        <w:t>2.3.3  Décarboxylation et formes neutres</w:t>
      </w:r>
    </w:p>
    <w:p>
      <w:pPr>
        <w:spacing w:before="80" w:after="120" w:line="324" w:lineRule="auto"/>
        <w:jc w:val="both"/>
      </w:pPr>
      <w:r>
        <w:rPr>
          <w:rFonts w:ascii="Garamond" w:hAnsi="Garamond"/>
          <w:b w:val="0"/>
          <w:i w:val="0"/>
          <w:sz w:val="22"/>
        </w:rPr>
        <w:t>Les acides cannabinoïdes neutres — THC, CBD, CBC — sont obtenus par décarboxylation thermique des formes acides correspondantes. Cette décarboxylation est irréversible et libère du dioxyde de carbone. Les cinétiques de décarboxylation ont été caractérisées en détail par Wang et al. (2016, Cannabis and Cannabinoid Research 1: 262–271) : la conversion THCA → THC atteint 50 % en 6 minutes à 140°C, 90 % en 19 minutes à 140°C, et est quasi-complète (&gt;95 %) après 20 minutes à 110°C. Au-delà de 145°C, des produits de dégradation thermique apparaissent (CBN par oxydation, isomère Δ⁸-THC par isomérisation), réduisant le rendement net en THC.</w:t>
      </w:r>
    </w:p>
    <w:p>
      <w:pPr>
        <w:spacing w:before="80" w:after="120" w:line="324" w:lineRule="auto"/>
        <w:jc w:val="both"/>
      </w:pPr>
      <w:r>
        <w:rPr>
          <w:rFonts w:ascii="Garamond" w:hAnsi="Garamond"/>
          <w:b w:val="0"/>
          <w:i w:val="0"/>
          <w:sz w:val="22"/>
        </w:rPr>
        <w:t>La décarboxylation se produit également de manière progressive à température ambiante par voie photochimique (irradiation UV) et oxydative. À température ambiante (~22°C), la demi-vie du THCA dans la fleur séchée est estimée à 7–10 mois. Cette dégradation lente explique pourquoi le cannabis cru ingéré est très faiblement psychoactif comparé au cannabis chauffé (fumé, vaporisé ou cuit), constat de longue date des consommateurs et désormais documenté biochimiquement.</w:t>
      </w:r>
    </w:p>
    <w:p>
      <w:pPr>
        <w:pStyle w:val="Heading2"/>
      </w:pPr>
      <w:r>
        <w:t>2.4  Maturation des trichomes et fenêtre optimale de récolte</w:t>
      </w:r>
    </w:p>
    <w:p>
      <w:pPr>
        <w:spacing w:before="80" w:after="120" w:line="324" w:lineRule="auto"/>
        <w:jc w:val="both"/>
      </w:pPr>
      <w:r>
        <w:rPr>
          <w:rFonts w:ascii="Garamond" w:hAnsi="Garamond"/>
          <w:b w:val="0"/>
          <w:i w:val="0"/>
          <w:sz w:val="22"/>
        </w:rPr>
        <w:t>La détermination de la fenêtre optimale de récolte constitue un savoir-faire crucial. L'observation microscopique des trichomes — à l'aide de microscopes optiques (× 30 à × 100) ou de lentilles macro digitales — est la méthode empirique de référence. La maturation s'accompagne d'une évolution chromatique caractéristique des têtes glandulaires.</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Stade</w:t>
            </w:r>
          </w:p>
        </w:tc>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Couleur</w:t>
            </w:r>
          </w:p>
        </w:tc>
        <w:tc>
          <w:tcPr>
            <w:tcW w:type="dxa" w:w="2551"/>
            <w:tcBorders>
              <w:top w:val="nil"/>
              <w:left w:val="nil"/>
              <w:bottom w:val="single" w:sz="8" w:color="2E6B8A"/>
              <w:right w:val="nil"/>
            </w:tcBorders>
            <w:shd w:fill="E8F4F0" w:val="clear" w:color="auto"/>
            <w:vAlign w:val="center"/>
          </w:tcPr>
          <w:p>
            <w:r/>
            <w:r>
              <w:rPr>
                <w:rFonts w:ascii="Arial" w:hAnsi="Arial"/>
                <w:b/>
                <w:color w:val="1A2E3B"/>
                <w:sz w:val="19"/>
              </w:rPr>
              <w:t>Biochimie dominante</w:t>
            </w:r>
          </w:p>
        </w:tc>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Profil d'effets attendu</w:t>
            </w:r>
          </w:p>
        </w:tc>
        <w:tc>
          <w:tcPr>
            <w:tcW w:type="dxa" w:w="1417"/>
            <w:tcBorders>
              <w:top w:val="nil"/>
              <w:left w:val="nil"/>
              <w:bottom w:val="single" w:sz="8" w:color="2E6B8A"/>
              <w:right w:val="nil"/>
            </w:tcBorders>
            <w:shd w:fill="E8F4F0" w:val="clear" w:color="auto"/>
            <w:vAlign w:val="center"/>
          </w:tcPr>
          <w:p>
            <w:r/>
            <w:r>
              <w:rPr>
                <w:rFonts w:ascii="Arial" w:hAnsi="Arial"/>
                <w:b/>
                <w:color w:val="1A2E3B"/>
                <w:sz w:val="19"/>
              </w:rPr>
              <w:t>Timing récolte</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Précoce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Transparent, clair</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CBGA résiduel &gt; 5 %, THCA en accumulation, monoterpènes dominants</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Léger, stimulant, énergisant</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1–2 sem. avant maturité optimale</w:t>
            </w:r>
          </w:p>
        </w:tc>
      </w:tr>
      <w:tr>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Optimal</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Laiteux, opaque blanc</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THCA/CBDA au pic, terpènes à l'apogée, CBGA &lt; 2 %</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Équilibré cérébral + physique</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Fenêtre de 3–7 jours</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Sur-maturité précoce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30–50 % ambré</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Début THCA → CBNA, monoterpènes en déclin (-20 à -30 %)</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Plus relaxant, sédatif léger</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7–10 j après stade laiteux</w:t>
            </w:r>
          </w:p>
        </w:tc>
      </w:tr>
      <w:tr>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Sur-maturité avancée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&gt; 70 % ambré</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CBNA → CBN majoritaire, dégradation terpénique marquée</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Fortement sédatif, puissance réduite</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&gt; 14 j après stade laiteux</w:t>
            </w:r>
          </w:p>
        </w:tc>
      </w:tr>
    </w:tbl>
    <w:p>
      <w:pPr>
        <w:spacing w:before="0" w:after="80"/>
      </w:pPr>
    </w:p>
    <w:p>
      <w:pPr>
        <w:spacing w:before="60" w:after="240"/>
        <w:jc w:val="center"/>
      </w:pPr>
      <w:r>
        <w:rPr>
          <w:rFonts w:ascii="Arial" w:hAnsi="Arial"/>
          <w:i/>
          <w:color w:val="5A5A5A"/>
          <w:sz w:val="18"/>
        </w:rPr>
        <w:t>Tableau 2.2 — Corrélation entre couleur des trichomes, maturité biochimique et profil d'effets. Compilation d'après Booth &amp; Bohlmann, 2019 ; Livingston et al., 2020.</w:t>
      </w:r>
    </w:p>
    <w:p>
      <w:pPr>
        <w:spacing w:before="80" w:after="120" w:line="324" w:lineRule="auto"/>
        <w:jc w:val="both"/>
      </w:pPr>
      <w:r>
        <w:rPr>
          <w:rFonts w:ascii="Garamond" w:hAnsi="Garamond"/>
          <w:b w:val="0"/>
          <w:i w:val="0"/>
          <w:sz w:val="22"/>
        </w:rPr>
        <w:t>Une étude longitudinale par Aizpurua-Olaizola et al. (2016, J. Nat. Prod. 79: 324–331) a quantifié l'évolution chimique sur six chémotypes au cours de la floraison. Les concentrations en THC totaux atteignent leur maximum entre les semaines 9 et 11 post-induction florale, avec des variations inter-cultivars considérables (de 18 à 31 % du poids sec en fleurs de pointe). Le rapport monoterpènes/sesquiterpènes diminue progressivement de 5,5 à 2,8 entre les semaines 7 et 13, du fait de la volatilité différentielle. Ces données quantifiées justifient l'importance d'une récolte au stade optimal sous peine de pertes significatives de qualité terpénique.</w:t>
      </w:r>
    </w:p>
    <w:p>
      <w:pPr>
        <w:pStyle w:val="Heading2"/>
      </w:pPr>
      <w:r>
        <w:t>2.5  Stress environnementaux et stimulation trichomale</w:t>
      </w:r>
    </w:p>
    <w:p>
      <w:pPr>
        <w:spacing w:before="80" w:after="120" w:line="324" w:lineRule="auto"/>
        <w:jc w:val="both"/>
      </w:pPr>
      <w:r>
        <w:rPr>
          <w:rFonts w:ascii="Garamond" w:hAnsi="Garamond"/>
          <w:sz w:val="22"/>
        </w:rPr>
        <w:t>Plusieurs facteurs environnementaux modulent la densité et la productivité des trichomes glandulaires. L'irradiation UV-B (280–315 nm) à dose modérée durant la phase florale stimule significativement la biosynthèse cannabinoïdienne. Lydon, Teramura &amp; Coffman (1987, Photochem. Photobiol. 46: 201–206) ont démontré que l'exposition à 13,4 kJ/m²/jour d'UV-B augmente les concentrations en Δ⁹-THC de 28 % par rapport aux contrôles non irradiés. Magagnini et al. (2018, Med. Cannabis Cannabinoids 1: 19–27) ont confirmé cette stimulation à des intensités UV plus faibles (5 kJ/m²/jour). Le mécanisme implique l'induction des gènes de la biosynthèse cannabinoïdienne via la voie du facteur de transcription UVR8, le THCA acide agissant comme filtre UV-B protecteur pour les ovules.</w:t>
      </w:r>
    </w:p>
    <w:p>
      <w:pPr>
        <w:spacing w:before="80" w:after="120" w:line="324" w:lineRule="auto"/>
        <w:jc w:val="both"/>
      </w:pPr>
      <w:r>
        <w:rPr>
          <w:rFonts w:ascii="Garamond" w:hAnsi="Garamond"/>
          <w:b w:val="0"/>
          <w:i w:val="0"/>
          <w:sz w:val="22"/>
        </w:rPr>
        <w:t>Le stress hydrique modéré (déficit hydrique contrôlé en fin de floraison) augmente également les teneurs en cannabinoïdes — Caplan, Dixon &amp; Zheng (2019, HortScience 54: 964–969) ont documenté une augmentation de 12 à 18 % du THC total après un stress hydrique modulé sur les 11 derniers jours de floraison. Le mécanisme implique l'activation des voies de signalisation de l'acide abscissique (ABA) et la mobilisation des ressources vers la production de métabolites secondaires défensifs.</w:t>
      </w:r>
    </w:p>
    <w:p>
      <w:pPr>
        <w:pStyle w:val="Heading1"/>
      </w:pPr>
      <w:r>
        <w:t>III. PHYTOCHIMIE I — LES TERPÈNES ET TERPÉNOÏDES</w:t>
      </w:r>
    </w:p>
    <w:p>
      <w:pPr>
        <w:pStyle w:val="Heading2"/>
      </w:pPr>
      <w:r>
        <w:t>3.1  Généralités et diversité structurale</w:t>
      </w:r>
    </w:p>
    <w:p>
      <w:pPr>
        <w:spacing w:before="80" w:after="120" w:line="324" w:lineRule="auto"/>
        <w:jc w:val="both"/>
      </w:pPr>
      <w:r>
        <w:rPr>
          <w:rFonts w:ascii="Garamond" w:hAnsi="Garamond"/>
          <w:b w:val="0"/>
          <w:i w:val="0"/>
          <w:sz w:val="22"/>
        </w:rPr>
        <w:t>Les terpènes constituent l'une des familles de métabolites secondaires les plus vastes et les plus diversifiées du règne vivant. À ce jour, plus de 80 000 structures terpéniques distinctes ont été répertoriées dans la nature (Christianson, 2017, Chem. Rev. 117: 11570–11648 ; mise à jour DOI 10.1039/c9np00051h). Étymologiquement, le terme "terpène" dérive du latin terebinthina resina, désignant l'oléorésine de pin, riche en composés volatils précurseurs de l'essence de térébenthine.</w:t>
      </w:r>
    </w:p>
    <w:p>
      <w:pPr>
        <w:spacing w:before="80" w:after="120" w:line="324" w:lineRule="auto"/>
        <w:jc w:val="both"/>
      </w:pPr>
      <w:r>
        <w:rPr>
          <w:rFonts w:ascii="Garamond" w:hAnsi="Garamond"/>
          <w:b w:val="0"/>
          <w:i w:val="0"/>
          <w:sz w:val="22"/>
        </w:rPr>
        <w:t>Sur le plan biosynthétique, tous les terpènes dérivent d'unités isoprènes (C₅H₈, 2-méthyl-1,3-butadiène) selon la "règle de l'isoprène" formulée par Wallach en 1887 et confirmée biochimiquement par Ruzicka en 1953 (Experientia 9: 357–367). Chez les végétaux, deux voies biosynthétiques parallèles produisent les unités isopréniques de base — l'isopentényl pyrophosphate (IPP) et son isomère diméthylallyl pyrophosphate (DMAPP) :</w:t>
      </w:r>
    </w:p>
    <w:p>
      <w:pPr>
        <w:pStyle w:val="ListBullet"/>
        <w:spacing w:line="312" w:lineRule="auto" w:before="60" w:after="60"/>
      </w:pPr>
      <w:r>
        <w:rPr>
          <w:rFonts w:ascii="Garamond" w:hAnsi="Garamond"/>
          <w:sz w:val="22"/>
        </w:rPr>
        <w:t>Voie mévalonate (MVA) cytoplasmique : à partir de l'acétyl-CoA, via l'HMG-CoA réductase (cible des statines pharmacologiques chez l'homme). Produit majoritairement les sesquiterpènes (C15) et triterpènes (C30) dans le cytosol.</w:t>
      </w:r>
    </w:p>
    <w:p>
      <w:pPr>
        <w:pStyle w:val="ListBullet"/>
        <w:spacing w:line="312" w:lineRule="auto" w:before="60" w:after="60"/>
      </w:pPr>
      <w:r>
        <w:rPr>
          <w:rFonts w:ascii="Garamond" w:hAnsi="Garamond"/>
          <w:sz w:val="22"/>
        </w:rPr>
        <w:t>Voie méthylérythritol-4-phosphate (MEP, aussi dite voie DXP) plastidiale : à partir du pyruvate et du glycéraldéhyde-3-phosphate, via la 1-désoxy-D-xylulose-5-phosphate synthase (DXS). Produit majoritairement les monoterpènes (C10), diterpènes (C20) et tétraterpènes (C40 — caroténoïdes) dans les plastes.</w:t>
      </w:r>
    </w:p>
    <w:p>
      <w:pPr>
        <w:spacing w:before="80" w:after="120" w:line="324" w:lineRule="auto"/>
        <w:jc w:val="both"/>
      </w:pPr>
      <w:r>
        <w:rPr>
          <w:rFonts w:ascii="Garamond" w:hAnsi="Garamond"/>
          <w:sz w:val="22"/>
        </w:rPr>
        <w:t>Plus de 200 terpènes distincts ont été identifiés dans Cannabis sativa par chromatographie en phase gazeuse couplée à la spectrométrie de masse (GC-MS) (Booth &amp; Bohlmann, 2019, Plant Science 284: 67–72)</w:t>
      </w:r>
      <w:r>
        <w:rPr>
          <w:b/>
          <w:color w:val="2E6B8A"/>
          <w:sz w:val="18"/>
          <w:vertAlign w:val="superscript"/>
        </w:rPr>
        <w:t>[3]</w:t>
      </w:r>
      <w:r>
        <w:rPr>
          <w:rFonts w:ascii="Garamond" w:hAnsi="Garamond"/>
          <w:sz w:val="22"/>
        </w:rPr>
        <w:t>. Dans la fleur fraîche, les terpènes représentent typiquement 0,5 à 1 % du poids sec, certains chémotypes d'exception atteignant 3,0 à 5,5 % (Hazekamp &amp; Fischedick, 2012, Drug Test. Anal. 4: 660–667). Les monoterpènes représentent 80 à 90 % du profil terpénique en fleur fraîche ; les sesquiterpènes 10 à 20 %. Cette proportion s'inverse partiellement lors du séchage et du stockage en raison de la volatilité différentielle (monoterpènes plus volatils que les sesquiterpènes).</w:t>
      </w:r>
    </w:p>
    <w:p>
      <w:pPr>
        <w:pStyle w:val="Heading2"/>
      </w:pPr>
      <w:r>
        <w:t>3.2  Classification biochimique des terpènes du cannabis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Classe</w:t>
            </w:r>
          </w:p>
        </w:tc>
        <w:tc>
          <w:tcPr>
            <w:tcW w:type="dxa" w:w="1134"/>
            <w:tcBorders>
              <w:top w:val="nil"/>
              <w:left w:val="nil"/>
              <w:bottom w:val="single" w:sz="8" w:color="2E6B8A"/>
              <w:right w:val="nil"/>
            </w:tcBorders>
            <w:shd w:fill="E8F4F0" w:val="clear" w:color="auto"/>
            <w:vAlign w:val="center"/>
          </w:tcPr>
          <w:p>
            <w:r/>
            <w:r>
              <w:rPr>
                <w:rFonts w:ascii="Arial" w:hAnsi="Arial"/>
                <w:b/>
                <w:color w:val="1A2E3B"/>
                <w:sz w:val="19"/>
              </w:rPr>
              <w:t>Formule</w:t>
            </w:r>
          </w:p>
        </w:tc>
        <w:tc>
          <w:tcPr>
            <w:tcW w:type="dxa" w:w="680"/>
            <w:tcBorders>
              <w:top w:val="nil"/>
              <w:left w:val="nil"/>
              <w:bottom w:val="single" w:sz="8" w:color="2E6B8A"/>
              <w:right w:val="nil"/>
            </w:tcBorders>
            <w:shd w:fill="E8F4F0" w:val="clear" w:color="auto"/>
            <w:vAlign w:val="center"/>
          </w:tcPr>
          <w:p>
            <w:r/>
            <w:r>
              <w:rPr>
                <w:rFonts w:ascii="Arial" w:hAnsi="Arial"/>
                <w:b/>
                <w:color w:val="1A2E3B"/>
                <w:sz w:val="19"/>
              </w:rPr>
              <w:t>Unités C5</w:t>
            </w:r>
          </w:p>
        </w:tc>
        <w:tc>
          <w:tcPr>
            <w:tcW w:type="dxa" w:w="4706"/>
            <w:tcBorders>
              <w:top w:val="nil"/>
              <w:left w:val="nil"/>
              <w:bottom w:val="single" w:sz="8" w:color="2E6B8A"/>
              <w:right w:val="nil"/>
            </w:tcBorders>
            <w:shd w:fill="E8F4F0" w:val="clear" w:color="auto"/>
            <w:vAlign w:val="center"/>
          </w:tcPr>
          <w:p>
            <w:r/>
            <w:r>
              <w:rPr>
                <w:rFonts w:ascii="Arial" w:hAnsi="Arial"/>
                <w:b/>
                <w:color w:val="1A2E3B"/>
                <w:sz w:val="19"/>
              </w:rPr>
              <w:t>Représentants dans Cannabis sativa</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Hémiterpènes</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C₅H₈</w:t>
            </w:r>
          </w:p>
        </w:tc>
        <w:tc>
          <w:tcPr>
            <w:tcW w:type="dxa" w:w="68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w:t>
            </w:r>
          </w:p>
        </w:tc>
        <w:tc>
          <w:tcPr>
            <w:tcW w:type="dxa" w:w="4706"/>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Isoprène (produit de dégradation thermique des terpènes supérieurs)</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Monoterpènes (acycliques)</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C₁₀H₁₆</w:t>
            </w:r>
          </w:p>
        </w:tc>
        <w:tc>
          <w:tcPr>
            <w:tcW w:type="dxa" w:w="68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w:t>
            </w:r>
          </w:p>
        </w:tc>
        <w:tc>
          <w:tcPr>
            <w:tcW w:type="dxa" w:w="4706"/>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Myrcène, Ocimène, Linalol, Géraniol, Citronellol</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Monoterpènes (monocycliques)</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C₁₀H₁₆</w:t>
            </w:r>
          </w:p>
        </w:tc>
        <w:tc>
          <w:tcPr>
            <w:tcW w:type="dxa" w:w="68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2</w:t>
            </w:r>
          </w:p>
        </w:tc>
        <w:tc>
          <w:tcPr>
            <w:tcW w:type="dxa" w:w="4706"/>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Limonène, Terpinolène, α-Terpinéol, α-Phellandréne, p-Cymène</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Monoterpènes (bicycliques)</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C₁₀H₁₆</w:t>
            </w:r>
          </w:p>
        </w:tc>
        <w:tc>
          <w:tcPr>
            <w:tcW w:type="dxa" w:w="68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w:t>
            </w:r>
          </w:p>
        </w:tc>
        <w:tc>
          <w:tcPr>
            <w:tcW w:type="dxa" w:w="4706"/>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α-Pinène, β-Pinène, Δ³-Carène, Sabinène, Camphène, Fenchol, Bornéol, Eucalyptol</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Sesquiterpènes</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C₁₅H₂₄</w:t>
            </w:r>
          </w:p>
        </w:tc>
        <w:tc>
          <w:tcPr>
            <w:tcW w:type="dxa" w:w="68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w:t>
            </w:r>
          </w:p>
        </w:tc>
        <w:tc>
          <w:tcPr>
            <w:tcW w:type="dxa" w:w="4706"/>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β-Caryophyllène, α-Humulène, Nerolidol, α-Bisabolol, Valencène, Guaiol, β-Farnésène, Cedrène, δ-Cadinène</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Diterpènes</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C₂₀H₃₂</w:t>
            </w:r>
          </w:p>
        </w:tc>
        <w:tc>
          <w:tcPr>
            <w:tcW w:type="dxa" w:w="68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4</w:t>
            </w:r>
          </w:p>
        </w:tc>
        <w:tc>
          <w:tcPr>
            <w:tcW w:type="dxa" w:w="4706"/>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Phytol (libéré par dégradation chlorophyllienne)</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Triterpènes</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C₃₀H₄₈</w:t>
            </w:r>
          </w:p>
        </w:tc>
        <w:tc>
          <w:tcPr>
            <w:tcW w:type="dxa" w:w="68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6</w:t>
            </w:r>
          </w:p>
        </w:tc>
        <w:tc>
          <w:tcPr>
            <w:tcW w:type="dxa" w:w="4706"/>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Friedeline, Epifriedelanol (traces, principalement dans les racines)</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Tétraterpènes</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C₄₀H₆₄</w:t>
            </w:r>
          </w:p>
        </w:tc>
        <w:tc>
          <w:tcPr>
            <w:tcW w:type="dxa" w:w="68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8</w:t>
            </w:r>
          </w:p>
        </w:tc>
        <w:tc>
          <w:tcPr>
            <w:tcW w:type="dxa" w:w="4706"/>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β-Carotène, lutéine (précurseurs vitamine A)</w:t>
            </w:r>
          </w:p>
        </w:tc>
      </w:tr>
    </w:tbl>
    <w:p>
      <w:pPr>
        <w:spacing w:before="0" w:after="80"/>
      </w:pPr>
    </w:p>
    <w:p>
      <w:pPr>
        <w:spacing w:before="60" w:after="240"/>
        <w:jc w:val="center"/>
      </w:pPr>
      <w:r>
        <w:rPr>
          <w:rFonts w:ascii="Arial" w:hAnsi="Arial"/>
          <w:i/>
          <w:color w:val="5A5A5A"/>
          <w:sz w:val="18"/>
        </w:rPr>
        <w:t>Tableau 3.1 — Classification biochimique des terpènes identifiés dans Cannabis sativa selon leur nombre d'unités isopréniques.</w:t>
      </w:r>
    </w:p>
    <w:p>
      <w:pPr>
        <w:pStyle w:val="Heading2"/>
      </w:pPr>
      <w:r>
        <w:t>3.3  Fiches détaillées des principaux terpènes</w:t>
      </w:r>
    </w:p>
    <w:p>
      <w:pPr>
        <w:pStyle w:val="Heading3"/>
      </w:pPr>
      <w:r>
        <w:t>3.3.1  Myrcène (β-myrcène)</w:t>
      </w:r>
    </w:p>
    <w:p>
      <w:pPr>
        <w:spacing w:before="80" w:after="120" w:line="324" w:lineRule="auto"/>
        <w:jc w:val="both"/>
      </w:pPr>
      <w:r>
        <w:rPr>
          <w:rFonts w:ascii="Garamond" w:hAnsi="Garamond"/>
          <w:sz w:val="22"/>
        </w:rPr>
        <w:t>Le β-myrcène (C₁₀H₁₆, MW = 136,23 g/mol, CAS 123-35-3) est un monoterpène acyclique dont Cannabis sativa contient des concentrations particulièrement élevées — jusqu'à 65 % du profil terpénique total dans les chémotypes "indica" (Hazekamp et al., 2016, Cannabis and Cannabinoid Research 1: 202–215). Il est également l'un des terpènes majoritaires du houblon (Humulus lupulus, 30–60 %), de la mangue (Mangifera indica), de la citronnelle (Cymbopogon citratus) et du laurier (Laurus nobilis). Son arôme caractéristique combine notes terreuses, musquées, fruitées légèrement épicées (clou de girofle).</w:t>
      </w:r>
    </w:p>
    <w:p>
      <w:pPr>
        <w:spacing w:before="80" w:after="120" w:line="324" w:lineRule="auto"/>
        <w:jc w:val="both"/>
      </w:pPr>
      <w:r>
        <w:rPr>
          <w:rFonts w:ascii="Garamond" w:hAnsi="Garamond"/>
          <w:sz w:val="22"/>
        </w:rPr>
        <w:t>Pharmacologiquement, le myrcène présente plusieurs propriétés bien documentées. (1) Effet sédatif et myorelaxant : do Vale et al. (2002, Phytomedicine 9: 709–714) ont démontré chez la souris des effets sédatifs à 200 mg/kg comparables au diazépam, par modulation des récepteurs GABA-A. (2) Effet anti-inflammatoire : Rufino et al. (2015, Eur. J. Pharmacol. 750: 141–150) ont montré une inhibition de l'IL-1β, TNF-α et NF-κB dans des chondrocytes humains. (3) Activité antinociceptive : Rao et al. (1990, J. Pharm. Pharmacol. 42: 877–878) ont documenté une analgésie périphérique chez la souris, partiellement bloquée par la naloxone, suggérant une composante opioïdergique. (4) Propriété particulièrement pertinente pour la pharmacologie cannabique : à des concentrations supérieures à 0,5 % du profil terpénique total, le myrcène faciliterait la perméabilité de la barrière hémato-encéphalique (BHE), augmentant la biodisponibilité cérébrale du THC et d'autres cannabinoïdes (Russo, 2011, Br. J. Pharmacol. 163: 1344–1364)</w:t>
      </w:r>
      <w:r>
        <w:rPr>
          <w:b/>
          <w:color w:val="2E6B8A"/>
          <w:sz w:val="18"/>
          <w:vertAlign w:val="superscript"/>
        </w:rPr>
        <w:t>[4]</w:t>
      </w:r>
      <w:r>
        <w:rPr>
          <w:rFonts w:ascii="Garamond" w:hAnsi="Garamond"/>
          <w:sz w:val="22"/>
        </w:rPr>
        <w:t>. Ce mécanisme implique une modulation des jonctions serrées endothéliales (claudines, occludines), bien que la quantification clinique de cet effet chez l'homme reste à établir formellement.</w:t>
      </w:r>
    </w:p>
    <w:p>
      <w:pPr>
        <w:spacing w:before="80" w:after="120" w:line="324" w:lineRule="auto"/>
        <w:jc w:val="both"/>
      </w:pPr>
      <w:r>
        <w:rPr>
          <w:rFonts w:ascii="Garamond" w:hAnsi="Garamond"/>
          <w:b w:val="0"/>
          <w:i w:val="0"/>
          <w:sz w:val="22"/>
        </w:rPr>
        <w:t>Point d'ébullition : 167°C. Température de vaporisation optimale (libération sans pyrolyse) : 166°C. LogP = 4,17. Le myrcène est instable thermiquement au-delà de 200°C avec production de limonène et de p-cymène par isomérisation.</w:t>
      </w:r>
    </w:p>
    <w:p>
      <w:pPr>
        <w:pStyle w:val="Heading3"/>
      </w:pPr>
      <w:r>
        <w:t>3.3.2  Limonène (D-limonène)</w:t>
      </w:r>
    </w:p>
    <w:p>
      <w:pPr>
        <w:spacing w:before="80" w:after="120" w:line="324" w:lineRule="auto"/>
        <w:jc w:val="both"/>
      </w:pPr>
      <w:r>
        <w:rPr>
          <w:rFonts w:ascii="Garamond" w:hAnsi="Garamond"/>
          <w:sz w:val="22"/>
        </w:rPr>
        <w:t>Le (R)-(+)-limonène (C₁₀H₁₆, MW = 136,23 g/mol, CAS 5989-27-5) est un monoterpène monocyclique présent dans le cannabis à des concentrations généralement de 1 à 16 % du profil terpénique (Hillig, 2004, Biochem. Syst. Ecol. 32: 875–891), avec des cultivars d'exception (Super Lemon Haze, Lemon Skunk) dépassant 20 %. Il est l'aromate dominant des huiles essentielles de zestes d'agrumes (70–90 % dans l'orange douce). Arôme : citronné, frais, vivifiant.</w:t>
      </w:r>
    </w:p>
    <w:p>
      <w:pPr>
        <w:spacing w:before="80" w:after="120" w:line="324" w:lineRule="auto"/>
        <w:jc w:val="both"/>
      </w:pPr>
      <w:r>
        <w:rPr>
          <w:rFonts w:ascii="Garamond" w:hAnsi="Garamond"/>
          <w:sz w:val="22"/>
        </w:rPr>
        <w:t>Propriétés pharmacologiques documentées : (1) Anxiolytique : Lima et al. (2013, J. Pharm. Pharmacol. 65: 280–285) ont démontré chez la souris des effets anxiolytiques significatifs (test du labyrinthe en croix surélevé, test du champ ouvert) à 30 mg/kg, via modulation 5-HT₁A et inhibition partielle GABAergique. (2) Antidépresseur : Komiya et al. (2006, Behav. Brain Res. 172: 240–249) ont rapporté chez la souris un effet antidépresseur (test de nage forcée) comparable à la fluoxétine, par modulation sérotoninergique. (3) Antiprolifératif : Crowell (1999, J. Nutr. 129: 775S–778S) a synthétisé les données in vitro montrant une activité antiproliférative sur lignées tumorales pancréatiques, mammaires et hépatiques, avec inhibition de la voie isoprénoïde de prénylation des oncoprotéines Ras. (4) Activité antifongique contre Candida albicans (Aggarwal et al., 2002, Int. J. Antimicrob. Agents 19: 245–246).</w:t>
      </w:r>
    </w:p>
    <w:p>
      <w:pPr>
        <w:spacing w:before="80" w:after="120" w:line="324" w:lineRule="auto"/>
        <w:jc w:val="both"/>
      </w:pPr>
      <w:r>
        <w:rPr>
          <w:rFonts w:ascii="Garamond" w:hAnsi="Garamond"/>
          <w:b w:val="0"/>
          <w:i w:val="0"/>
          <w:sz w:val="22"/>
        </w:rPr>
        <w:t>Statut réglementaire : le D-limonène est classé GRAS (Generally Recognized As Safe) par la FDA (21 CFR 182.60), avec une DJA (Dose Journalière Admissible) établie par le JECFA (Joint FAO/WHO Expert Committee on Food Additives) à 0–1,5 mg/kg de poids corporel. Point d'ébullition : 176°C. Température de vaporisation optimale : 176°C. LogP = 4,57.</w:t>
      </w:r>
    </w:p>
    <w:p>
      <w:pPr>
        <w:pStyle w:val="Heading3"/>
      </w:pPr>
      <w:r>
        <w:t>3.3.3  β-Caryophyllène (BCP)</w:t>
      </w:r>
    </w:p>
    <w:p>
      <w:pPr>
        <w:spacing w:before="80" w:after="120" w:line="324" w:lineRule="auto"/>
        <w:jc w:val="both"/>
      </w:pPr>
      <w:r>
        <w:rPr>
          <w:rFonts w:ascii="Garamond" w:hAnsi="Garamond"/>
          <w:sz w:val="22"/>
        </w:rPr>
        <w:t>Le (-)-β-caryophyllène (C₁₅H₂₄, MW = 204,35 g/mol, CAS 87-44-5) est un sesquiterpène bicyclique structurellement unique : il est le seul terpène naturel connu à contenir un cycle cyclobutane (cycle à 4 atomes de carbone) fusionné à un cycle à 9 atomes. Il est présent dans le poivre noir (Piper nigrum, jusqu'à 35 % de l'huile essentielle), le clou de girofle (Syzygium aromaticum), le houblon, le romarin et de nombreuses plantes médicinales. Dans le cannabis, il représente typiquement 2 à 22 % du profil terpénique. Arôme : poivré, épicé, boisé, légèrement tabac.</w:t>
      </w:r>
    </w:p>
    <w:p>
      <w:pPr>
        <w:spacing w:before="80" w:after="120" w:line="324" w:lineRule="auto"/>
        <w:jc w:val="both"/>
      </w:pPr>
      <w:r>
        <w:rPr>
          <w:rFonts w:ascii="Garamond" w:hAnsi="Garamond"/>
          <w:sz w:val="22"/>
        </w:rPr>
        <w:t>Sa caractéristique pharmacologique fondamentale a été établie par Gertsch et al. (2008, PNAS 105: 9099–9104)</w:t>
      </w:r>
      <w:r>
        <w:rPr>
          <w:b/>
          <w:color w:val="2E6B8A"/>
          <w:sz w:val="18"/>
          <w:vertAlign w:val="superscript"/>
        </w:rPr>
        <w:t>[5]</w:t>
      </w:r>
      <w:r>
        <w:rPr>
          <w:rFonts w:ascii="Garamond" w:hAnsi="Garamond"/>
          <w:sz w:val="22"/>
        </w:rPr>
        <w:t xml:space="preserve"> : le β-caryophyllène est le premier composé non-cannabinoïde naturel identifié comme ligand fonctionnel d'un récepteur cannabinoïde. Il est agoniste sélectif du récepteur CB2 (Ki = 155 ± 50 nM) sans activation significative du récepteur CB1 (Ki &gt; 10 000 nM), conférant des effets anti-inflammatoires puissants sans psychoactivité. Cette propriété lui vaut la désignation de "cannabinoïde alimentaire" (dietary cannabinoid). Sur le plan thérapeutique, l'activation sélective de CB2 par le BCP a été démontrée dans plusieurs modèles : neuropathie diabétique (Klauke et al., 2014, Eur. Neuropsychopharmacol. 24: 608–620), colite expérimentale (Bento et al., 2011, Am. J. Pathol. 178: 1153–1166), encéphalomyélite auto-immune expérimentale (Alberti et al., 2017, J. Neuroimmunol. 304: 8–17).</w:t>
      </w:r>
    </w:p>
    <w:p>
      <w:pPr>
        <w:spacing w:before="80" w:after="120" w:line="324" w:lineRule="auto"/>
        <w:jc w:val="both"/>
      </w:pPr>
      <w:r>
        <w:rPr>
          <w:rFonts w:ascii="Garamond" w:hAnsi="Garamond"/>
          <w:b w:val="0"/>
          <w:i w:val="0"/>
          <w:sz w:val="22"/>
        </w:rPr>
        <w:t>Statut FDA GRAS. Présent dans plus de 90 produits alimentaires courants (arômes naturels). Point d'ébullition : 262–264°C. Température de vaporisation optimale : 130°C (l'un des terpènes du cannabis libérables aux plus basses températures, ce qui en fait un marqueur de vaporisation à basse température). LogP = 6,3.</w:t>
      </w:r>
    </w:p>
    <w:p>
      <w:pPr>
        <w:pStyle w:val="Heading3"/>
      </w:pPr>
      <w:r>
        <w:t>3.3.4  α-Pinène</w:t>
      </w:r>
    </w:p>
    <w:p>
      <w:pPr>
        <w:spacing w:before="80" w:after="120" w:line="324" w:lineRule="auto"/>
        <w:jc w:val="both"/>
      </w:pPr>
      <w:r>
        <w:rPr>
          <w:rFonts w:ascii="Garamond" w:hAnsi="Garamond"/>
          <w:sz w:val="22"/>
        </w:rPr>
        <w:t>L'α-pinène (C₁₀H₁₆, MW = 136,23 g/mol, CAS 80-56-8) est un monoterpène bicyclique réputé être le composé organique volatil le plus abondant de la biosphère, produit massivement par les forêts de conifères. Dans le cannabis, il est présent à des concentrations modérées (typiquement 1 à 8 % du profil terpénique). Arôme : frais, pin, bois.</w:t>
      </w:r>
    </w:p>
    <w:p>
      <w:pPr>
        <w:spacing w:before="80" w:after="120" w:line="324" w:lineRule="auto"/>
        <w:jc w:val="both"/>
      </w:pPr>
      <w:r>
        <w:rPr>
          <w:rFonts w:ascii="Garamond" w:hAnsi="Garamond"/>
          <w:sz w:val="22"/>
        </w:rPr>
        <w:t>Propriétés pharmacologiques documentées : (1) Inhibition de l'acétylcholinestérase (AChE) : Miyazawa et al. (2005, J. Agric. Food Chem. 53: 2826–2829) ont mesuré une IC₅₀ = 7,5 µM, comparable à celle du rivastigmine (médicament anti-Alzheimer). Cette inhibition augmente les niveaux d'acétylcholine synaptique et pourrait contrebalancer les effets amnésiques du THC, qui inhibe la libération d'acétylcholine hippocampique (Russo, 2011)</w:t>
      </w:r>
      <w:r>
        <w:rPr>
          <w:b/>
          <w:color w:val="2E6B8A"/>
          <w:sz w:val="18"/>
          <w:vertAlign w:val="superscript"/>
        </w:rPr>
        <w:t>[4]</w:t>
      </w:r>
      <w:r>
        <w:rPr>
          <w:rFonts w:ascii="Garamond" w:hAnsi="Garamond"/>
          <w:sz w:val="22"/>
        </w:rPr>
        <w:t>. (2) Bronchodilatateur : Falk et al. (1990, Scand. J. Work Environ. Health 16: 372–378) ont documenté chez l'humain une augmentation du VEMS de 18 % après inhalation d'α-pinène, supportant son intérêt dans l'asthme et la BPCO. (3) Anti-inflammatoire et antibactérien : Salehi et al. (2019, Biomolecules 9: 738) ont synthétisé les données démontrant une inhibition de la NF-κB et une activité contre Staphylococcus aureus (CMI = 16 µg/mL) et Escherichia coli.</w:t>
      </w:r>
    </w:p>
    <w:p>
      <w:pPr>
        <w:spacing w:before="80" w:after="120" w:line="324" w:lineRule="auto"/>
        <w:jc w:val="both"/>
      </w:pPr>
      <w:r>
        <w:rPr>
          <w:rFonts w:ascii="Garamond" w:hAnsi="Garamond"/>
          <w:b w:val="0"/>
          <w:i w:val="0"/>
          <w:sz w:val="22"/>
        </w:rPr>
        <w:t>Deux énantiomères naturels coexistent : (+)-α-pinène (majoritaire dans les pins) et (-)-α-pinène (majoritaire dans certaines conifères). Point d'ébullition : 155°C. LogP = 4,8.</w:t>
      </w:r>
    </w:p>
    <w:p>
      <w:pPr>
        <w:pStyle w:val="Heading3"/>
      </w:pPr>
      <w:r>
        <w:t>3.3.5  Linalol</w:t>
      </w:r>
    </w:p>
    <w:p>
      <w:pPr>
        <w:spacing w:before="80" w:after="120" w:line="324" w:lineRule="auto"/>
        <w:jc w:val="both"/>
      </w:pPr>
      <w:r>
        <w:rPr>
          <w:rFonts w:ascii="Garamond" w:hAnsi="Garamond"/>
          <w:sz w:val="22"/>
        </w:rPr>
        <w:t>Le linalol (C₁₀H₁₈O, MW = 154,25 g/mol, CAS 78-70-6) est un alcool monoterpénique acyclique, principal composé aromatique de la lavande (Lavandula angustifolia, 30–45 % de l'huile essentielle), du bois de rose (Aniba rosaeodora) et de nombreuses fleurs. Dans le cannabis, il représente typiquement 0,5 à 8 % du profil terpénique. Arôme : floral, doux, lavande, légèrement épicé.</w:t>
      </w:r>
    </w:p>
    <w:p>
      <w:pPr>
        <w:spacing w:before="80" w:after="120" w:line="324" w:lineRule="auto"/>
        <w:jc w:val="both"/>
      </w:pPr>
      <w:r>
        <w:rPr>
          <w:rFonts w:ascii="Garamond" w:hAnsi="Garamond"/>
          <w:sz w:val="22"/>
        </w:rPr>
        <w:t>Propriétés pharmacologiques très largement documentées : (1) Anxiolytique et sédatif : Linck et al. (2010, Phytomedicine 17: 679–683) ont démontré chez la souris des effets anxiolytiques (test du labyrinthe surélevé, test du champ ouvert) à 100 mg/kg par voie intrapéritonéale. L'inhalation passive de linalol aérosolisé (1 % v/v) produit des effets comparables au diazépam sans altération de la coordination motrice — Harada et al. (2018, Frontiers in Behavioral Neuroscience 12: 241) ont identifié le mécanisme via le système olfactif et la modulation des récepteurs GABA-A, distincte de l'action systémique des benzodiazépines. (2) Anticonvulsivant : Brum et al. (2001, J. Nat. Prod. 64: 873–877) ont montré une protection contre les crises convulsives induites par le pentylènetétrazole à 200 mg/kg par voie orale. (3) Analgésique : Peana et al. (2002, Planta Medica 68: 1059–1063) ont documenté une activité antinociceptive par modulation des récepteurs opioïdes et muscariniques.</w:t>
      </w:r>
    </w:p>
    <w:p>
      <w:pPr>
        <w:spacing w:before="80" w:after="120" w:line="324" w:lineRule="auto"/>
        <w:jc w:val="both"/>
      </w:pPr>
      <w:r>
        <w:rPr>
          <w:rFonts w:ascii="Garamond" w:hAnsi="Garamond"/>
          <w:b w:val="0"/>
          <w:i w:val="0"/>
          <w:sz w:val="22"/>
        </w:rPr>
        <w:t>Point d'ébullition : 198°C. Température de vaporisation optimale : 198°C. LogP = 2,97. Le linalol présente une stabilité thermique modérée, avec isomérisation en géraniol et nérol au-delà de 230°C.</w:t>
      </w:r>
    </w:p>
    <w:p>
      <w:pPr>
        <w:pStyle w:val="Heading3"/>
      </w:pPr>
      <w:r>
        <w:t>3.3.6  Humulène (α-caryophyllène)</w:t>
      </w:r>
    </w:p>
    <w:p>
      <w:pPr>
        <w:spacing w:before="80" w:after="120" w:line="324" w:lineRule="auto"/>
        <w:jc w:val="both"/>
      </w:pPr>
      <w:r>
        <w:rPr>
          <w:rFonts w:ascii="Garamond" w:hAnsi="Garamond"/>
          <w:sz w:val="22"/>
        </w:rPr>
        <w:t>L'α-humulène (C₁₅H₂₄, MW = 204,35 g/mol, CAS 6753-98-6) est un sesquiterpène monocyclique, isomère structural du β-caryophyllène mais à cycle ouvert (11 atomes de carbone). Composé aromatique majeur du houblon ("humulus" = nom latin), il est également présent dans le ginseng (Panax ginseng), le clou de girofle, le gingembre (Zingiber officinale) et la sauge. Dans le cannabis, il représente typiquement 1 à 5 % du profil terpénique. Arôme : terreux, boisé, légèrement épicé, houblon.</w:t>
      </w:r>
    </w:p>
    <w:p>
      <w:pPr>
        <w:spacing w:before="80" w:after="120" w:line="324" w:lineRule="auto"/>
        <w:jc w:val="both"/>
      </w:pPr>
      <w:r>
        <w:rPr>
          <w:rFonts w:ascii="Garamond" w:hAnsi="Garamond"/>
          <w:sz w:val="22"/>
        </w:rPr>
        <w:t>Propriétés pharmacologiques : (1) Anti-inflammatoire : Fernandes et al. (2007, Eur. J. Pharmacol. 569: 228–236) ont démontré chez le rat une inhibition significative de l'œdème induit par la carraghénane à 50 mg/kg par voie orale, avec une réduction des taux de TNF-α et PGE₂ comparable à la dexaméthasone. (2) Anorexigène : Sharma et al. (2016, Int. J. Pharmacogn. 3: 132–139) ont rapporté une suppression de l'appétit chez le rongeur à 50 mg/kg. (3) Antitumoral : Legault &amp; Pichette (2007, J. Pharm. Pharmacol. 59: 1643–1647) ont démontré une synergie avec le β-caryophyllène sur lignées cellulaires de cancer du sein MCF-7. (4) Antibactérien contre Staphylococcus aureus et Bacillus subtilis (Pichette et al., 2006, Phytother. Res. 20: 371–373).</w:t>
      </w:r>
    </w:p>
    <w:p>
      <w:pPr>
        <w:spacing w:before="80" w:after="120" w:line="324" w:lineRule="auto"/>
        <w:jc w:val="both"/>
      </w:pPr>
      <w:r>
        <w:rPr>
          <w:rFonts w:ascii="Garamond" w:hAnsi="Garamond"/>
          <w:b w:val="0"/>
          <w:i w:val="0"/>
          <w:sz w:val="22"/>
        </w:rPr>
        <w:t>Point d'ébullition : 167°C. Température de vaporisation : 106–198°C selon la pression (point d'éclair particulièrement bas, libérable dès 106°C en vaporisation douce, ce qui en fait l'un des premiers terpènes libérés lors de l'inhalation à basse température). LogP = 6,1.</w:t>
      </w:r>
    </w:p>
    <w:p>
      <w:pPr>
        <w:pStyle w:val="Heading3"/>
      </w:pPr>
      <w:r>
        <w:t>3.3.7  Terpinolène</w:t>
      </w:r>
    </w:p>
    <w:p>
      <w:pPr>
        <w:spacing w:before="80" w:after="120" w:line="324" w:lineRule="auto"/>
        <w:jc w:val="both"/>
      </w:pPr>
      <w:r>
        <w:rPr>
          <w:rFonts w:ascii="Garamond" w:hAnsi="Garamond"/>
          <w:sz w:val="22"/>
        </w:rPr>
        <w:t>Le terpinolène (C₁₀H₁₆, MW = 136,23 g/mol, CAS 586-62-9) est un monoterpène monocyclique présent dans le tea tree (Melaleuca alternifolia), le sapin, le cumin (Cuminum cyminum), la marjolaine (Origanum majorana) et certains chémotypes sativa du cannabis (jusqu'à 40 % chez Jack Herer, Dutch Treat, et XJ-13). Arôme : frais, légèrement sucré, herbacé, floral, résineux et citrique.</w:t>
      </w:r>
    </w:p>
    <w:p>
      <w:pPr>
        <w:spacing w:before="80" w:after="120" w:line="324" w:lineRule="auto"/>
        <w:jc w:val="both"/>
      </w:pPr>
      <w:r>
        <w:rPr>
          <w:rFonts w:ascii="Garamond" w:hAnsi="Garamond"/>
          <w:sz w:val="22"/>
        </w:rPr>
        <w:t>Propriétés documentées : (1) Sédatif modéré : Ito &amp; Ito (2013, J. Nat. Med. 67: 833–837) ont rapporté chez la souris une réduction de l'activité locomotrice après inhalation. (2) Antioxydant puissant : Aydin et al. (2013, Bioscience Reports 33: e00041) ont mesuré une activité de piégeage des radicaux DPPH avec EC₅₀ = 23 µg/mL, équivalente au BHT (butylhydroxytoluène, antioxydant standard). Inhibition de l'oxydation des LDL avec implications cardio-protectrices potentielles. (3) Antibactérien et antifongique : Kim et al. (2008, Antimicrob. Agents Chemother. 52: 1859–1864) ont documenté une CMI contre Escherichia coli O157:H7 de 250 µg/mL. (4) Antinociceptif (Macedo et al., 2016, Naunyn Schmiedebergs Arch. Pharmacol. 389: 1241–1251).</w:t>
      </w:r>
    </w:p>
    <w:p>
      <w:pPr>
        <w:spacing w:before="80" w:after="120" w:line="324" w:lineRule="auto"/>
        <w:jc w:val="both"/>
      </w:pPr>
      <w:r>
        <w:rPr>
          <w:rFonts w:ascii="Garamond" w:hAnsi="Garamond"/>
          <w:b w:val="0"/>
          <w:i w:val="0"/>
          <w:sz w:val="22"/>
        </w:rPr>
        <w:t>Point d'ébullition : 183–185°C. LogP = 4,5.</w:t>
      </w:r>
    </w:p>
    <w:p>
      <w:pPr>
        <w:pStyle w:val="Heading3"/>
      </w:pPr>
      <w:r>
        <w:t>3.3.8  β-Ocimène</w:t>
      </w:r>
    </w:p>
    <w:p>
      <w:pPr>
        <w:spacing w:before="80" w:after="120" w:line="324" w:lineRule="auto"/>
        <w:jc w:val="both"/>
      </w:pPr>
      <w:r>
        <w:rPr>
          <w:rFonts w:ascii="Garamond" w:hAnsi="Garamond"/>
          <w:b w:val="0"/>
          <w:i w:val="0"/>
          <w:sz w:val="22"/>
        </w:rPr>
        <w:t>Le β-ocimène (C₁₀H₁₆, MW = 136,23 g/mol, CAS 13877-91-3) est un monoterpène acyclique très volatil (point d'ébullition seulement 50°C) caractérisant les fleurs jeunes. Présent dans la lavande, la menthe, le basilic, l'orchidée. Arôme doux, herbacé, floral, légèrement sucré. Propriétés antifongiques notamment contre Aspergillus spp. — pathogène opportuniste majeur dans les cultures de cannabis (Sampaio et al., 2016, Industrial Crops and Products 90: 73–80). Activité antivirale documentée en matrices d'huiles essentielles complexes contre les virus respiratoires (rhinovirus, virus de la grippe), bien que l'attribution à l'ocimène seul reste difficile à dissocier d'effets synergiques (Astani et al., 2010, Phytother. Res. 24: 673–679).</w:t>
      </w:r>
    </w:p>
    <w:p>
      <w:pPr>
        <w:pStyle w:val="Heading3"/>
      </w:pPr>
      <w:r>
        <w:t>3.3.9  Δ³-Carène (3-carène)</w:t>
      </w:r>
    </w:p>
    <w:p>
      <w:pPr>
        <w:spacing w:before="80" w:after="120" w:line="324" w:lineRule="auto"/>
        <w:jc w:val="both"/>
      </w:pPr>
      <w:r>
        <w:rPr>
          <w:rFonts w:ascii="Garamond" w:hAnsi="Garamond"/>
          <w:b w:val="0"/>
          <w:i w:val="0"/>
          <w:sz w:val="22"/>
        </w:rPr>
        <w:t>Le Δ³-carène (C₁₀H₁₆, MW = 136,23 g/mol, CAS 13466-78-9) est un monoterpène bicyclique présent dans le pin sylvestre (Pinus sylvestris), le cyprès, le romarin, le basilic. Dans le cannabis, concentrations généralement faibles (&lt; 2 % du profil). Arôme doucement sucré, terreux, résineux. Propriétés : inhibiteur de l'AChE (Orhan et al., 2008, Phytother. Res. 22: 226–229), expectorant (facilitation de la clairance mucociliaire bronchique), antibactérien, antioxydant, sédatif modulant le récepteur GABA-A. Aux fortes doses, le Δ³-carène est associé à la sécheresse des yeux et des muqueuses (xérophtalmie) parfois rapportée lors de la consommation de cannabis (Banzubaze et al., 2017, Frontiers in Plant Science 8: 19).</w:t>
      </w:r>
    </w:p>
    <w:p>
      <w:pPr>
        <w:pStyle w:val="Heading3"/>
      </w:pPr>
      <w:r>
        <w:t>3.3.10  Fenchol</w:t>
      </w:r>
    </w:p>
    <w:p>
      <w:pPr>
        <w:spacing w:before="80" w:after="120" w:line="324" w:lineRule="auto"/>
        <w:jc w:val="both"/>
      </w:pPr>
      <w:r>
        <w:rPr>
          <w:rFonts w:ascii="Garamond" w:hAnsi="Garamond"/>
          <w:b w:val="0"/>
          <w:i w:val="0"/>
          <w:sz w:val="22"/>
        </w:rPr>
        <w:t>Le fenchol (C₁₀H₁₈O, MW = 154,25 g/mol, CAS 1632-73-1) est un alcool monoterpénique bicyclique présent dans le basilic doux (Ocimum basilicum), le fenouil (Foeniculum vulgare), la muscade (Myristica fragrans). Arôme frais, citronné, herbacé, légèrement camphré. Activité antibactérienne documentée contre Staphylococcus aureus (CMI 0,5 mg/mL) et Escherichia coli (Bona et al., 2016, Industrial Crops and Products 89: 50–58), et activité antioxydante significative (Manjima et al., 2019, J. Food Biochem. 43: e12842). Des données émergentes (Reekie et al., 2019, Cell Press 24: 102726) suggèrent une activité inhibitrice de la voie GPR55 — récepteur orphelin parfois désigné CB3 — ouvrant des perspectives dans les pathologies métaboliques et inflammatoires.</w:t>
      </w:r>
    </w:p>
    <w:p>
      <w:pPr>
        <w:pStyle w:val="Heading2"/>
      </w:pPr>
      <w:r>
        <w:t>3.4  Synthèse comparative des terpènes majeurs</w:t>
      </w:r>
    </w:p>
    <w:tbl>
      <w:tblPr>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c>
          <w:tcPr>
            <w:tcW w:type="dxa" w:w="1417"/>
            <w:tcBorders>
              <w:top w:val="nil"/>
              <w:left w:val="nil"/>
              <w:bottom w:val="single" w:sz="8" w:color="2E6B8A"/>
              <w:right w:val="nil"/>
            </w:tcBorders>
            <w:shd w:fill="E8F4F0" w:val="clear" w:color="auto"/>
            <w:vAlign w:val="center"/>
          </w:tcPr>
          <w:p>
            <w:r/>
            <w:r>
              <w:rPr>
                <w:rFonts w:ascii="Arial" w:hAnsi="Arial"/>
                <w:b/>
                <w:color w:val="1A2E3B"/>
                <w:sz w:val="19"/>
              </w:rPr>
              <w:t>Terpène</w:t>
            </w:r>
          </w:p>
        </w:tc>
        <w:tc>
          <w:tcPr>
            <w:tcW w:type="dxa" w:w="1417"/>
            <w:tcBorders>
              <w:top w:val="nil"/>
              <w:left w:val="nil"/>
              <w:bottom w:val="single" w:sz="8" w:color="2E6B8A"/>
              <w:right w:val="nil"/>
            </w:tcBorders>
            <w:shd w:fill="E8F4F0" w:val="clear" w:color="auto"/>
            <w:vAlign w:val="center"/>
          </w:tcPr>
          <w:p>
            <w:r/>
            <w:r>
              <w:rPr>
                <w:rFonts w:ascii="Arial" w:hAnsi="Arial"/>
                <w:b/>
                <w:color w:val="1A2E3B"/>
                <w:sz w:val="19"/>
              </w:rPr>
              <w:t>Classe</w:t>
            </w:r>
          </w:p>
        </w:tc>
        <w:tc>
          <w:tcPr>
            <w:tcW w:type="dxa" w:w="737"/>
            <w:tcBorders>
              <w:top w:val="nil"/>
              <w:left w:val="nil"/>
              <w:bottom w:val="single" w:sz="8" w:color="2E6B8A"/>
              <w:right w:val="nil"/>
            </w:tcBorders>
            <w:shd w:fill="E8F4F0" w:val="clear" w:color="auto"/>
            <w:vAlign w:val="center"/>
          </w:tcPr>
          <w:p>
            <w:r/>
            <w:r>
              <w:rPr>
                <w:rFonts w:ascii="Arial" w:hAnsi="Arial"/>
                <w:b/>
                <w:color w:val="1A2E3B"/>
                <w:sz w:val="19"/>
              </w:rPr>
              <w:t>T° vapo.</w:t>
            </w:r>
          </w:p>
        </w:tc>
        <w:tc>
          <w:tcPr>
            <w:tcW w:type="dxa" w:w="1134"/>
            <w:tcBorders>
              <w:top w:val="nil"/>
              <w:left w:val="nil"/>
              <w:bottom w:val="single" w:sz="8" w:color="2E6B8A"/>
              <w:right w:val="nil"/>
            </w:tcBorders>
            <w:shd w:fill="E8F4F0" w:val="clear" w:color="auto"/>
            <w:vAlign w:val="center"/>
          </w:tcPr>
          <w:p>
            <w:r/>
            <w:r>
              <w:rPr>
                <w:rFonts w:ascii="Arial" w:hAnsi="Arial"/>
                <w:b/>
                <w:color w:val="1A2E3B"/>
                <w:sz w:val="19"/>
              </w:rPr>
              <w:t>Arôme</w:t>
            </w:r>
          </w:p>
        </w:tc>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Propriétés clés</w:t>
            </w:r>
          </w:p>
        </w:tc>
        <w:tc>
          <w:tcPr>
            <w:tcW w:type="dxa" w:w="1304"/>
            <w:tcBorders>
              <w:top w:val="nil"/>
              <w:left w:val="nil"/>
              <w:bottom w:val="single" w:sz="8" w:color="2E6B8A"/>
              <w:right w:val="nil"/>
            </w:tcBorders>
            <w:shd w:fill="E8F4F0" w:val="clear" w:color="auto"/>
            <w:vAlign w:val="center"/>
          </w:tcPr>
          <w:p>
            <w:r/>
            <w:r>
              <w:rPr>
                <w:rFonts w:ascii="Arial" w:hAnsi="Arial"/>
                <w:b/>
                <w:color w:val="1A2E3B"/>
                <w:sz w:val="19"/>
              </w:rPr>
              <w:t>Mécanisme(s)</w:t>
            </w:r>
          </w:p>
        </w:tc>
        <w:tc>
          <w:tcPr>
            <w:tcW w:type="dxa" w:w="794"/>
            <w:tcBorders>
              <w:top w:val="nil"/>
              <w:left w:val="nil"/>
              <w:bottom w:val="single" w:sz="8" w:color="2E6B8A"/>
              <w:right w:val="nil"/>
            </w:tcBorders>
            <w:shd w:fill="E8F4F0" w:val="clear" w:color="auto"/>
            <w:vAlign w:val="center"/>
          </w:tcPr>
          <w:p>
            <w:r/>
            <w:r>
              <w:rPr>
                <w:rFonts w:ascii="Arial" w:hAnsi="Arial"/>
                <w:b/>
                <w:color w:val="1A2E3B"/>
                <w:sz w:val="19"/>
              </w:rPr>
              <w:t>Réf.</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Myrcène</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Mono. acyclique</w:t>
            </w:r>
          </w:p>
        </w:tc>
        <w:tc>
          <w:tcPr>
            <w:tcW w:type="dxa" w:w="73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166°C</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Terreux, musqué</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Sédatif, ↑ perméabilité BHE, anti-inflam.</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GABA-A, claudines</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do Vale 2002</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Limonène</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Mono. monocyclique</w:t>
            </w:r>
          </w:p>
        </w:tc>
        <w:tc>
          <w:tcPr>
            <w:tcW w:type="dxa" w:w="73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176°C</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Agrumes, frais</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Anxiolytique, antidépresseur, antiprolifér.</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5-HT₁A, GABA-A</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Lima 2013</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β-Caryophyllène</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Sesqui. bicyclique</w:t>
            </w:r>
          </w:p>
        </w:tc>
        <w:tc>
          <w:tcPr>
            <w:tcW w:type="dxa" w:w="73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130°C</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Poivré, épicé</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Agoniste sélectif CB2, anti-inflam. puissant</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CB2 Ki=155 nM</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Gertsch 2008</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α-Pinène</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Mono. bicyclique</w:t>
            </w:r>
          </w:p>
        </w:tc>
        <w:tc>
          <w:tcPr>
            <w:tcW w:type="dxa" w:w="73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155°C</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Pin, bois frais</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Inhibiteur AChE, bronchodilatateur</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AChE IC₅₀=7,5 µM</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Miyazawa 2005</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Linalol</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Mono. acyclique (-ol)</w:t>
            </w:r>
          </w:p>
        </w:tc>
        <w:tc>
          <w:tcPr>
            <w:tcW w:type="dxa" w:w="73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198°C</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Lavande, floral</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Anxiolytique, sédatif, anticonvulsivant</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GABA-A, Glu↓</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Linck 2010</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Humulène</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Sesqui. monocyclique</w:t>
            </w:r>
          </w:p>
        </w:tc>
        <w:tc>
          <w:tcPr>
            <w:tcW w:type="dxa" w:w="73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106°C</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Houblon, boisé</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Anti-inflam., anorexigène, antitumoral</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NF-κB, TNF-α↓</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Fernandes 2007</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Terpinolène</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Mono. monocyclique</w:t>
            </w:r>
          </w:p>
        </w:tc>
        <w:tc>
          <w:tcPr>
            <w:tcW w:type="dxa" w:w="73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184°C</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Frais, herbacé</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Sédatif modéré, antioxydant, antifongique</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Rad. libres, GABA</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Aydin 2013</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β-Ocimène</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Mono. acyclique</w:t>
            </w:r>
          </w:p>
        </w:tc>
        <w:tc>
          <w:tcPr>
            <w:tcW w:type="dxa" w:w="73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50°C</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Floral, sucré</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Antifongique, antiviral (matrices)</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Memb. fongique</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Sampaio 2016</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Δ³-Carène</w:t>
            </w:r>
          </w:p>
        </w:tc>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Mono. bicyclique</w:t>
            </w:r>
          </w:p>
        </w:tc>
        <w:tc>
          <w:tcPr>
            <w:tcW w:type="dxa" w:w="73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167°C</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Pin, terreux</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Inhibit. AChE, sédatif, expectorant</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AChE, GABA-A</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Orhan 2008</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Fenchol</w:t>
            </w:r>
          </w:p>
        </w:tc>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Mono. bicyclique (-ol)</w:t>
            </w:r>
          </w:p>
        </w:tc>
        <w:tc>
          <w:tcPr>
            <w:tcW w:type="dxa" w:w="73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193°C</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Citronné, camphre</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Antibactérien, antioxydant, GPR55</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Memb. bactérienne</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Bona 2016</w:t>
            </w:r>
          </w:p>
        </w:tc>
      </w:tr>
    </w:tbl>
    <w:p>
      <w:pPr>
        <w:spacing w:before="0" w:after="80"/>
      </w:pPr>
    </w:p>
    <w:p>
      <w:pPr>
        <w:spacing w:before="60" w:after="240"/>
        <w:jc w:val="center"/>
      </w:pPr>
      <w:r>
        <w:rPr>
          <w:rFonts w:ascii="Arial" w:hAnsi="Arial"/>
          <w:i/>
          <w:color w:val="5A5A5A"/>
          <w:sz w:val="18"/>
        </w:rPr>
        <w:t>Tableau 3.2 — Synthèse comparative des dix terpènes majeurs identifiés dans Cannabis sativa : classe biochimique, température de vaporisation, profil aromatique, propriétés pharmacologiques clés et mécanismes d'action.</w:t>
      </w:r>
    </w:p>
    <w:p>
      <w:pPr>
        <w:pStyle w:val="Heading1"/>
      </w:pPr>
      <w:r>
        <w:t>IV. PHYTOCHIMIE II — FLAVONOÏDES ET COMPOSÉS PHÉNOLIQUES</w:t>
      </w:r>
    </w:p>
    <w:p>
      <w:pPr>
        <w:pStyle w:val="Heading2"/>
      </w:pPr>
      <w:r>
        <w:t>4.1  Généralités et biosynthèse</w:t>
      </w:r>
    </w:p>
    <w:p>
      <w:pPr>
        <w:spacing w:before="80" w:after="120" w:line="324" w:lineRule="auto"/>
        <w:jc w:val="both"/>
      </w:pPr>
      <w:r>
        <w:rPr>
          <w:rFonts w:ascii="Garamond" w:hAnsi="Garamond"/>
          <w:sz w:val="22"/>
        </w:rPr>
        <w:t>Les flavonoïdes constituent une vaste famille de polyphénols végétaux comptant plus de 8000 structures distinctes identifiées (Buer et al., 2010, Plant Physiology 153: 384–395). Ils sont biosynthétisés via la voie shikimate-phénylalanine-malonyl-CoA, qui couple la voie shikimate (production des acides aminés aromatiques phénylalanine et tyrosine) à la voie polycétide. La phénylalanine ammoniac-lyase (PAL) catalyse la désamination de la phénylalanine en acide trans-cinnamique, point de départ de la voie phénylpropanoïde. Dans le cannabis, les flavonoïdes représentent typiquement 0,14 à 1,5 % du poids sec des sommités fleuries (Andre et al., 2016, Frontiers in Plant Science 7: 19)</w:t>
      </w:r>
      <w:r>
        <w:rPr>
          <w:b/>
          <w:color w:val="2E6B8A"/>
          <w:sz w:val="18"/>
          <w:vertAlign w:val="superscript"/>
        </w:rPr>
        <w:t>[17]</w:t>
      </w:r>
      <w:r>
        <w:rPr>
          <w:rFonts w:ascii="Garamond" w:hAnsi="Garamond"/>
          <w:sz w:val="22"/>
        </w:rPr>
        <w:t>, avec des variations significatives selon le génotype, l'âge de la plante et les conditions de culture (notamment l'exposition lumineuse, qui module l'expression des chalcone synthases).</w:t>
      </w:r>
    </w:p>
    <w:p>
      <w:pPr>
        <w:pStyle w:val="Heading2"/>
      </w:pPr>
      <w:r>
        <w:t>4.2  Flavonoïdes ubiquitaires du cannabis</w:t>
      </w:r>
    </w:p>
    <w:p>
      <w:pPr>
        <w:spacing w:before="80" w:after="120" w:line="324" w:lineRule="auto"/>
        <w:jc w:val="both"/>
      </w:pPr>
      <w:r>
        <w:rPr>
          <w:rFonts w:ascii="Garamond" w:hAnsi="Garamond"/>
          <w:b w:val="0"/>
          <w:i w:val="0"/>
          <w:sz w:val="22"/>
        </w:rPr>
        <w:t>Le cannabis contient plusieurs flavonoïdes communs à de nombreuses espèces végétales, dont les propriétés ont été largement caractérisées dans d'autres contextes botaniques :</w:t>
      </w:r>
    </w:p>
    <w:p>
      <w:pPr>
        <w:pStyle w:val="ListBullet"/>
        <w:spacing w:line="312" w:lineRule="auto" w:before="60" w:after="60"/>
      </w:pPr>
      <w:r>
        <w:rPr>
          <w:rFonts w:ascii="Garamond" w:hAnsi="Garamond"/>
          <w:sz w:val="22"/>
        </w:rPr>
        <w:t>Quercétine (3,3',4',5,7-pentahydroxyflavone) : flavonol ubiquitaire (oignons, pommes, baies, thé vert). Propriétés antioxydantes (constante de piégeage de l'anion superoxyde k = 4,7 × 10⁴ M⁻¹s⁻¹), anti-inflammatoires (inhibition de la NF-κB, COX-2 IC₅₀ = 4,5 µM), antivirales et potentiellement anticancéreuses in vitro. Inhibe la libération d'histamine par les mastocytes (activité antiallergique). Boots et al. (2008, Eur. J. Pharmacol. 585: 325–337) en synthétisent les données pharmacologiques humaines.</w:t>
      </w:r>
    </w:p>
    <w:p>
      <w:pPr>
        <w:pStyle w:val="ListBullet"/>
        <w:spacing w:line="312" w:lineRule="auto" w:before="60" w:after="60"/>
      </w:pPr>
      <w:r>
        <w:rPr>
          <w:rFonts w:ascii="Garamond" w:hAnsi="Garamond"/>
          <w:sz w:val="22"/>
        </w:rPr>
        <w:t>Lutéoline : flavone présente dans les légumes verts à feuilles, le persil, l'artichaut. Anti-inflammatoire par inhibition de COX-2 et LOX-5 (IC₅₀ = 0,5 à 5 µM). Activité neuroprotectrice via la voie Nrf2/HO-1 (López-Lázaro, 2009, Mini Rev. Med. Chem. 9: 31–59).</w:t>
      </w:r>
    </w:p>
    <w:p>
      <w:pPr>
        <w:pStyle w:val="ListBullet"/>
        <w:spacing w:line="312" w:lineRule="auto" w:before="60" w:after="60"/>
      </w:pPr>
      <w:r>
        <w:rPr>
          <w:rFonts w:ascii="Garamond" w:hAnsi="Garamond"/>
          <w:sz w:val="22"/>
        </w:rPr>
        <w:t>Apigénine : flavone du persil, de la camomille, du céleri. Anxiolytique via liaison sélective aux récepteurs benzodiazépiniques du GABA-A (Ki = 4 µM, sans effet sédatif aux doses anxiolytiques). Activité antiproliférative via inhibition de CK2 (Salehi et al., 2019, Molecules 24: 2425).</w:t>
      </w:r>
    </w:p>
    <w:p>
      <w:pPr>
        <w:pStyle w:val="ListBullet"/>
        <w:spacing w:line="312" w:lineRule="auto" w:before="60" w:after="60"/>
      </w:pPr>
      <w:r>
        <w:rPr>
          <w:rFonts w:ascii="Garamond" w:hAnsi="Garamond"/>
          <w:sz w:val="22"/>
        </w:rPr>
        <w:t>Kaempférol : flavonol présent dans le thé, les brocolis, les épinards. Activité antioxydante et anti-inflammatoire, inhibition modérée du CYP3A4.</w:t>
      </w:r>
    </w:p>
    <w:p>
      <w:pPr>
        <w:pStyle w:val="ListBullet"/>
        <w:spacing w:line="312" w:lineRule="auto" w:before="60" w:after="60"/>
      </w:pPr>
      <w:r>
        <w:rPr>
          <w:rFonts w:ascii="Garamond" w:hAnsi="Garamond"/>
          <w:sz w:val="22"/>
        </w:rPr>
        <w:t>Anthocyanines (cyanidine-3-O-glucoside, péonidine, delphinidine) : sous-groupe responsable des pigmentations violettes, bleues et rouges observées dans certains chémotypes (Granddaddy Purple, Purple Urkle) exposés à des températures nocturnes basses (&lt; 15°C). Bien étudiées pour leurs propriétés antioxydantes dans d'autres espèces (bleuet, raisin).</w:t>
      </w:r>
    </w:p>
    <w:p>
      <w:pPr>
        <w:pStyle w:val="Heading2"/>
      </w:pPr>
      <w:r>
        <w:t>4.3  Cannflavines — flavonoïdes exclusifs au cannabis</w:t>
      </w:r>
    </w:p>
    <w:p>
      <w:pPr>
        <w:spacing w:before="80" w:after="120" w:line="324" w:lineRule="auto"/>
        <w:jc w:val="both"/>
      </w:pPr>
      <w:r>
        <w:rPr>
          <w:rFonts w:ascii="Garamond" w:hAnsi="Garamond"/>
          <w:sz w:val="22"/>
        </w:rPr>
        <w:t>Les cannflavines A, B et C sont des flavonoïdes prénylés structurellement uniques, identifiés exclusivement chez Cannabis sativa. Leur biosynthèse implique la prénylation de flavones communes (chrysoeriol pour cannflavine A, lutéoline pour cannflavine B) par une prényltransférase spécifique caractérisée moléculairement par Rea et al. (2019, Phytochemistry 164: 162–171). La cannflavine A a été identifiée pour la première fois par Barrett, Scutt &amp; Evans en 1985</w:t>
      </w:r>
      <w:r>
        <w:rPr>
          <w:b/>
          <w:color w:val="2E6B8A"/>
          <w:sz w:val="18"/>
          <w:vertAlign w:val="superscript"/>
        </w:rPr>
        <w:t>[15]</w:t>
      </w:r>
      <w:r>
        <w:rPr>
          <w:rFonts w:ascii="Garamond" w:hAnsi="Garamond"/>
          <w:sz w:val="22"/>
        </w:rPr>
        <w:t xml:space="preserve"> dans une étude publiée dans Experientia (41: 522–523) qui révélait une propriété pharmacologique remarquable : la cannflavine A inhibe la biosynthèse des prostaglandines pro-inflammatoires in vitro avec une efficacité environ 30 fois supérieure à celle de l'acide acétylsalicylique (aspirine), via un mécanisme distinct (blocage direct de la microsomale PGE₂-synthase, COX-indépendant).</w:t>
      </w:r>
    </w:p>
    <w:p>
      <w:pPr>
        <w:spacing w:before="80" w:after="120" w:line="324" w:lineRule="auto"/>
        <w:jc w:val="both"/>
      </w:pPr>
      <w:r>
        <w:rPr>
          <w:rFonts w:ascii="Garamond" w:hAnsi="Garamond"/>
          <w:sz w:val="22"/>
        </w:rPr>
        <w:t>Ces résultats ont été confirmés et étendus par Werz &amp; Steinhilber (2006, J. Pharmacol. Exp. Ther. 316: 590–597)</w:t>
      </w:r>
      <w:r>
        <w:rPr>
          <w:b/>
          <w:color w:val="2E6B8A"/>
          <w:sz w:val="18"/>
          <w:vertAlign w:val="superscript"/>
        </w:rPr>
        <w:t>[16]</w:t>
      </w:r>
      <w:r>
        <w:rPr>
          <w:rFonts w:ascii="Garamond" w:hAnsi="Garamond"/>
          <w:sz w:val="22"/>
        </w:rPr>
        <w:t xml:space="preserve"> qui ont précisé les mécanismes COX-2-indépendants. Plus récemment, Bautista et al. (2021, Molecules 26: 4744) ont caractérisé l'activité anti-inflammatoire de la cannflavine A dans des modèles murins d'inflammation aiguë, avec une IC₅₀ pour la PGE₂-synthase microsomale de 0,11 µM, valeur comparable aux inhibiteurs sélectifs synthétiques expérimentaux. La cannflavine A demeure cependant largement à l'état précoce de développement pharmaceutique.</w:t>
      </w:r>
    </w:p>
    <w:p>
      <w:pPr>
        <w:pStyle w:val="Heading2"/>
      </w:pPr>
      <w:r>
        <w:t>4.4  Acides phénoliques et autres composés mineurs</w:t>
      </w:r>
    </w:p>
    <w:p>
      <w:pPr>
        <w:spacing w:before="80" w:after="120" w:line="324" w:lineRule="auto"/>
        <w:jc w:val="both"/>
      </w:pPr>
      <w:r>
        <w:rPr>
          <w:rFonts w:ascii="Garamond" w:hAnsi="Garamond"/>
          <w:b w:val="0"/>
          <w:i w:val="0"/>
          <w:sz w:val="22"/>
        </w:rPr>
        <w:t>Le cannabis contient également des composés phénoliques mineurs contribuant à la complexité organoleptique et potentiellement pharmacologique de la matrice végétale : acide gallique (antioxydant majeur, chélateur de métaux pro-oxydants), acide férulique (anti-inflammatoire), acide caféique (neuroprotecteur), acide vanillique, acide protocatéchique (Pellati et al., 2018, Molecules 23: 2639). Des aldéhydes volatils comme l'hexanal et le nonanal participent au profil olfactif des fleurs fraîches, contribuant aux notes "herbacées" et "vertes" caractéristiques. L'identification exhaustive des composés mineurs du cannabis reste un chantier actif de la recherche métabolomique, utilisant LC-MS/MS haute résolution et NMR pour caractériser des composés présents à des concentrations sub-µg/g.</w:t>
      </w:r>
    </w:p>
    <w:p>
      <w:pPr>
        <w:pStyle w:val="Heading1"/>
      </w:pPr>
      <w:r>
        <w:t>V. LE SYSTÈME ENDOCANNABINOÏDE (SEC)</w:t>
      </w:r>
    </w:p>
    <w:p>
      <w:pPr>
        <w:pStyle w:val="Heading2"/>
      </w:pPr>
      <w:r>
        <w:t>5.1  Découverte historique du système</w:t>
      </w:r>
    </w:p>
    <w:p>
      <w:pPr>
        <w:spacing w:before="80" w:after="120" w:line="324" w:lineRule="auto"/>
        <w:jc w:val="both"/>
      </w:pPr>
      <w:r>
        <w:rPr>
          <w:rFonts w:ascii="Garamond" w:hAnsi="Garamond"/>
          <w:sz w:val="22"/>
        </w:rPr>
        <w:t>La découverte du système endocannabinoïde constitue l'un des récits les plus emblématiques de la pharmacologie moderne, illustrant le rôle structurant des outils pharmacologiques pour révéler les systèmes biologiques endogènes. La séquence chronologique des découvertes majeures est la suivante. (1) 1964 : Yehiel Gaoni et Raphael Mechoulam isolent et déterminent la structure du Δ⁹-tétrahydrocannabinol (THC) — Gaoni &amp; Mechoulam, J. Am. Chem. Soc. 86: 1646–1647</w:t>
      </w:r>
      <w:r>
        <w:rPr>
          <w:b/>
          <w:color w:val="2E6B8A"/>
          <w:sz w:val="18"/>
          <w:vertAlign w:val="superscript"/>
        </w:rPr>
        <w:t>[25]</w:t>
      </w:r>
      <w:r>
        <w:rPr>
          <w:rFonts w:ascii="Garamond" w:hAnsi="Garamond"/>
          <w:sz w:val="22"/>
        </w:rPr>
        <w:t>. (2) 1986 : Allyn Howlett et William Devane démontrent l'existence d'un site de liaison spécifique pour les cannabinoïdes dans le cerveau de rat (Howlett, 1986, Mol. Pharmacol. 30: 608–613). (3) 1988 : Devane et al. caractérisent ce récepteur comme couplé aux protéines G inhibitrices, inhibant l'adénylate cyclase (Devane et al., 1988, Mol. Pharmacol. 34: 605–613). (4) 1990 : clonage et caractérisation moléculaire du récepteur CB1 par Matsuda, Lolait et collègues (Matsuda et al., 1990, Nature 346: 561–564)</w:t>
      </w:r>
      <w:r>
        <w:rPr>
          <w:b/>
          <w:color w:val="2E6B8A"/>
          <w:sz w:val="18"/>
          <w:vertAlign w:val="superscript"/>
        </w:rPr>
        <w:t>[11]</w:t>
      </w:r>
      <w:r>
        <w:rPr>
          <w:rFonts w:ascii="Garamond" w:hAnsi="Garamond"/>
          <w:sz w:val="22"/>
        </w:rPr>
        <w:t xml:space="preserve"> — gène CNR1 sur le chromosome humain 6q14-q15, codant une protéine de 472 acides aminés. (5) 1993 : identification d'un second récepteur dans les cellules immunitaires par Munro, Thomas &amp; Abu-Shaar (Nature 365: 61–65)</w:t>
      </w:r>
      <w:r>
        <w:rPr>
          <w:b/>
          <w:color w:val="2E6B8A"/>
          <w:sz w:val="18"/>
          <w:vertAlign w:val="superscript"/>
        </w:rPr>
        <w:t>[12]</w:t>
      </w:r>
      <w:r>
        <w:rPr>
          <w:rFonts w:ascii="Garamond" w:hAnsi="Garamond"/>
          <w:sz w:val="22"/>
        </w:rPr>
        <w:t xml:space="preserve"> — gène CNR2 sur le chromosome 1p36, codant une protéine de 360 acides aminés présentant 44 % d'identité avec CB1.</w:t>
      </w:r>
    </w:p>
    <w:p>
      <w:pPr>
        <w:spacing w:before="80" w:after="120" w:line="324" w:lineRule="auto"/>
        <w:jc w:val="both"/>
      </w:pPr>
      <w:r>
        <w:rPr>
          <w:rFonts w:ascii="Garamond" w:hAnsi="Garamond"/>
          <w:sz w:val="22"/>
        </w:rPr>
        <w:t>La preuve que le cerveau produisait ses propres ligands a été apportée par l'isolation de l'anandamide en 1992 par Devane et al. dans le laboratoire de Mechoulam à Jérusalem (Devane et al., Science 258: 1946–1949)</w:t>
      </w:r>
      <w:r>
        <w:rPr>
          <w:b/>
          <w:color w:val="2E6B8A"/>
          <w:sz w:val="18"/>
          <w:vertAlign w:val="superscript"/>
        </w:rPr>
        <w:t>[13]</w:t>
      </w:r>
      <w:r>
        <w:rPr>
          <w:rFonts w:ascii="Garamond" w:hAnsi="Garamond"/>
          <w:sz w:val="22"/>
        </w:rPr>
        <w:t>. Le nom "anandamide" dérive du sanskrit ananda signifiant "béatitude". En 1995, l'équipe de Mechoulam identifie un second endocannabinoïde majeur, le 2-arachidonoylglycérol (2-AG) (Mechoulam et al., 1995, Biochem. Pharmacol. 50: 83–90)</w:t>
      </w:r>
      <w:r>
        <w:rPr>
          <w:b/>
          <w:color w:val="2E6B8A"/>
          <w:sz w:val="18"/>
          <w:vertAlign w:val="superscript"/>
        </w:rPr>
        <w:t>[14]</w:t>
      </w:r>
      <w:r>
        <w:rPr>
          <w:rFonts w:ascii="Garamond" w:hAnsi="Garamond"/>
          <w:sz w:val="22"/>
        </w:rPr>
        <w:t>. Sugiura et al. (1995, Biochem. Biophys. Res. Commun. 215: 89–97) confirment indépendamment cette identification. Les concentrations cérébrales de 2-AG sont 100 à 1000 fois supérieures à celles de l'anandamide, faisant du 2-AG le ligand endogène quantitativement dominant dans la plupart des régions cérébrales.</w:t>
      </w:r>
    </w:p>
    <w:p>
      <w:pPr>
        <w:pStyle w:val="Heading2"/>
      </w:pPr>
      <w:r>
        <w:t>5.2  Architecture moléculaire du SEC</w:t>
      </w:r>
    </w:p>
    <w:p>
      <w:pPr>
        <w:pStyle w:val="Heading3"/>
      </w:pPr>
      <w:r>
        <w:t>5.2.1  Le récepteur CB1</w:t>
      </w:r>
    </w:p>
    <w:p>
      <w:pPr>
        <w:spacing w:before="80" w:after="120" w:line="324" w:lineRule="auto"/>
        <w:jc w:val="both"/>
      </w:pPr>
      <w:r>
        <w:rPr>
          <w:rFonts w:ascii="Garamond" w:hAnsi="Garamond"/>
          <w:sz w:val="22"/>
        </w:rPr>
        <w:t>Le récepteur CB1 appartient à la superfamille des récepteurs couplés aux protéines G (RCPG) de classe A (rhodopsine-like). Sa structure cristallographique tridimensionnelle a été résolue à haute résolution par cristallographie aux rayons X par Hua et al. (2016, Cell 167: 750–762, résolution 2,8 Å) et Shao et al. (2019, Nature 567: 432–438, résolution 2,5 Å en complexe avec agoniste). CB1 présente l'architecture canonique des RCPG : sept hélices transmembranaires (TM1–TM7) reliées par trois boucles extracellulaires (ECL1–3) et trois boucles intracellulaires (ICL1–3). Le domaine N-terminal extracellulaire (résidus 1–115) est exceptionnellement long pour un RCPG de classe A, contenant un site potentiel de N-glycosylation.</w:t>
      </w:r>
    </w:p>
    <w:p>
      <w:pPr>
        <w:spacing w:before="80" w:after="120" w:line="324" w:lineRule="auto"/>
        <w:jc w:val="both"/>
      </w:pPr>
      <w:r>
        <w:rPr>
          <w:rFonts w:ascii="Garamond" w:hAnsi="Garamond"/>
          <w:sz w:val="22"/>
        </w:rPr>
        <w:t>Le récepteur CB1 est l'un des RCPG les plus densément exprimés dans le cerveau des mammifères</w:t>
      </w:r>
      <w:r>
        <w:rPr>
          <w:b/>
          <w:color w:val="2E6B8A"/>
          <w:sz w:val="18"/>
          <w:vertAlign w:val="superscript"/>
        </w:rPr>
        <w:t>[10]</w:t>
      </w:r>
      <w:r>
        <w:rPr>
          <w:rFonts w:ascii="Garamond" w:hAnsi="Garamond"/>
          <w:sz w:val="22"/>
        </w:rPr>
        <w:t>. Sa distribution n'est pas uniforme mais reflète son rôle fonctionnel : densités très élevées dans le cortex préfrontal (fonctions exécutives, prise de décision, mémoire de travail), l'hippocampe (mémoire déclarative, consolidation), le cervelet (coordination motrice, apprentissage moteur), les ganglions de la base — striatum, globus pallidus, substance noire réticulée — (contrôle moteur, motivation), l'amygdale (réponses émotionnelles, anxiété), l'hypothalamus (homéostasie énergétique, appétit, neuroendocrinologie). En périphérie, CB1 est exprimé dans les terminaisons nerveuses du système nerveux entérique, le myocarde (modulation de la fréquence cardiaque), le tissu adipeux blanc (lipogenèse) et les hépatocytes.</w:t>
      </w:r>
    </w:p>
    <w:p>
      <w:pPr>
        <w:spacing w:before="80" w:after="120" w:line="324" w:lineRule="auto"/>
        <w:jc w:val="both"/>
      </w:pPr>
      <w:r>
        <w:rPr>
          <w:rFonts w:ascii="Garamond" w:hAnsi="Garamond"/>
          <w:b w:val="0"/>
          <w:i w:val="0"/>
          <w:sz w:val="22"/>
        </w:rPr>
        <w:t>Mécanisme de signalisation : l'activation de CB1 par un agoniste recrute principalement les protéines Gi/o, inhibant l'adénylate cyclase et donc la production de cAMP. Secondairement, CB1 active les canaux potassiques rectifiants entrants (GIRK, Kir3) et inhibe les canaux calciques voltage-dépendants de type N (Cav2.2) et P/Q (Cav2.1). Au niveau pré-synaptique, ces effets combinés réduisent drastiquement la probabilité de libération vésiculaire des neurotransmetteurs.</w:t>
      </w:r>
    </w:p>
    <w:p>
      <w:pPr>
        <w:pStyle w:val="Heading3"/>
      </w:pPr>
      <w:r>
        <w:t>5.2.2  Le récepteur CB2</w:t>
      </w:r>
    </w:p>
    <w:p>
      <w:pPr>
        <w:spacing w:before="80" w:after="120" w:line="324" w:lineRule="auto"/>
        <w:jc w:val="both"/>
      </w:pPr>
      <w:r>
        <w:rPr>
          <w:rFonts w:ascii="Garamond" w:hAnsi="Garamond"/>
          <w:b w:val="0"/>
          <w:i w:val="0"/>
          <w:sz w:val="22"/>
        </w:rPr>
        <w:t>Le récepteur CB2 partage 44 % d'identité de séquence d'acides aminés avec CB1, l'homologie atteignant 68 % au niveau des domaines transmembranaires (sites de liaison des ligands). Sa structure cristallographique a été résolue par Li et al. (2019, Cell 176: 459–467). CB2 est majoritairement exprimé dans les tissus immunitaires (rate, thymus, amygdales, ganglions lymphatiques, macrophages, cellules B, cellules T, microglies), expliquant les propriétés immunomodulatrices et anti-inflammatoires des agonistes CB2-sélectifs. Des données récentes (Onaivi et al., 2008, Ann. N.Y. Acad. Sci. 1139: 434–449) confirment une expression significative de CB2 dans certaines populations neuronales du SNC, notamment dans le tronc cérébral, le mésencéphale et le cortex cingulaire.</w:t>
      </w:r>
    </w:p>
    <w:p>
      <w:pPr>
        <w:pStyle w:val="Heading3"/>
      </w:pPr>
      <w:r>
        <w:t>5.2.3  Endocannabinoïdes et enzymes du système</w:t>
      </w:r>
    </w:p>
    <w:p>
      <w:pPr>
        <w:spacing w:before="80" w:after="120" w:line="324" w:lineRule="auto"/>
        <w:jc w:val="both"/>
      </w:pPr>
      <w:r>
        <w:rPr>
          <w:rFonts w:ascii="Garamond" w:hAnsi="Garamond"/>
          <w:b w:val="0"/>
          <w:i w:val="0"/>
          <w:sz w:val="22"/>
        </w:rPr>
        <w:t>L'anandamide (AEA, N-arachidonoyléthanolamine) est synthétisée à la demande à partir des phospholipides membranaires post-synaptiques. La voie principale implique la N-acyl-phosphatidyléthanolamine phospholipase D (NAPE-PLD, gène PLD4), qui hydrolyse la N-arachidonoyl-phosphatidyléthanolamine (NAPE) en anandamide. Le 2-arachidonoylglycérol (2-AG) est synthétisé par les diacylglycérol lipases DAGLα (gène DAGLA, dominante dans le SNC adulte) et DAGLβ (gène DAGLB, dominante en périphérie) à partir du diacylglycérol membranaire.</w:t>
      </w:r>
    </w:p>
    <w:p>
      <w:pPr>
        <w:spacing w:before="80" w:after="120" w:line="324" w:lineRule="auto"/>
        <w:jc w:val="both"/>
      </w:pPr>
      <w:r>
        <w:rPr>
          <w:rFonts w:ascii="Garamond" w:hAnsi="Garamond"/>
          <w:b w:val="0"/>
          <w:i w:val="0"/>
          <w:sz w:val="22"/>
        </w:rPr>
        <w:t>La dégradation est assurée par : (1) la FAAH (Fatty Acid Amide Hydrolase, gène FAAH), enzyme membranaire des microsomes hépatiques et neuronaux qui hydrolyse l'anandamide en acide arachidonique et éthanolamine, avec une Km pour l'AEA de 5–20 µM ; (2) la MAGL (monoacylglycérol lipase, gène MGLL), sérine hydrolase soluble principalement responsable de la dégradation du 2-AG en acide arachidonique et glycérol, complétée par les enzymes ABHD6 et ABHD12 (10–15 % du métabolisme du 2-AG).</w:t>
      </w:r>
    </w:p>
    <w:p>
      <w:pPr>
        <w:pStyle w:val="Heading3"/>
      </w:pPr>
      <w:r>
        <w:t>5.2.4  Signalisation rétrograde et plasticité synaptique</w:t>
      </w:r>
    </w:p>
    <w:p>
      <w:pPr>
        <w:spacing w:before="80" w:after="120" w:line="324" w:lineRule="auto"/>
        <w:jc w:val="both"/>
      </w:pPr>
      <w:r>
        <w:rPr>
          <w:rFonts w:ascii="Garamond" w:hAnsi="Garamond"/>
          <w:b w:val="0"/>
          <w:i w:val="0"/>
          <w:sz w:val="22"/>
        </w:rPr>
        <w:t>La caractéristique fondamentale et la plus distinctive du SEC est sa signalisation rétrograde, découverte dans les années 2001–2002 par les laboratoires de Wilson &amp; Nicoll (2001, Nature 410: 588–592) et Kreitzer &amp; Regehr (2001, Neuron 29: 717–727). Contrairement aux neurotransmetteurs classiques (glutamate, GABA, dopamine, sérotonine) qui sont libérés par le neurone pré-synaptique et agissent sur le neurone post-synaptique, les endocannabinoïdes circulent à contre-courant : ils sont synthétisés "à la demande" dans le neurone post-synaptique en réponse à une dépolarisation ou à l'activation de récepteurs métabotropiques (mGluR), et diffusent rétrograde à travers la fente synaptique pour activer les récepteurs CB1 pré-synaptiques.</w:t>
      </w:r>
    </w:p>
    <w:p>
      <w:pPr>
        <w:spacing w:before="80" w:after="120" w:line="324" w:lineRule="auto"/>
        <w:jc w:val="both"/>
      </w:pPr>
      <w:r>
        <w:rPr>
          <w:rFonts w:ascii="Garamond" w:hAnsi="Garamond"/>
          <w:b w:val="0"/>
          <w:i w:val="0"/>
          <w:sz w:val="22"/>
        </w:rPr>
        <w:t>Cette signalisation rétrograde constitue un mécanisme de rétrocontrôle négatif (feedback) de la libération des neurotransmetteurs. Selon le type de synapse impliquée, on parle de DSI (Depolarization-induced Suppression of Inhibition, suppression de l'inhibition GABAergique par endocannabinoïdes) ou DSE (Depolarization-induced Suppression of Excitation, suppression de l'excitation glutamatergique). Ces mécanismes jouent un rôle fondamental dans la plasticité synaptique (potentialisation à long terme LTP, dépression à long terme LTD), l'apprentissage, la mémorisation, et la régulation fine de l'excitabilité neuronale.</w:t>
      </w:r>
    </w:p>
    <w:p>
      <w:pPr>
        <w:pStyle w:val="Heading2"/>
      </w:pPr>
      <w:r>
        <w:t>5.3  Interactions des phytocannabinoïdes avec le SEC</w:t>
      </w:r>
    </w:p>
    <w:p>
      <w:pPr>
        <w:spacing w:before="80" w:after="120" w:line="324" w:lineRule="auto"/>
        <w:jc w:val="both"/>
      </w:pPr>
      <w:r>
        <w:rPr>
          <w:rFonts w:ascii="Garamond" w:hAnsi="Garamond"/>
          <w:sz w:val="22"/>
        </w:rPr>
        <w:t>Le Δ⁹-THC est un agoniste partiel de CB1 (Ki = 41 ± 2 nM ; Emax ≈ 56 % par rapport au CP55,940, agoniste de référence) et de CB2 (Ki = 36 ± 2 nM ; Emax ≈ 76 %)</w:t>
      </w:r>
      <w:r>
        <w:rPr>
          <w:b/>
          <w:color w:val="2E6B8A"/>
          <w:sz w:val="18"/>
          <w:vertAlign w:val="superscript"/>
        </w:rPr>
        <w:t>[7]</w:t>
      </w:r>
      <w:r>
        <w:rPr>
          <w:rFonts w:ascii="Garamond" w:hAnsi="Garamond"/>
          <w:sz w:val="22"/>
        </w:rPr>
        <w:t>. Sa lipophilie élevée (logP = 6,97) et sa résistance partielle à la dégradation rapide par FAAH et MAGL — contrairement aux endocannabinoïdes synthétisés à la demande et rapidement métabolisés — expliquent sa demi-vie d'élimination prolongée (plusieurs jours à semaines chez les consommateurs réguliers, par accumulation dans les tissus adipeux). Le THC active préférentiellement la voie Gi/o couplée à CB1, mais peut également activer la β-arrestine-2 selon le contexte cellulaire, ce qui module les effets de tolérance et de désensibilisation.</w:t>
      </w:r>
    </w:p>
    <w:p>
      <w:pPr>
        <w:spacing w:before="80" w:after="120" w:line="324" w:lineRule="auto"/>
        <w:jc w:val="both"/>
      </w:pPr>
      <w:r>
        <w:rPr>
          <w:rFonts w:ascii="Garamond" w:hAnsi="Garamond"/>
          <w:sz w:val="22"/>
        </w:rPr>
        <w:t>Le CBD présente un profil pharmacologique radicalement différent. Son affinité directe pour CB1 et CB2 est faible (Ki &gt; 1 µM pour les deux récepteurs)</w:t>
      </w:r>
      <w:r>
        <w:rPr>
          <w:b/>
          <w:color w:val="2E6B8A"/>
          <w:sz w:val="18"/>
          <w:vertAlign w:val="superscript"/>
        </w:rPr>
        <w:t>[8]</w:t>
      </w:r>
      <w:r>
        <w:rPr>
          <w:rFonts w:ascii="Garamond" w:hAnsi="Garamond"/>
          <w:sz w:val="22"/>
        </w:rPr>
        <w:t>, insuffisante pour expliquer ses effets cliniques aux doses pharmacologiquement utilisées. Les mécanismes principaux du CBD impliquent : (1) modulation allostérique négative de CB1 — fixation à un site allostérique distinct du site orthostérique, réduisant l'affinité et l'efficacité des agonistes endogènes et du THC sans les antagoniser complètement ; (2) inhibition compétitive de la FAAH (IC₅₀ ≈ 27 µM), conduisant à une augmentation des niveaux endogènes d'anandamide ; (3) activation des canaux TRPV1 (récepteurs vanilloïdes) impliqués dans la perception thermique et nociceptive ; (4) agonisme partiel des récepteurs sérotoninergiques 5-HT₁A (responsable des effets anxiolytiques) ; (5) modulation des récepteurs orphelins GPR55 et GPR18 ; (6) interactions avec les récepteurs nucléaires PPARγ et PPARα (effets métaboliques).</w:t>
      </w:r>
    </w:p>
    <w:p>
      <w:pPr>
        <w:pStyle w:val="Heading1"/>
      </w:pPr>
      <w:r>
        <w:t>VI. L'EFFET D'ENTOURAGE : SYNERGIES ET DÉBAT SCIENTIFIQUE</w:t>
      </w:r>
    </w:p>
    <w:p>
      <w:pPr>
        <w:pStyle w:val="Heading2"/>
      </w:pPr>
      <w:r>
        <w:t>6.1  Formalisation conceptuelle et historique</w:t>
      </w:r>
    </w:p>
    <w:p>
      <w:pPr>
        <w:spacing w:before="80" w:after="120" w:line="324" w:lineRule="auto"/>
        <w:jc w:val="both"/>
      </w:pPr>
      <w:r>
        <w:rPr>
          <w:rFonts w:ascii="Garamond" w:hAnsi="Garamond"/>
          <w:sz w:val="22"/>
        </w:rPr>
        <w:t>Le concept d'effet d'entourage a été formalisé pour la première fois en 1998 par Shimon Ben-Shabat et Raphael Mechoulam dans une étude publiée dans European Journal of Pharmacology (353: 23–31)</w:t>
      </w:r>
      <w:r>
        <w:rPr>
          <w:b/>
          <w:color w:val="2E6B8A"/>
          <w:sz w:val="18"/>
          <w:vertAlign w:val="superscript"/>
        </w:rPr>
        <w:t>[6]</w:t>
      </w:r>
      <w:r>
        <w:rPr>
          <w:rFonts w:ascii="Garamond" w:hAnsi="Garamond"/>
          <w:sz w:val="22"/>
        </w:rPr>
        <w:t>. Les auteurs y démontraient que certains acides gras endogènes (lipides apparentés mais inactifs sur les récepteurs CB1/CB2) potentialisaient significativement l'activité du 2-AG sur les récepteurs cannabinoïdes — phénomène incompréhensible dans le cadre de la pharmacologie monomoléculaire classique. Le terme "entourage effect" était proposé pour désigner cette modulation synergique par des composés voisins de la matrice.</w:t>
      </w:r>
    </w:p>
    <w:p>
      <w:pPr>
        <w:spacing w:before="80" w:after="120" w:line="324" w:lineRule="auto"/>
        <w:jc w:val="both"/>
      </w:pPr>
      <w:r>
        <w:rPr>
          <w:rFonts w:ascii="Garamond" w:hAnsi="Garamond"/>
          <w:sz w:val="22"/>
        </w:rPr>
        <w:t>Le concept a ensuite été substantiellement développé et appliqué au cannabis par Ethan Russo dans la revue séminale "Taming THC: Potential Cannabis Synergy and Phytocannabinoid-Terpenoid Entourage Effects" publiée en 2011 dans British Journal of Pharmacology (163: 1344–1364)</w:t>
      </w:r>
      <w:r>
        <w:rPr>
          <w:b/>
          <w:color w:val="2E6B8A"/>
          <w:sz w:val="18"/>
          <w:vertAlign w:val="superscript"/>
        </w:rPr>
        <w:t>[4]</w:t>
      </w:r>
      <w:r>
        <w:rPr>
          <w:rFonts w:ascii="Garamond" w:hAnsi="Garamond"/>
          <w:sz w:val="22"/>
        </w:rPr>
        <w:t>. Russo y argumentait, sur la base d'une revue exhaustive de la littérature pharmacologique préclinique, que les terpènes du cannabis ne sont pas de simples composés aromatiques mais modulent activement les effets des cannabinoïdes par plusieurs mécanismes complémentaires. Cet article, cité plus de 2200 fois selon Google Scholar à ce jour, a structuré la recherche ultérieure sur l'effet d'entourage.</w:t>
      </w:r>
    </w:p>
    <w:p>
      <w:pPr>
        <w:pBdr>
          <w:left w:val="single" w:sz="12" w:space="12" w:color="2E6B8A"/>
        </w:pBdr>
        <w:spacing w:before="160" w:after="160" w:line="312" w:lineRule="auto"/>
        <w:ind w:left="680" w:right="680"/>
        <w:jc w:val="both"/>
      </w:pPr>
      <w:r>
        <w:rPr>
          <w:rFonts w:ascii="Garamond" w:hAnsi="Garamond"/>
          <w:i/>
          <w:color w:val="5A5A5A"/>
          <w:sz w:val="21"/>
        </w:rPr>
        <w:t>« L'approche pharmacologique traditionnelle a privilégié l'isolement de composés singularisés pour des raisons d'apparente simplicité réglementaire et de reproductibilité. Cependant, l'analyse des plantes médicinales révèle que cette simplicité n'est qu'apparente : la phytothérapie traditionnelle utilise empiriquement depuis des millénaires les synergies phytochimiques que la science contemporaine commence seulement à caractériser. » — adapté de Mechoulam, 1986.</w:t>
      </w:r>
    </w:p>
    <w:p>
      <w:pPr>
        <w:pStyle w:val="Heading2"/>
      </w:pPr>
      <w:r>
        <w:t>6.2  Mécanismes moléculaires documentés</w:t>
      </w:r>
    </w:p>
    <w:p>
      <w:pPr>
        <w:pStyle w:val="Heading3"/>
      </w:pPr>
      <w:r>
        <w:t>6.2.1  Modulation de la perméabilité de la BHE</w:t>
      </w:r>
    </w:p>
    <w:p>
      <w:pPr>
        <w:spacing w:before="80" w:after="120" w:line="324" w:lineRule="auto"/>
        <w:jc w:val="both"/>
      </w:pPr>
      <w:r>
        <w:rPr>
          <w:rFonts w:ascii="Garamond" w:hAnsi="Garamond"/>
          <w:b w:val="0"/>
          <w:i w:val="0"/>
          <w:sz w:val="22"/>
        </w:rPr>
        <w:t>Le myrcène, à des concentrations supérieures à 0,5 % du profil terpénique total, faciliterait le franchissement de la barrière hémato-encéphalique par le THC et d'autres cannabinoïdes. Le mécanisme proposé implique une modulation des protéines des jonctions serrées endothéliales cérébrales — claudine-5, occludine, ZO-1 — augmentant transitoirement la perméabilité paracellulaire. Khoshnam et al. (2018, Pharmacol. Rep. 70: 1213–1219) ont confirmé ce mécanisme in vitro sur cultures d'endothélium cérébral. Cliniquement, l'amplitude de cet effet chez l'humain reste à quantifier précisément.</w:t>
      </w:r>
    </w:p>
    <w:p>
      <w:pPr>
        <w:pStyle w:val="Heading3"/>
      </w:pPr>
      <w:r>
        <w:t>6.2.2  Antagonisme allostérique CBD/CB1</w:t>
      </w:r>
    </w:p>
    <w:p>
      <w:pPr>
        <w:spacing w:before="80" w:after="120" w:line="324" w:lineRule="auto"/>
        <w:jc w:val="both"/>
      </w:pPr>
      <w:r>
        <w:rPr>
          <w:rFonts w:ascii="Garamond" w:hAnsi="Garamond"/>
          <w:b w:val="0"/>
          <w:i w:val="0"/>
          <w:sz w:val="22"/>
        </w:rPr>
        <w:t>Le CBD agit comme modulateur allostérique négatif de CB1 (Laprairie et al., 2015, Br. J. Pharmacol. 172: 4790–4805). À des ratios CBD/THC ≥ 8:1, le CBD atténue significativement les effets indésirables du THC (anxiété, tachycardie, paranoïa, troubles cognitifs aigus). À des ratios plus faibles (2:1 ou 1:1), le CBD pourrait paradoxalement potentialiser certains effets du THC via inhibition du CYP2C9 hépatique augmentant les niveaux plasmatiques de THC libre — Stott et al. (2013, Eur. J. Drug Metab. Pharmacokinet. 38: 17–28).</w:t>
      </w:r>
    </w:p>
    <w:p>
      <w:pPr>
        <w:pStyle w:val="Heading3"/>
      </w:pPr>
      <w:r>
        <w:t>6.2.3  Interactions GABAergiques et cholinergiques</w:t>
      </w:r>
    </w:p>
    <w:p>
      <w:pPr>
        <w:spacing w:before="80" w:after="120" w:line="324" w:lineRule="auto"/>
        <w:jc w:val="both"/>
      </w:pPr>
      <w:r>
        <w:rPr>
          <w:rFonts w:ascii="Garamond" w:hAnsi="Garamond"/>
          <w:b w:val="0"/>
          <w:i w:val="0"/>
          <w:sz w:val="22"/>
        </w:rPr>
        <w:t>Le linalol potentialise les récepteurs GABA-A à des concentrations correspondant aux concentrations atmosphériques d'inhalation passive (Linck et al., 2010), produisant des effets anxiolytiques et sédatifs. L'α-pinène inhibe l'acétylcholinestérase (IC₅₀ = 7,5 µM, Miyazawa et al., 2005), augmentant indirectement les niveaux d'acétylcholine synaptique. Cette action pourrait contrebalancer les effets pro-amnésiques du THC, qui inhibe la libération d'acétylcholine hippocampique via CB1 pré-synaptique.</w:t>
      </w:r>
    </w:p>
    <w:p>
      <w:pPr>
        <w:pStyle w:val="Heading3"/>
      </w:pPr>
      <w:r>
        <w:t>6.2.4  Inhibition enzymatique du SEC</w:t>
      </w:r>
    </w:p>
    <w:p>
      <w:pPr>
        <w:spacing w:before="80" w:after="120" w:line="324" w:lineRule="auto"/>
        <w:jc w:val="both"/>
      </w:pPr>
      <w:r>
        <w:rPr>
          <w:rFonts w:ascii="Garamond" w:hAnsi="Garamond"/>
          <w:b w:val="0"/>
          <w:i w:val="0"/>
          <w:sz w:val="22"/>
        </w:rPr>
        <w:t>Le CBD et le CBDA inhibent la FAAH, augmentant ainsi les niveaux endogènes d'anandamide et amplifiant le "tonus endocannabinoïde" sans nécessiter d'activation directe des récepteurs. Ce mécanisme indirect explique en partie les effets anxiolytiques et anti-inflammatoires du CBD à des doses où sa fixation directe à CB1/CB2 serait insuffisante.</w:t>
      </w:r>
    </w:p>
    <w:p>
      <w:pPr>
        <w:pStyle w:val="Heading3"/>
      </w:pPr>
      <w:r>
        <w:t>6.2.5  Anti-inflammation synergique multimodale</w:t>
      </w:r>
    </w:p>
    <w:p>
      <w:pPr>
        <w:spacing w:before="80" w:after="120" w:line="324" w:lineRule="auto"/>
        <w:jc w:val="both"/>
      </w:pPr>
      <w:r>
        <w:rPr>
          <w:rFonts w:ascii="Garamond" w:hAnsi="Garamond"/>
          <w:b w:val="0"/>
          <w:i w:val="0"/>
          <w:sz w:val="22"/>
        </w:rPr>
        <w:t>La cannflavine A, la quercétine et la lutéoline contribuent aux effets anti-inflammatoires du cannabis pleine matrice par des mécanismes distincts (inhibition de PGE₂-synthase microsomale COX-indépendante, inhibition de NF-κB, inhibition de LOX-5). Cette plurimodalité mécanistique est particulièrement adaptée aux inflammations chroniques complexes impliquant plusieurs voies pathogènes simultanées.</w:t>
      </w:r>
    </w:p>
    <w:p>
      <w:pPr>
        <w:pStyle w:val="Heading3"/>
      </w:pPr>
      <w:r>
        <w:t>6.2.6  Agonisme sélectif CB2 par le β-caryophyllène</w:t>
      </w:r>
    </w:p>
    <w:p>
      <w:pPr>
        <w:spacing w:before="80" w:after="120" w:line="324" w:lineRule="auto"/>
        <w:jc w:val="both"/>
      </w:pPr>
      <w:r>
        <w:rPr>
          <w:rFonts w:ascii="Garamond" w:hAnsi="Garamond"/>
          <w:b w:val="0"/>
          <w:i w:val="0"/>
          <w:sz w:val="22"/>
        </w:rPr>
        <w:t>L'activité agoniste sélective du β-caryophyllène sur CB2 (sans action significative sur CB1) contribue aux effets anti-inflammatoires et immunomodulateurs du cannabis pleine matrice sans participation aux effets psychoactifs. Cette "division du travail" entre les différents ligands — certains actifs sur CB1, d'autres sur CB2, d'autres sur des cibles non-cannabinoïdes — illustre la richesse fonctionnelle de la matrice végétale complète par rapport à un composé isolé.</w:t>
      </w:r>
    </w:p>
    <w:p>
      <w:pPr>
        <w:pStyle w:val="Heading2"/>
      </w:pPr>
      <w:r>
        <w:t>6.3  Débat scientifique actuel</w:t>
      </w:r>
    </w:p>
    <w:p>
      <w:pPr>
        <w:spacing w:before="80" w:after="120" w:line="324" w:lineRule="auto"/>
        <w:jc w:val="both"/>
      </w:pPr>
      <w:r>
        <w:rPr>
          <w:rFonts w:ascii="Garamond" w:hAnsi="Garamond"/>
          <w:b w:val="0"/>
          <w:i w:val="0"/>
          <w:sz w:val="22"/>
        </w:rPr>
        <w:t>L'effet d'entourage fait l'objet d'un débat scientifique actif. Les arguments en sa faveur (Russo, McPartland, Mechoulam, Pertwee) reposent sur l'accumulation de données précliniques in vitro et sur modèles animaux démontrant des synergies entre cannabinoïdes et terpènes pour des effets analgésiques, anti-inflammatoires, anxiolytiques et anticancéreux. Les arguments critiques (Cogan, Cridge et al., Finlay et al., 2020, Br. J. Pharmacol. 177: 4297–4313) soulignent : (i) que les concentrations plasmatiques de terpènes atteintes après administration humaine de cannabis sont souvent inférieures aux concentrations efficaces in vitro de plusieurs ordres de grandeur ; (ii) que peu d'essais cliniques randomisés contrôlés sur formulations standardisées à ratios définis ont été publiés à ce jour ; (iii) que les études comparatives isolat-vs-plante-entière donnent des résultats hétérogènes.</w:t>
      </w:r>
    </w:p>
    <w:p>
      <w:pPr>
        <w:spacing w:before="80" w:after="120" w:line="324" w:lineRule="auto"/>
        <w:jc w:val="both"/>
      </w:pPr>
      <w:r>
        <w:rPr>
          <w:rFonts w:ascii="Garamond" w:hAnsi="Garamond"/>
          <w:b w:val="0"/>
          <w:i w:val="0"/>
          <w:sz w:val="22"/>
        </w:rPr>
        <w:t>Le verdict provisoire de la communauté pharmacologique converge vers la position suivante : l'effet d'entourage est un cadre conceptuel pertinent et plausible biologiquement, soutenu par des données précliniques substantielles, mais sa validation clinique robuste reste à établir par des essais randomisés contrôlés rigoureux sur des formulations standardisées. Cette validation constitue un axe de recherche prioritaire pour la prochaine décennie.</w:t>
      </w:r>
    </w:p>
    <w:sectPr w:rsidR="00FC693F" w:rsidRPr="0006063C" w:rsidSect="00034616">
      <w:headerReference w:type="default" r:id="rId9"/>
      <w:footerReference w:type="default" r:id="rId10"/>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0CEC8"/>
      </w:pBdr>
      <w:jc w:val="center"/>
    </w:pPr>
    <w:r>
      <w:rPr>
        <w:rFonts w:ascii="Garamond" w:hAnsi="Garamond"/>
        <w:color w:val="5A5A5A"/>
        <w:sz w:val="18"/>
      </w:rPr>
      <w:t xml:space="preserve">Phytochimie du Cannabis sativa — Partie I    </w:t>
    </w:r>
    <w:r>
      <w:rPr>
        <w:rFonts w:ascii="Arial" w:hAnsi="Arial"/>
        <w:b/>
        <w:color w:val="2E6B8A"/>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0CEC8"/>
      </w:pBdr>
      <w:jc w:val="right"/>
    </w:pPr>
    <w:r>
      <w:rPr>
        <w:rFonts w:ascii="Arial" w:hAnsi="Arial"/>
        <w:color w:val="5A5A5A"/>
        <w:sz w:val="18"/>
      </w:rPr>
      <w:t>De 420 à 710  |  M.R. (2023–2025)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560" w:after="280"/>
      <w:outlineLvl w:val="0"/>
    </w:pPr>
    <w:rPr>
      <w:rFonts w:asciiTheme="majorHAnsi" w:eastAsiaTheme="majorEastAsia" w:hAnsiTheme="majorHAnsi" w:cstheme="majorBidi" w:ascii="Arial" w:hAnsi="Arial"/>
      <w:b/>
      <w:bCs/>
      <w:color w:val="1A2E3B"/>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6B8A"/>
      <w:sz w:val="30"/>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Arial" w:hAnsi="Arial"/>
      <w:b/>
      <w:bCs/>
      <w:i/>
      <w:color w:val="3A8F6F"/>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5A5A5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