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Arial" w:hAnsi="Arial"/>
          <w:b/>
          <w:color w:val="1A2E3B"/>
          <w:sz w:val="64"/>
        </w:rPr>
        <w:t>DE 420 À 710</w:t>
      </w:r>
    </w:p>
    <w:p>
      <w:pPr>
        <w:jc w:val="center"/>
      </w:pPr>
      <w:r>
        <w:rPr>
          <w:rFonts w:ascii="Arial" w:hAnsi="Arial"/>
          <w:i/>
          <w:color w:val="2E6B8A"/>
          <w:sz w:val="48"/>
        </w:rPr>
        <w:t>Partie II</w:t>
      </w:r>
    </w:p>
    <w:p>
      <w:pPr>
        <w:spacing w:before="0" w:after="0"/>
      </w:pPr>
    </w:p>
    <w:p>
      <w:pPr>
        <w:spacing w:before="0" w:after="0"/>
      </w:pPr>
    </w:p>
    <w:p>
      <w:pPr>
        <w:spacing w:before="80" w:after="120" w:line="324" w:lineRule="auto"/>
        <w:jc w:val="center"/>
      </w:pPr>
      <w:r>
        <w:rPr>
          <w:rFonts w:ascii="Garamond" w:hAnsi="Garamond"/>
          <w:b w:val="0"/>
          <w:i/>
          <w:color w:val="5A5A5A"/>
          <w:sz w:val="24"/>
        </w:rPr>
        <w:t>Pharmacologie · Extractions · Conservation · Voies d'administration · Clinique · Interactions médicamenteuses · Méthodes analytiques · Histoire · Conclusion</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80" w:after="120" w:line="324" w:lineRule="auto"/>
        <w:jc w:val="center"/>
      </w:pPr>
      <w:r>
        <w:rPr>
          <w:rFonts w:ascii="Garamond" w:hAnsi="Garamond"/>
          <w:b w:val="0"/>
          <w:i/>
          <w:color w:val="5A5A5A"/>
          <w:sz w:val="22"/>
        </w:rPr>
        <w:t>M.R. — Terpologie — 2023–2025</w:t>
      </w:r>
    </w:p>
    <w:p>
      <w:r>
        <w:br w:type="page"/>
      </w:r>
    </w:p>
    <w:p>
      <w:pPr>
        <w:pStyle w:val="Heading1"/>
      </w:pPr>
      <w:r>
        <w:t>VII. PHARMACOLOGIE COMPARÉE DES PHYTOCANNABINOÏDES</w:t>
      </w:r>
    </w:p>
    <w:p>
      <w:pPr>
        <w:pStyle w:val="Heading2"/>
      </w:pPr>
      <w:r>
        <w:t>7.1  Origine biosynthétique commune</w:t>
      </w:r>
    </w:p>
    <w:p>
      <w:pPr>
        <w:spacing w:before="80" w:after="120" w:line="324" w:lineRule="auto"/>
        <w:jc w:val="both"/>
      </w:pPr>
      <w:r>
        <w:rPr>
          <w:rFonts w:ascii="Garamond" w:hAnsi="Garamond"/>
          <w:b w:val="0"/>
          <w:i w:val="0"/>
          <w:sz w:val="22"/>
        </w:rPr>
        <w:t>Tous les phytocannabinoïdes naturels dérivent d'un précurseur universel unique : l'acide cannabigérolique (CBGA, C₂₂H₃₂O₄, MW = 360,49 g/mol). À partir du CBGA, trois oxydocyclases spécifiques — THCA synthase, CBDA synthase et CBCA synthase — catalysent en parallèle la cyclisation oxydative vers les trois acides cannabinoïdes majeurs (THCA, CBDA, CBCA). La décarboxylation thermique de ces formes acides (&gt; 100°C, par combustion, vaporisation ou cuisson) produit les formes neutres actives correspondantes (THC, CBD, CBC), avec libération irréversible de CO₂. Le cannabis cru ingéré sans cuisson est ainsi très faiblement psychoactif, explication moléculaire d'un constat empirique millénaire.</w:t>
      </w:r>
    </w:p>
    <w:p>
      <w:pPr>
        <w:pStyle w:val="Heading2"/>
      </w:pPr>
      <w:r>
        <w:t>7.2  Δ⁹-Tétrahydrocannabinol (THC)</w:t>
      </w:r>
    </w:p>
    <w:p>
      <w:pPr>
        <w:spacing w:before="80" w:after="120" w:line="324" w:lineRule="auto"/>
        <w:jc w:val="both"/>
      </w:pPr>
      <w:r>
        <w:rPr>
          <w:rFonts w:ascii="Garamond" w:hAnsi="Garamond"/>
          <w:sz w:val="22"/>
        </w:rPr>
        <w:t>Le Δ⁹-tétrahydrocannabinol (C₂₁H₃₀O₂, MW = 314,46 g/mol, CAS 1972-08-3) est le principal constituant psychoactif de Cannabis sativa. Isolé et structurellement élucidé par Gaoni &amp; Mechoulam en 1964 (J. Am. Chem. Soc. 86: 1646–1647)</w:t>
      </w:r>
      <w:r>
        <w:rPr>
          <w:b/>
          <w:color w:val="2E6B8A"/>
          <w:sz w:val="18"/>
          <w:vertAlign w:val="superscript"/>
        </w:rPr>
        <w:t>[25]</w:t>
      </w:r>
      <w:r>
        <w:rPr>
          <w:rFonts w:ascii="Garamond" w:hAnsi="Garamond"/>
          <w:sz w:val="22"/>
        </w:rPr>
        <w:t>, il fut le premier phytocannabinoïde dont la pharmacologie moléculaire fut élucidée. Sur le plan stéréochimique, le Δ⁹-THC naturel présente la configuration (6aR, 10aR) ; les énantiomères synthétiques (6aS, 10aS) sont 10 à 100 fois moins actifs sur les récepteurs CB1.</w:t>
      </w:r>
    </w:p>
    <w:p>
      <w:pPr>
        <w:spacing w:before="80" w:after="120" w:line="324" w:lineRule="auto"/>
        <w:jc w:val="both"/>
      </w:pPr>
      <w:r>
        <w:rPr>
          <w:rFonts w:ascii="Garamond" w:hAnsi="Garamond"/>
          <w:sz w:val="22"/>
        </w:rPr>
        <w:t>Caractéristiques pharmacologiques quantitatives : agoniste partiel de CB1 (Ki = 41 ± 2 nM ; Emax ≈ 56 % par rapport au CP55,940 — agoniste de référence de pleine efficacité) et de CB2 (Ki = 36 ± 2 nM ; Emax ≈ 76 %) selon Pertwee (2008, Br. J. Pharmacol. 153: 199–215)</w:t>
      </w:r>
      <w:r>
        <w:rPr>
          <w:b/>
          <w:color w:val="2E6B8A"/>
          <w:sz w:val="18"/>
          <w:vertAlign w:val="superscript"/>
        </w:rPr>
        <w:t>[7]</w:t>
      </w:r>
      <w:r>
        <w:rPr>
          <w:rFonts w:ascii="Garamond" w:hAnsi="Garamond"/>
          <w:sz w:val="22"/>
        </w:rPr>
        <w:t>. LD₅₀ orale chez le rat estimée à 800–1000 mg/kg, soit environ 50 000 fois la dose psychoactive humaine — index thérapeutique extrêmement favorable comparé aux autres substances psychoactives.</w:t>
      </w:r>
    </w:p>
    <w:p>
      <w:pPr>
        <w:spacing w:before="80" w:after="120" w:line="324" w:lineRule="auto"/>
        <w:jc w:val="both"/>
      </w:pPr>
      <w:r>
        <w:rPr>
          <w:rFonts w:ascii="Garamond" w:hAnsi="Garamond"/>
          <w:b w:val="0"/>
          <w:i w:val="0"/>
          <w:sz w:val="22"/>
        </w:rPr>
        <w:t>Effets psychoactifs : médiés principalement par CB1 dans les régions cérébrales mentionnées au chapitre V. À doses thérapeutiques (2,5–10 mg) : légère euphorie, détente, augmentation perceptuelle des stimuli sensoriels, stimulation de l'appétit ("munchies" — activation des neurones AGRP/NPY de l'hypothalamus), tachycardie modérée (10–20 bpm). À doses récréatives modérées (10–30 mg) : altérations cognitives (mémoire de travail, vitesse de traitement), distorsion de la perception du temps, augmentation des sensations corporelles et de la perception artistique. À fortes doses (&gt; 30 mg, sujet naïf) : anxiété, paranoïa possibles, désorientation, altération significative de la coordination motrice.</w:t>
      </w:r>
    </w:p>
    <w:p>
      <w:pPr>
        <w:spacing w:before="80" w:after="120" w:line="324" w:lineRule="auto"/>
        <w:jc w:val="both"/>
      </w:pPr>
      <w:r>
        <w:rPr>
          <w:rFonts w:ascii="Garamond" w:hAnsi="Garamond"/>
          <w:b w:val="0"/>
          <w:i w:val="0"/>
          <w:sz w:val="22"/>
        </w:rPr>
        <w:t>Métabolisme hépatique : par les enzymes CYP2C9 (majoritairement) et CYP3A4 vers le métabolite actif 11-hydroxy-THC (11-OH-THC, 2 à 3 fois plus puissant que le THC parent), puis vers le métabolite inactif 11-nor-9-carboxy-THC (THC-COOH). Le THC-COOH est le marqueur de référence pour les tests de dépistage urinaires en raison de sa stabilité et de sa demi-vie d'élimination tissulaire prolongée (3 à 13 jours chez les consommateurs occasionnels, jusqu'à 25–30 jours chez les consommateurs chroniques par effet d'accumulation adipeuse — Huestis et al., 1996, J. Anal. Toxicol. 20: 441–452).</w:t>
      </w:r>
    </w:p>
    <w:p>
      <w:pPr>
        <w:pStyle w:val="Heading2"/>
      </w:pPr>
      <w:r>
        <w:t>7.3  Cannabidiol (CBD)</w:t>
      </w:r>
    </w:p>
    <w:p>
      <w:pPr>
        <w:spacing w:before="80" w:after="120" w:line="324" w:lineRule="auto"/>
        <w:jc w:val="both"/>
      </w:pPr>
      <w:r>
        <w:rPr>
          <w:rFonts w:ascii="Garamond" w:hAnsi="Garamond"/>
          <w:sz w:val="22"/>
        </w:rPr>
        <w:t>Le cannabidiol (C₂₁H₃₀O₂, MW = 314,46 g/mol, CAS 13956-29-1) — isomère structural du THC sans fermeture du cycle pyranique — est non psychoactif aux doses pharmacologiques. Sa découverte est antérieure à celle du THC : Roger Adams isola le CBD en 1940 (Adams et al., J. Am. Chem. Soc. 62: 196–200) ; sa structure complète fut élucidée par Mechoulam &amp; Shvo en 1963 (Tetrahedron 19: 2073–2078).</w:t>
      </w:r>
    </w:p>
    <w:p>
      <w:pPr>
        <w:spacing w:before="80" w:after="120" w:line="324" w:lineRule="auto"/>
        <w:jc w:val="both"/>
      </w:pPr>
      <w:r>
        <w:rPr>
          <w:rFonts w:ascii="Garamond" w:hAnsi="Garamond"/>
          <w:sz w:val="22"/>
        </w:rPr>
        <w:t>Mécanismes d'action principaux : (1) modulation allostérique négative de CB1 — Laprairie et al. (2015, Br. J. Pharmacol. 172: 4790–4805)</w:t>
      </w:r>
      <w:r>
        <w:rPr>
          <w:b/>
          <w:color w:val="2E6B8A"/>
          <w:sz w:val="18"/>
          <w:vertAlign w:val="superscript"/>
        </w:rPr>
        <w:t>[8]</w:t>
      </w:r>
      <w:r>
        <w:rPr>
          <w:rFonts w:ascii="Garamond" w:hAnsi="Garamond"/>
          <w:sz w:val="22"/>
        </w:rPr>
        <w:t>, expliquant l'atténuation des effets indésirables du THC à ratios CBD/THC élevés ; (2) inhibition compétitive de la FAAH (IC₅₀ ≈ 27 µM), augmentant les niveaux endogènes d'anandamide ; (3) activation des canaux TRPV1 (récepteurs vanilloïdes) — Bisogno et al. (2001, Br. J. Pharmacol. 134: 845–852) avec EC₅₀ ≈ 3,5 µM ; (4) agonisme partiel des récepteurs sérotoninergiques 5-HT₁A — Russo et al. (2005, Neurochem. Res. 30: 1037–1043) ; (5) modulation des récepteurs orphelins GPR55 (antagoniste, IC₅₀ ≈ 350 nM) ; (6) activation des récepteurs nucléaires PPARγ (effets métaboliques).</w:t>
      </w:r>
    </w:p>
    <w:p>
      <w:pPr>
        <w:spacing w:before="80" w:after="120" w:line="324" w:lineRule="auto"/>
        <w:jc w:val="both"/>
      </w:pPr>
      <w:r>
        <w:rPr>
          <w:rFonts w:ascii="Garamond" w:hAnsi="Garamond"/>
          <w:sz w:val="22"/>
        </w:rPr>
        <w:t>Propriétés thérapeutiques validées cliniquement : (i) antiépileptiques — approbation FDA en juin 2018 de l'Epidiolex® (cannabidiol oral, 100 mg/mL en solution) pour le syndrome de Dravet et le syndrome de Lennox-Gastaut, sur la base d'essais randomisés contrôlés de Phase III (Devinsky et al., 2017, NEJM 376: 2011–2020 ; Thiele et al., 2018, Lancet 391: 1085–1096)</w:t>
      </w:r>
      <w:r>
        <w:rPr>
          <w:b/>
          <w:color w:val="2E6B8A"/>
          <w:sz w:val="18"/>
          <w:vertAlign w:val="superscript"/>
        </w:rPr>
        <w:t>[30]</w:t>
      </w:r>
      <w:r>
        <w:rPr>
          <w:rFonts w:ascii="Garamond" w:hAnsi="Garamond"/>
          <w:sz w:val="22"/>
        </w:rPr>
        <w:t xml:space="preserve"> ; (ii) anxiolytiques — méta-analyses confirmant l'efficacité dans les troubles anxieux généralisés (Khoury et al., 2019, Cannabis Cannabinoid Res. 4: 105–127) ; (iii) anti-inflammatoires — études précliniques robustes, données cliniques émergentes ; (iv) neuroprotectrices — neutralisation des espèces réactives de l'oxygène (ROS) et de l'azote (RNS), activation de la voie Nrf2/HO-1. LD₅₀ orale &gt; 2000 mg/kg chez le rat.</w:t>
      </w:r>
    </w:p>
    <w:p>
      <w:pPr>
        <w:pStyle w:val="Heading2"/>
      </w:pPr>
      <w:r>
        <w:t>7.4  Cannabichromène (CBC)</w:t>
      </w:r>
    </w:p>
    <w:p>
      <w:pPr>
        <w:spacing w:before="80" w:after="120" w:line="324" w:lineRule="auto"/>
        <w:jc w:val="both"/>
      </w:pPr>
      <w:r>
        <w:rPr>
          <w:rFonts w:ascii="Garamond" w:hAnsi="Garamond"/>
          <w:b w:val="0"/>
          <w:i w:val="0"/>
          <w:sz w:val="22"/>
        </w:rPr>
        <w:t>Le cannabichromène (C₂₁H₃₀O₂, MW = 314,46 g/mol, CAS 20675-51-8) est un cannabinoïde non psychotrope présent en concentrations modérées dans certains cultivars (1–10 %). Il agit principalement comme agoniste des canaux TRPA1 (EC₅₀ ≈ 60 nM), TRPV3 et TRPV4 — De Petrocellis et al. (2008, Br. J. Pharmacol. 154: 1538–1549) — impliqués dans la modulation de la douleur, de l'inflammation et de la perception thermique. Affinité directe modérée pour CB2 (Ki = 620 ± 60 nM) et faible pour CB1 (Ki = 510 ± 50 nM).</w:t>
      </w:r>
    </w:p>
    <w:p>
      <w:pPr>
        <w:spacing w:before="80" w:after="120" w:line="324" w:lineRule="auto"/>
        <w:jc w:val="both"/>
      </w:pPr>
      <w:r>
        <w:rPr>
          <w:rFonts w:ascii="Garamond" w:hAnsi="Garamond"/>
          <w:b w:val="0"/>
          <w:i w:val="0"/>
          <w:sz w:val="22"/>
        </w:rPr>
        <w:t>Propriétés documentées : (1) anti-inflammatoire — Maione et al. (2011, Br. J. Pharmacol. 162: 584–596) ont démontré une réduction significative de l'inflammation intestinale induite par le DNBS à 10 mg/kg ; (2) analgésique — synergie avec le THC sur la douleur neuropathique chez le rongeur ; (3) anticonvulsivant ; (4) neuroprotecteur — Shinjyo &amp; Di Marzo (2013, Neurochem. Int. 63: 432–437) ont rapporté la promotion de la neurogenèse adulte hippocampique ; (5) antibactérien contre Staphylococcus aureus (CMI = 1 µg/mL — Appendino et al., 2008, J. Nat. Prod. 71: 1427–1430) et autres pathogènes gram-positifs et gram-négatifs ; (6) inhibition de la recapture de l'anandamide.</w:t>
      </w:r>
    </w:p>
    <w:p>
      <w:pPr>
        <w:pStyle w:val="Heading2"/>
      </w:pPr>
      <w:r>
        <w:t>7.5  Cannabigérol (CBG)</w:t>
      </w:r>
    </w:p>
    <w:p>
      <w:pPr>
        <w:spacing w:before="80" w:after="120" w:line="324" w:lineRule="auto"/>
        <w:jc w:val="both"/>
      </w:pPr>
      <w:r>
        <w:rPr>
          <w:rFonts w:ascii="Garamond" w:hAnsi="Garamond"/>
          <w:b w:val="0"/>
          <w:i w:val="0"/>
          <w:sz w:val="22"/>
        </w:rPr>
        <w:t>Le cannabigérol (C₂₁H₃₂O₂, MW = 316,48 g/mol, CAS 25654-31-3) est qualifié de "précurseur universel" car il est le premier cannabinoïde stable de la voie biosynthétique. Sa concentration décline rapidement à mesure qu'il est converti en THCA, CBDA ou CBCA par les synthases terminales. Dans la plupart des cultivars matures, le CBG résiduel est inférieur à 1 % du poids sec. Des cultivars à haute teneur (&gt; 10 % CBG) ont été développés par sélection de mutants déficients en synthases terminales (cultivars "CBG-dominant").</w:t>
      </w:r>
    </w:p>
    <w:p>
      <w:pPr>
        <w:spacing w:before="80" w:after="120" w:line="324" w:lineRule="auto"/>
        <w:jc w:val="both"/>
      </w:pPr>
      <w:r>
        <w:rPr>
          <w:rFonts w:ascii="Garamond" w:hAnsi="Garamond"/>
          <w:sz w:val="22"/>
        </w:rPr>
        <w:t>Pharmacologie : faible affinité directe pour CB1 (Ki &gt; 30 000 nM) et modérée pour CB2 (Ki = 350 ± 25 nM) — Cascio et al. (2010, Br. J. Pharmacol. 159: 129–141)</w:t>
      </w:r>
      <w:r>
        <w:rPr>
          <w:b/>
          <w:color w:val="2E6B8A"/>
          <w:sz w:val="18"/>
          <w:vertAlign w:val="superscript"/>
        </w:rPr>
        <w:t>[21]</w:t>
      </w:r>
      <w:r>
        <w:rPr>
          <w:rFonts w:ascii="Garamond" w:hAnsi="Garamond"/>
          <w:sz w:val="22"/>
        </w:rPr>
        <w:t>. Mécanismes alternatifs : (1) agoniste puissant α2-adrénergique (Ki = 0,2 µM) — Cascio et al. 2010 ; (2) antagoniste partiel 5-HT₁A (Ki = 51 µM) ; (3) activation des canaux TRPA1, TRPV1 et TRPV2 ; (4) inhibition de la recapture du GABA. Cette polypharmacologie distinctive explique le profil thérapeutique original du CBG.</w:t>
      </w:r>
    </w:p>
    <w:p>
      <w:pPr>
        <w:spacing w:before="80" w:after="120" w:line="324" w:lineRule="auto"/>
        <w:jc w:val="both"/>
      </w:pPr>
      <w:r>
        <w:rPr>
          <w:rFonts w:ascii="Garamond" w:hAnsi="Garamond"/>
          <w:b w:val="0"/>
          <w:i w:val="0"/>
          <w:sz w:val="22"/>
        </w:rPr>
        <w:t>Propriétés documentées : (i) neuroprotectrices — Valdeolivas et al. (2015, Neurotherapeutics 12: 185–199) ont démontré la protection des neurones dopaminergiques dans un modèle murin de maladie de Huntington ; (ii) anti-inflammatoires intestinales — Borrelli et al. (2013, Biochem. Pharmacol. 85: 1306–1316) ont confirmé l'efficacité dans des modèles de colite induite par DNBS et oxazolone ; (iii) antibactériennes puissantes — particulièrement contre les souches MRSA (Staphylococcus aureus résistant à la méthicilline), avec une CMI de 2 µg/mL comparable à la vancomycine (Appendino et al., 2008) ; (iv) antiprolifératives in vitro sur lignées de cancer colorectal et de glioblastome (Borrelli et al., 2014, Carcinogenesis 35: 2787–2797) ; (v) effets sur l'humeur via la modulation noradrénergique.</w:t>
      </w:r>
    </w:p>
    <w:p>
      <w:pPr>
        <w:pStyle w:val="Heading2"/>
      </w:pPr>
      <w:r>
        <w:t>7.6  Cannabinol (CBN)</w:t>
      </w:r>
    </w:p>
    <w:p>
      <w:pPr>
        <w:spacing w:before="80" w:after="120" w:line="324" w:lineRule="auto"/>
        <w:jc w:val="both"/>
      </w:pPr>
      <w:r>
        <w:rPr>
          <w:rFonts w:ascii="Garamond" w:hAnsi="Garamond"/>
          <w:b w:val="0"/>
          <w:i w:val="0"/>
          <w:sz w:val="22"/>
        </w:rPr>
        <w:t>Le cannabinol (C₂₁H₂₆O₂, MW = 310,43 g/mol, CAS 521-35-7) est un produit de dégradation oxydative et d'aromatisation du THC, formé lentement à température ambiante par exposition à l'oxygène atmosphérique, à la lumière UV et à la chaleur. Sa formation est l'indicateur principal du vieillissement de la matière cannabis. Affinité pour CB2 (Ki = 126 ± 22 nM) supérieure à l'affinité pour CB1 (Ki = 211 ± 42 nM), conférant un profil distinct du THC parent.</w:t>
      </w:r>
    </w:p>
    <w:p>
      <w:pPr>
        <w:spacing w:before="80" w:after="120" w:line="324" w:lineRule="auto"/>
        <w:jc w:val="both"/>
      </w:pPr>
      <w:r>
        <w:rPr>
          <w:rFonts w:ascii="Garamond" w:hAnsi="Garamond"/>
          <w:b w:val="0"/>
          <w:i w:val="0"/>
          <w:sz w:val="22"/>
        </w:rPr>
        <w:t>Potentiel psychoactif environ 5 à 10 fois inférieur à celui du THC (Karniol et al., 1975, Pharmacology 13: 502–512). Les propriétés sédatives traditionnellement attribuées au CBN font l'objet d'un débat scientifique — Hložek et al. (2017, Eur. Neuropsychopharmacol. 27: 1223–1237) suggèrent que ces effets sédatifs sont surtout liés au THC résiduel dans les préparations vieillies et aux terpènes sédatifs (myrcène, linalol) accompagnant le CBN. Propriétés indépendantes documentées : analgésique, anti-inflammatoire (inhibition COX-2), antibactérien (CMI contre MRSA = 1 µg/mL — Appendino et al., 2008), neuroprotecteur. LD₅₀ orale rat &gt; 10 000 mg/kg.</w:t>
      </w:r>
    </w:p>
    <w:p>
      <w:pPr>
        <w:pStyle w:val="Heading2"/>
      </w:pPr>
      <w:r>
        <w:t>7.7  Tétrahydrocannabivarine (THCV)</w:t>
      </w:r>
    </w:p>
    <w:p>
      <w:pPr>
        <w:spacing w:before="80" w:after="120" w:line="324" w:lineRule="auto"/>
        <w:jc w:val="both"/>
      </w:pPr>
      <w:r>
        <w:rPr>
          <w:rFonts w:ascii="Garamond" w:hAnsi="Garamond"/>
          <w:sz w:val="22"/>
        </w:rPr>
        <w:t>Le THCV (C₁₉H₂₆O₂, MW = 286,41 g/mol, CAS 31262-37-0) est un homologue propylique du THC — chaîne latérale propyle (C3) au lieu de pentyle (C5). Cette modification structurale apparemment mineure produit un profil pharmacologique radicalement différent et contre-intuitif. À faibles doses (typiquement &lt; 5 mg chez l'humain), le THCV agit comme antagoniste neutre de CB1 (Ki = 30 ± 4 nM)</w:t>
      </w:r>
      <w:r>
        <w:rPr>
          <w:b/>
          <w:color w:val="2E6B8A"/>
          <w:sz w:val="18"/>
          <w:vertAlign w:val="superscript"/>
        </w:rPr>
        <w:t>[20]</w:t>
      </w:r>
      <w:r>
        <w:rPr>
          <w:rFonts w:ascii="Garamond" w:hAnsi="Garamond"/>
          <w:sz w:val="22"/>
        </w:rPr>
        <w:t>, supprimant l'appétit et atténuant les effets aigus du THC. À doses plus élevées, il devient agoniste partiel de CB2 (Ki = 63 ± 6 nM).</w:t>
      </w:r>
    </w:p>
    <w:p>
      <w:pPr>
        <w:spacing w:before="80" w:after="120" w:line="324" w:lineRule="auto"/>
        <w:jc w:val="both"/>
      </w:pPr>
      <w:r>
        <w:rPr>
          <w:rFonts w:ascii="Garamond" w:hAnsi="Garamond"/>
          <w:sz w:val="22"/>
        </w:rPr>
        <w:t>Propriétés thérapeutiques explorées : (i) anorexigène — réduction de l'appétit et de la consommation alimentaire chez la souris à 3–10 mg/kg (Riedel et al., 2009, Br. J. Pharmacol. 156: 1154–1166) ; (ii) antidiabétique — amélioration de la sensibilité à l'insuline et de la fonction des cellules β-pancréatiques dans des modèles murins d'obésité et de diabète de type 2 (Wargent et al., 2013, Nutr. Diabetes 3: e68) ; un essai clinique pilote (Jadoon et al., 2016, Diabetes Care 39: 1777–1786) a confirmé chez des patients diabétiques de type 2 une amélioration de la glycémie à jeun et de la fonction β-pancréatique sans effets indésirables majeurs ; (iii) antiépileptique — efficacité préclinique dans des modèles murins ; (iv) neuroprotectrice dans des modèles murins de maladie de Parkinson</w:t>
      </w:r>
      <w:r>
        <w:rPr>
          <w:b/>
          <w:color w:val="2E6B8A"/>
          <w:sz w:val="18"/>
          <w:vertAlign w:val="superscript"/>
        </w:rPr>
        <w:t>[21]</w:t>
      </w:r>
      <w:r>
        <w:rPr>
          <w:rFonts w:ascii="Garamond" w:hAnsi="Garamond"/>
          <w:sz w:val="22"/>
        </w:rPr>
        <w:t xml:space="preserve"> ; (v) antipsychotique — données précliniques émergentes. LD₅₀ orale rat = 663 mg/kg.</w:t>
      </w:r>
    </w:p>
    <w:p>
      <w:pPr>
        <w:pStyle w:val="Heading2"/>
      </w:pPr>
      <w:r>
        <w:t>7.8  Cannabielsöine (CBE)</w:t>
      </w:r>
    </w:p>
    <w:p>
      <w:pPr>
        <w:spacing w:before="80" w:after="120" w:line="324" w:lineRule="auto"/>
        <w:jc w:val="both"/>
      </w:pPr>
      <w:r>
        <w:rPr>
          <w:rFonts w:ascii="Garamond" w:hAnsi="Garamond"/>
          <w:b w:val="0"/>
          <w:i w:val="0"/>
          <w:sz w:val="22"/>
        </w:rPr>
        <w:t>Le CBE est un métabolite oxydatif du CBD formé par les enzymes hépatiques CYP2C19 et CYP2C9. Connu depuis 1973 (Bercht et al., Tetrahedron 29: 2939–2941) mais peu étudié. Données récentes (2020–2023) révèlent un profil de signalisation biaisée intéressant : agoniste de CB1 activant sélectivement la voie cAMP/PKA sans recruter significativement la β-arrestine-2 — propriété potentiellement associée à une réduction de la tolérance et des effets secondaires comparé à un agoniste complet "équilibré". Inhibe la FAAH (augmentation indirecte de l'anandamide). Affinité CB1 modérée (EC₅₀ ≈ 3,7 µM en essais in vitro). Profil pharmacologique complet et implications cliniques restent largement à élucider.</w:t>
      </w:r>
    </w:p>
    <w:p>
      <w:pPr>
        <w:pStyle w:val="Heading2"/>
      </w:pPr>
      <w:r>
        <w:t>7.9  THCA et CBDA — les formes acides</w:t>
      </w:r>
    </w:p>
    <w:p>
      <w:pPr>
        <w:spacing w:before="80" w:after="120" w:line="324" w:lineRule="auto"/>
        <w:jc w:val="both"/>
      </w:pPr>
      <w:r>
        <w:rPr>
          <w:rFonts w:ascii="Garamond" w:hAnsi="Garamond"/>
          <w:b w:val="0"/>
          <w:i w:val="0"/>
          <w:sz w:val="22"/>
        </w:rPr>
        <w:t>Les formes acides précurseurs THCA (acide tétrahydrocannabinolique, MW = 358,47 g/mol) et CBDA (acide cannabidiolique, MW = 358,47 g/mol) sont les molécules naturellement présentes dans la plante vivante ou fraîchement séchée non chauffée. Non psychoactives en raison de leur faible affinité pour CB1, elles présentent néanmoins des propriétés biologiques propres et distinctes des formes décarboxylées.</w:t>
      </w:r>
    </w:p>
    <w:p>
      <w:pPr>
        <w:spacing w:before="80" w:after="120" w:line="324" w:lineRule="auto"/>
        <w:jc w:val="both"/>
      </w:pPr>
      <w:r>
        <w:rPr>
          <w:rFonts w:ascii="Garamond" w:hAnsi="Garamond"/>
          <w:b w:val="0"/>
          <w:i w:val="0"/>
          <w:sz w:val="22"/>
        </w:rPr>
        <w:t>Le THCA : (1) anti-inflammatoire — inhibition de COX-1 et COX-2 (Ruhaak et al., 2011, Biol. Pharm. Bull. 34: 774–778) ; (2) neuroprotectrice — protection contre la neurodégénérescence mitochondriale (Moldzio et al., 2012, Phytomedicine 19: 819–824) ; (3) antiémétique via les récepteurs 5-HT₁A — Rock et al. (2013, Br. J. Pharmacol. 170: 671–678) ont démontré une efficacité comparable à l'ondansétron dans des modèles murins ; (4) antiproliférative in vitro sur lignées de cancer colorectal. Le THCA présente une biodisponibilité orale supérieure à celle du THC selon des données précliniques émergentes, avec une demi-vie plasmatique plus longue.</w:t>
      </w:r>
    </w:p>
    <w:p>
      <w:pPr>
        <w:spacing w:before="80" w:after="120" w:line="324" w:lineRule="auto"/>
        <w:jc w:val="both"/>
      </w:pPr>
      <w:r>
        <w:rPr>
          <w:rFonts w:ascii="Garamond" w:hAnsi="Garamond"/>
          <w:b w:val="0"/>
          <w:i w:val="0"/>
          <w:sz w:val="22"/>
        </w:rPr>
        <w:t>Le CBDA : (1) agoniste partiel des récepteurs 5-HT₁A avec une affinité supérieure à celle du CBD (Bolognini et al., 2013, Br. J. Pharmacol. 168: 1456–1470) — ouvrant des perspectives thérapeutiques dans les nausées et l'anxiété ; (2) biodisponibilité orale significativement supérieure à celle du CBD dans des modèles précliniques ; (3) anti-inflammatoire ; (4) anti-prolifératif. Le CBDA et le THCA sont thermosensibles — décarboxylation irréversible lors du chauffage.</w:t>
      </w:r>
    </w:p>
    <w:p>
      <w:pPr>
        <w:pStyle w:val="Heading2"/>
      </w:pPr>
      <w:r>
        <w:t>7.10  Tableau récapitulatif comparatif</w:t>
      </w:r>
    </w:p>
    <w:tbl>
      <w:tblPr>
        <w:tblW w:type="auto" w:w="0"/>
        <w:jc w:val="center"/>
        <w:tblLayout w:type="fixed"/>
        <w:tblLook w:firstColumn="1" w:firstRow="1" w:lastColumn="0" w:lastRow="0" w:noHBand="0" w:noVBand="1" w:val="04A0"/>
      </w:tblPr>
      <w:tblGrid>
        <w:gridCol w:w="1440"/>
        <w:gridCol w:w="1440"/>
        <w:gridCol w:w="1440"/>
        <w:gridCol w:w="1440"/>
        <w:gridCol w:w="1440"/>
        <w:gridCol w:w="1440"/>
      </w:tblGrid>
      <w:tr>
        <w:tc>
          <w:tcPr>
            <w:tcW w:type="dxa" w:w="1417"/>
            <w:tcBorders>
              <w:top w:val="nil"/>
              <w:left w:val="nil"/>
              <w:bottom w:val="single" w:sz="8" w:color="2E6B8A"/>
              <w:right w:val="nil"/>
            </w:tcBorders>
            <w:shd w:fill="E8F4F0" w:val="clear" w:color="auto"/>
            <w:vAlign w:val="center"/>
          </w:tcPr>
          <w:p>
            <w:r/>
            <w:r>
              <w:rPr>
                <w:rFonts w:ascii="Arial" w:hAnsi="Arial"/>
                <w:b/>
                <w:color w:val="1A2E3B"/>
                <w:sz w:val="19"/>
              </w:rPr>
              <w:t>Cannabinoïde</w:t>
            </w:r>
          </w:p>
        </w:tc>
        <w:tc>
          <w:tcPr>
            <w:tcW w:type="dxa" w:w="1814"/>
            <w:tcBorders>
              <w:top w:val="nil"/>
              <w:left w:val="nil"/>
              <w:bottom w:val="single" w:sz="8" w:color="2E6B8A"/>
              <w:right w:val="nil"/>
            </w:tcBorders>
            <w:shd w:fill="E8F4F0" w:val="clear" w:color="auto"/>
            <w:vAlign w:val="center"/>
          </w:tcPr>
          <w:p>
            <w:r/>
            <w:r>
              <w:rPr>
                <w:rFonts w:ascii="Arial" w:hAnsi="Arial"/>
                <w:b/>
                <w:color w:val="1A2E3B"/>
                <w:sz w:val="19"/>
              </w:rPr>
              <w:t>Type d'action principale</w:t>
            </w:r>
          </w:p>
        </w:tc>
        <w:tc>
          <w:tcPr>
            <w:tcW w:type="dxa" w:w="907"/>
            <w:tcBorders>
              <w:top w:val="nil"/>
              <w:left w:val="nil"/>
              <w:bottom w:val="single" w:sz="8" w:color="2E6B8A"/>
              <w:right w:val="nil"/>
            </w:tcBorders>
            <w:shd w:fill="E8F4F0" w:val="clear" w:color="auto"/>
            <w:vAlign w:val="center"/>
          </w:tcPr>
          <w:p>
            <w:r/>
            <w:r>
              <w:rPr>
                <w:rFonts w:ascii="Arial" w:hAnsi="Arial"/>
                <w:b/>
                <w:color w:val="1A2E3B"/>
                <w:sz w:val="19"/>
              </w:rPr>
              <w:t>Ki CB₁ (nM)</w:t>
            </w:r>
          </w:p>
        </w:tc>
        <w:tc>
          <w:tcPr>
            <w:tcW w:type="dxa" w:w="907"/>
            <w:tcBorders>
              <w:top w:val="nil"/>
              <w:left w:val="nil"/>
              <w:bottom w:val="single" w:sz="8" w:color="2E6B8A"/>
              <w:right w:val="nil"/>
            </w:tcBorders>
            <w:shd w:fill="E8F4F0" w:val="clear" w:color="auto"/>
            <w:vAlign w:val="center"/>
          </w:tcPr>
          <w:p>
            <w:r/>
            <w:r>
              <w:rPr>
                <w:rFonts w:ascii="Arial" w:hAnsi="Arial"/>
                <w:b/>
                <w:color w:val="1A2E3B"/>
                <w:sz w:val="19"/>
              </w:rPr>
              <w:t>Ki CB₂ (nM)</w:t>
            </w:r>
          </w:p>
        </w:tc>
        <w:tc>
          <w:tcPr>
            <w:tcW w:type="dxa" w:w="1134"/>
            <w:tcBorders>
              <w:top w:val="nil"/>
              <w:left w:val="nil"/>
              <w:bottom w:val="single" w:sz="8" w:color="2E6B8A"/>
              <w:right w:val="nil"/>
            </w:tcBorders>
            <w:shd w:fill="E8F4F0" w:val="clear" w:color="auto"/>
            <w:vAlign w:val="center"/>
          </w:tcPr>
          <w:p>
            <w:r/>
            <w:r>
              <w:rPr>
                <w:rFonts w:ascii="Arial" w:hAnsi="Arial"/>
                <w:b/>
                <w:color w:val="1A2E3B"/>
                <w:sz w:val="19"/>
              </w:rPr>
              <w:t>LD₅₀ rat oral</w:t>
            </w:r>
          </w:p>
        </w:tc>
        <w:tc>
          <w:tcPr>
            <w:tcW w:type="dxa" w:w="2324"/>
            <w:tcBorders>
              <w:top w:val="nil"/>
              <w:left w:val="nil"/>
              <w:bottom w:val="single" w:sz="8" w:color="2E6B8A"/>
              <w:right w:val="nil"/>
            </w:tcBorders>
            <w:shd w:fill="E8F4F0" w:val="clear" w:color="auto"/>
            <w:vAlign w:val="center"/>
          </w:tcPr>
          <w:p>
            <w:r/>
            <w:r>
              <w:rPr>
                <w:rFonts w:ascii="Arial" w:hAnsi="Arial"/>
                <w:b/>
                <w:color w:val="1A2E3B"/>
                <w:sz w:val="19"/>
              </w:rPr>
              <w:t>Propriétés clés</w:t>
            </w:r>
          </w:p>
        </w:tc>
      </w:tr>
      <w:tr>
        <w:tc>
          <w:tcPr>
            <w:tcW w:type="dxa" w:w="141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Δ⁹-THC</w:t>
            </w:r>
          </w:p>
        </w:tc>
        <w:tc>
          <w:tcPr>
            <w:tcW w:type="dxa" w:w="181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Agoniste partiel CB1/CB2</w:t>
            </w:r>
          </w:p>
        </w:tc>
        <w:tc>
          <w:tcPr>
            <w:tcW w:type="dxa" w:w="90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41 ± 2</w:t>
            </w:r>
          </w:p>
        </w:tc>
        <w:tc>
          <w:tcPr>
            <w:tcW w:type="dxa" w:w="90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36 ± 2</w:t>
            </w:r>
          </w:p>
        </w:tc>
        <w:tc>
          <w:tcPr>
            <w:tcW w:type="dxa" w:w="113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800–1000 mg/kg</w:t>
            </w:r>
          </w:p>
        </w:tc>
        <w:tc>
          <w:tcPr>
            <w:tcW w:type="dxa" w:w="232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Psychoactif, analgésique, antiémétique, orexigène, antispasmodique</w:t>
            </w:r>
          </w:p>
        </w:tc>
      </w:tr>
      <w:tr>
        <w:tc>
          <w:tcPr>
            <w:tcW w:type="dxa" w:w="141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Δ⁸-THC</w:t>
            </w:r>
          </w:p>
        </w:tc>
        <w:tc>
          <w:tcPr>
            <w:tcW w:type="dxa" w:w="181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Agoniste partiel CB1/CB2</w:t>
            </w:r>
          </w:p>
        </w:tc>
        <w:tc>
          <w:tcPr>
            <w:tcW w:type="dxa" w:w="90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44 ± 3</w:t>
            </w:r>
          </w:p>
        </w:tc>
        <w:tc>
          <w:tcPr>
            <w:tcW w:type="dxa" w:w="90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39 ± 5</w:t>
            </w:r>
          </w:p>
        </w:tc>
        <w:tc>
          <w:tcPr>
            <w:tcW w:type="dxa" w:w="113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860–1980 mg/kg</w:t>
            </w:r>
          </w:p>
        </w:tc>
        <w:tc>
          <w:tcPr>
            <w:tcW w:type="dxa" w:w="232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Moins psychoactif que Δ⁹, antiémétique, anxiolytique</w:t>
            </w:r>
          </w:p>
        </w:tc>
      </w:tr>
      <w:tr>
        <w:tc>
          <w:tcPr>
            <w:tcW w:type="dxa" w:w="141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CBD</w:t>
            </w:r>
          </w:p>
        </w:tc>
        <w:tc>
          <w:tcPr>
            <w:tcW w:type="dxa" w:w="181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Mod. allostérique nég. CB1</w:t>
            </w:r>
          </w:p>
        </w:tc>
        <w:tc>
          <w:tcPr>
            <w:tcW w:type="dxa" w:w="90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&gt; 2860</w:t>
            </w:r>
          </w:p>
        </w:tc>
        <w:tc>
          <w:tcPr>
            <w:tcW w:type="dxa" w:w="90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&gt; 3780</w:t>
            </w:r>
          </w:p>
        </w:tc>
        <w:tc>
          <w:tcPr>
            <w:tcW w:type="dxa" w:w="113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&gt; 2000 mg/kg</w:t>
            </w:r>
          </w:p>
        </w:tc>
        <w:tc>
          <w:tcPr>
            <w:tcW w:type="dxa" w:w="232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Anxiolytique, antiépileptique (Epidiolex®), anti-inflam., antipsychotique</w:t>
            </w:r>
          </w:p>
        </w:tc>
      </w:tr>
      <w:tr>
        <w:tc>
          <w:tcPr>
            <w:tcW w:type="dxa" w:w="141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CBG</w:t>
            </w:r>
          </w:p>
        </w:tc>
        <w:tc>
          <w:tcPr>
            <w:tcW w:type="dxa" w:w="181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Agoniste α2-adrénergique</w:t>
            </w:r>
          </w:p>
        </w:tc>
        <w:tc>
          <w:tcPr>
            <w:tcW w:type="dxa" w:w="90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&gt; 30 000</w:t>
            </w:r>
          </w:p>
        </w:tc>
        <w:tc>
          <w:tcPr>
            <w:tcW w:type="dxa" w:w="90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350 ± 25</w:t>
            </w:r>
          </w:p>
        </w:tc>
        <w:tc>
          <w:tcPr>
            <w:tcW w:type="dxa" w:w="113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N.D.</w:t>
            </w:r>
          </w:p>
        </w:tc>
        <w:tc>
          <w:tcPr>
            <w:tcW w:type="dxa" w:w="232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Neuroprotecteur, anti-inflam. intestinal, antibactérien (MRSA), précurseur</w:t>
            </w:r>
          </w:p>
        </w:tc>
      </w:tr>
      <w:tr>
        <w:tc>
          <w:tcPr>
            <w:tcW w:type="dxa" w:w="141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CBC</w:t>
            </w:r>
          </w:p>
        </w:tc>
        <w:tc>
          <w:tcPr>
            <w:tcW w:type="dxa" w:w="181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Agoniste TRPA1/V3/V4</w:t>
            </w:r>
          </w:p>
        </w:tc>
        <w:tc>
          <w:tcPr>
            <w:tcW w:type="dxa" w:w="90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510 ± 50</w:t>
            </w:r>
          </w:p>
        </w:tc>
        <w:tc>
          <w:tcPr>
            <w:tcW w:type="dxa" w:w="90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620 ± 60</w:t>
            </w:r>
          </w:p>
        </w:tc>
        <w:tc>
          <w:tcPr>
            <w:tcW w:type="dxa" w:w="113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&gt; 100 mg/kg</w:t>
            </w:r>
          </w:p>
        </w:tc>
        <w:tc>
          <w:tcPr>
            <w:tcW w:type="dxa" w:w="232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Anti-inflam., analgésique, neuroprotecteur, antibactérien</w:t>
            </w:r>
          </w:p>
        </w:tc>
      </w:tr>
      <w:tr>
        <w:tc>
          <w:tcPr>
            <w:tcW w:type="dxa" w:w="141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CBN</w:t>
            </w:r>
          </w:p>
        </w:tc>
        <w:tc>
          <w:tcPr>
            <w:tcW w:type="dxa" w:w="181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Agoniste partiel (préf. CB2)</w:t>
            </w:r>
          </w:p>
        </w:tc>
        <w:tc>
          <w:tcPr>
            <w:tcW w:type="dxa" w:w="90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211 ± 42</w:t>
            </w:r>
          </w:p>
        </w:tc>
        <w:tc>
          <w:tcPr>
            <w:tcW w:type="dxa" w:w="90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126 ± 22</w:t>
            </w:r>
          </w:p>
        </w:tc>
        <w:tc>
          <w:tcPr>
            <w:tcW w:type="dxa" w:w="113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&gt; 10 000 mg/kg</w:t>
            </w:r>
          </w:p>
        </w:tc>
        <w:tc>
          <w:tcPr>
            <w:tcW w:type="dxa" w:w="232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Sédatif (débattu), analgésique, antibactérien</w:t>
            </w:r>
          </w:p>
        </w:tc>
      </w:tr>
      <w:tr>
        <w:tc>
          <w:tcPr>
            <w:tcW w:type="dxa" w:w="141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THCV</w:t>
            </w:r>
          </w:p>
        </w:tc>
        <w:tc>
          <w:tcPr>
            <w:tcW w:type="dxa" w:w="181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Antagoniste CB1 / Agoniste CB2</w:t>
            </w:r>
          </w:p>
        </w:tc>
        <w:tc>
          <w:tcPr>
            <w:tcW w:type="dxa" w:w="90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30 ± 4</w:t>
            </w:r>
          </w:p>
        </w:tc>
        <w:tc>
          <w:tcPr>
            <w:tcW w:type="dxa" w:w="90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63 ± 6</w:t>
            </w:r>
          </w:p>
        </w:tc>
        <w:tc>
          <w:tcPr>
            <w:tcW w:type="dxa" w:w="113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663 mg/kg</w:t>
            </w:r>
          </w:p>
        </w:tc>
        <w:tc>
          <w:tcPr>
            <w:tcW w:type="dxa" w:w="232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Anorexigène, anti-diabétique, antiépileptique, neuroprotecteur</w:t>
            </w:r>
          </w:p>
        </w:tc>
      </w:tr>
      <w:tr>
        <w:tc>
          <w:tcPr>
            <w:tcW w:type="dxa" w:w="141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THCA</w:t>
            </w:r>
          </w:p>
        </w:tc>
        <w:tc>
          <w:tcPr>
            <w:tcW w:type="dxa" w:w="181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Non psychoactif</w:t>
            </w:r>
          </w:p>
        </w:tc>
        <w:tc>
          <w:tcPr>
            <w:tcW w:type="dxa" w:w="90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&gt; 1 µM</w:t>
            </w:r>
          </w:p>
        </w:tc>
        <w:tc>
          <w:tcPr>
            <w:tcW w:type="dxa" w:w="90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&gt; 1 µM</w:t>
            </w:r>
          </w:p>
        </w:tc>
        <w:tc>
          <w:tcPr>
            <w:tcW w:type="dxa" w:w="113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N.D.</w:t>
            </w:r>
          </w:p>
        </w:tc>
        <w:tc>
          <w:tcPr>
            <w:tcW w:type="dxa" w:w="232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Anti-inflam. (COX), antiémétique (5-HT1A), neuroprotecteur</w:t>
            </w:r>
          </w:p>
        </w:tc>
      </w:tr>
      <w:tr>
        <w:tc>
          <w:tcPr>
            <w:tcW w:type="dxa" w:w="141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CBDA</w:t>
            </w:r>
          </w:p>
        </w:tc>
        <w:tc>
          <w:tcPr>
            <w:tcW w:type="dxa" w:w="181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Non psychoactif, ag. 5-HT1A</w:t>
            </w:r>
          </w:p>
        </w:tc>
        <w:tc>
          <w:tcPr>
            <w:tcW w:type="dxa" w:w="90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&gt; 1 µM</w:t>
            </w:r>
          </w:p>
        </w:tc>
        <w:tc>
          <w:tcPr>
            <w:tcW w:type="dxa" w:w="90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&gt; 1 µM</w:t>
            </w:r>
          </w:p>
        </w:tc>
        <w:tc>
          <w:tcPr>
            <w:tcW w:type="dxa" w:w="113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N.D.</w:t>
            </w:r>
          </w:p>
        </w:tc>
        <w:tc>
          <w:tcPr>
            <w:tcW w:type="dxa" w:w="232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Anti-nausées (5-HT1A), anxiolytique, antiproliférative</w:t>
            </w:r>
          </w:p>
        </w:tc>
      </w:tr>
      <w:tr>
        <w:tc>
          <w:tcPr>
            <w:tcW w:type="dxa" w:w="141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CBE</w:t>
            </w:r>
          </w:p>
        </w:tc>
        <w:tc>
          <w:tcPr>
            <w:tcW w:type="dxa" w:w="181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Agoniste biaisé CB1 (cAMP)</w:t>
            </w:r>
          </w:p>
        </w:tc>
        <w:tc>
          <w:tcPr>
            <w:tcW w:type="dxa" w:w="90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EC₅₀ 3,7 µM</w:t>
            </w:r>
          </w:p>
        </w:tc>
        <w:tc>
          <w:tcPr>
            <w:tcW w:type="dxa" w:w="90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N.D.</w:t>
            </w:r>
          </w:p>
        </w:tc>
        <w:tc>
          <w:tcPr>
            <w:tcW w:type="dxa" w:w="113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N.D.</w:t>
            </w:r>
          </w:p>
        </w:tc>
        <w:tc>
          <w:tcPr>
            <w:tcW w:type="dxa" w:w="232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Métabolite du CBD, inhibiteur FAAH</w:t>
            </w:r>
          </w:p>
        </w:tc>
      </w:tr>
      <w:tr>
        <w:tc>
          <w:tcPr>
            <w:tcW w:type="dxa" w:w="141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β-Caryophyllène</w:t>
            </w:r>
          </w:p>
        </w:tc>
        <w:tc>
          <w:tcPr>
            <w:tcW w:type="dxa" w:w="181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Agoniste sélectif CB2</w:t>
            </w:r>
          </w:p>
        </w:tc>
        <w:tc>
          <w:tcPr>
            <w:tcW w:type="dxa" w:w="90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&gt; 10 000</w:t>
            </w:r>
          </w:p>
        </w:tc>
        <w:tc>
          <w:tcPr>
            <w:tcW w:type="dxa" w:w="90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155 ± 50</w:t>
            </w:r>
          </w:p>
        </w:tc>
        <w:tc>
          <w:tcPr>
            <w:tcW w:type="dxa" w:w="113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&gt; 5000 mg/kg</w:t>
            </w:r>
          </w:p>
        </w:tc>
        <w:tc>
          <w:tcPr>
            <w:tcW w:type="dxa" w:w="232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Terpène-cannabinoïde — anti-inflam. puissant sans psychoactivité</w:t>
            </w:r>
          </w:p>
        </w:tc>
      </w:tr>
    </w:tbl>
    <w:p>
      <w:pPr>
        <w:spacing w:before="0" w:after="80"/>
      </w:pPr>
    </w:p>
    <w:p>
      <w:pPr>
        <w:spacing w:before="60" w:after="240"/>
        <w:jc w:val="center"/>
      </w:pPr>
      <w:r>
        <w:rPr>
          <w:rFonts w:ascii="Arial" w:hAnsi="Arial"/>
          <w:i/>
          <w:color w:val="5A5A5A"/>
          <w:sz w:val="18"/>
        </w:rPr>
        <w:t>Tableau 7.1 — Synthèse pharmacologique comparée des principaux phytocannabinoïdes. Ki = constante d'inhibition ; LD₅₀ = dose létale médiane orale rat ; N.D. = non disponible. Sources : Pertwee 2008, Cascio 2010, Bolognini 2010, Laprairie 2015, Gertsch 2008.</w:t>
      </w:r>
    </w:p>
    <w:p>
      <w:pPr>
        <w:pStyle w:val="Heading2"/>
      </w:pPr>
      <w:r>
        <w:t>7.11  Aperçu sur les cannabinoïdes synthétiques</w:t>
      </w:r>
    </w:p>
    <w:p>
      <w:pPr>
        <w:spacing w:before="80" w:after="120" w:line="324" w:lineRule="auto"/>
        <w:jc w:val="both"/>
      </w:pPr>
      <w:r>
        <w:rPr>
          <w:rFonts w:ascii="Garamond" w:hAnsi="Garamond"/>
          <w:b w:val="0"/>
          <w:i w:val="0"/>
          <w:sz w:val="22"/>
        </w:rPr>
        <w:t>Les cannabinoïdes synthétiques (JWH-018, JWH-073, JWH-210, AM-2201, HU-210, CP-55,940, MDMB-CHMICA, 5F-ADB et autres) constituent une classe toxicologique distincte des phytocannabinoïdes naturels, malgré leur appellation commune. Initialement développés comme outils de recherche pharmacologique pour cartographier les récepteurs CB1/CB2, ils ont proliféré dès les années 2000 comme drogues de synthèse illicites ("Spice", "K2").</w:t>
      </w:r>
    </w:p>
    <w:p>
      <w:pPr>
        <w:spacing w:before="80" w:after="120" w:line="324" w:lineRule="auto"/>
        <w:jc w:val="both"/>
      </w:pPr>
      <w:r>
        <w:rPr>
          <w:rFonts w:ascii="Garamond" w:hAnsi="Garamond"/>
          <w:b w:val="0"/>
          <w:i w:val="0"/>
          <w:sz w:val="22"/>
        </w:rPr>
        <w:t>Leur dangerosité clinique tient à plusieurs facteurs concomitants : (1) ce sont des agonistes complets de CB1 (Emax ≈ 100 %) contrairement au THC (agoniste partiel, Emax ≈ 56 %) — produisant une activation maximale sans plafonnement protecteur ; (2) leurs affinités pour CB1 sont souvent 5 à 700 fois supérieures à celle du THC (HU-210 : Ki = 0,06 ± 0,01 nM ; JWH-210 : Ki = 0,46 nM ; AM-2201 : Ki = 1,0 ± 0,2 nM) ; (3) métabolites de phase II (glucuroconjugués) souvent encore actifs, prolongeant les effets ; (4) potentiel addictif nettement supérieur au cannabis naturel ; (5) toxicité aiguë documentée incluant convulsions, arythmies ventriculaires graves, insuffisance rénale aiguë (rhabdomyolyse), états psychotiques prolongés, et décès rapportés (Tait et al., 2016, Clin. Toxicol. 54: 1–13).</w:t>
      </w:r>
    </w:p>
    <w:p>
      <w:pPr>
        <w:spacing w:before="80" w:after="120" w:line="324" w:lineRule="auto"/>
        <w:jc w:val="both"/>
      </w:pPr>
      <w:r>
        <w:rPr>
          <w:rFonts w:ascii="Garamond" w:hAnsi="Garamond"/>
          <w:b w:val="0"/>
          <w:i w:val="0"/>
          <w:sz w:val="22"/>
        </w:rPr>
        <w:t>L'épidémie d'intoxications au K2/Spice survenue à New York en 2016 ("zombie outbreak") illustre la sévérité de ces composés : 33 patients ont présenté des symptômes neurologiques sévères après consommation d'un produit contenant le cannabinoïde synthétique AMB-FUBINACA (Adams et al., 2017, NEJM 376: 235–242), à des concentrations cérébrales 85 fois supérieures à celles nécessaires pour activer pleinement CB1. Ces composés ne présentent aucune analogie de sécurité avec les phytocannabinoïdes naturels.</w:t>
      </w:r>
    </w:p>
    <w:p>
      <w:pPr>
        <w:pStyle w:val="Heading1"/>
      </w:pPr>
      <w:r>
        <w:t>VIII. MÉTHODES DE SÉPARATION ET D'EXTRACTION</w:t>
      </w:r>
    </w:p>
    <w:p>
      <w:pPr>
        <w:pStyle w:val="Heading2"/>
      </w:pPr>
      <w:r>
        <w:t>8.1  Distinction fondamentale : séparation vs. extraction</w:t>
      </w:r>
    </w:p>
    <w:p>
      <w:pPr>
        <w:spacing w:before="80" w:after="120" w:line="324" w:lineRule="auto"/>
        <w:jc w:val="both"/>
      </w:pPr>
      <w:r>
        <w:rPr>
          <w:rFonts w:ascii="Garamond" w:hAnsi="Garamond"/>
          <w:b w:val="0"/>
          <w:i w:val="0"/>
          <w:sz w:val="22"/>
        </w:rPr>
        <w:t>Une distinction conceptuelle essentielle structure la compréhension des concentrés de cannabis : la différence entre séparation mécanique et extraction chimique. Cette distinction a des implications profondes sur la nature du produit final, sa composition, son spectre phytochimique, sa pureté et les risques sanitaires associés.</w:t>
      </w:r>
    </w:p>
    <w:p>
      <w:pPr>
        <w:spacing w:before="80" w:after="120" w:line="324" w:lineRule="auto"/>
        <w:jc w:val="both"/>
      </w:pPr>
      <w:r>
        <w:rPr>
          <w:rFonts w:ascii="Garamond" w:hAnsi="Garamond"/>
          <w:b w:val="0"/>
          <w:i w:val="0"/>
          <w:sz w:val="22"/>
        </w:rPr>
        <w:t>Dans une séparation mécanique, les trichomes glandulaires sont isolés physiquement de la matière végétale sans dissolution ni transformation chimique des composés actifs. Les cannabinoïdes et terpènes restent encapsulés dans leur matrice résinifère d'origine — la tête glandulaire intacte avec sa cuticule cireuse externe, ses cellules sécrétrices et sa cavité de stockage. Dans une extraction chimique, des solvants dissolvent les composés actifs, qui sont ensuite récupérés après évaporation du solvant. Les molécules ont subi un cycle solubilisation–désolvatation pouvant entraîner des modifications structurales mineures (perte sélective de composés thermosensibles, oxydations partielles, isomérisations).</w:t>
      </w:r>
    </w:p>
    <w:p>
      <w:pPr>
        <w:spacing w:before="80" w:after="120" w:line="324" w:lineRule="auto"/>
        <w:jc w:val="both"/>
      </w:pPr>
      <w:r>
        <w:rPr>
          <w:rFonts w:ascii="Garamond" w:hAnsi="Garamond"/>
          <w:b w:val="0"/>
          <w:i w:val="0"/>
          <w:sz w:val="22"/>
        </w:rPr>
        <w:t>L'eau, composé fortement polaire (paramètre de solubilité δ = 23,4 cal¹/²/cm³/², constante diélectrique ε = 78,5), n'est pas un solvant des cannabinoïdes et terpènes — composés fortement apolaires avec logP entre 4 et 7. Lors d'une extraction au Bubble Hash, l'eau glacée joue ainsi un rôle purement mécanique : (i) rigidification des membranes cellulaires des trichomes par choc thermique, (ii) facilitation du détachement physique des têtes glandulaires lors de l'agitation mécanique. C'est une séparation par densité et taille de particules, non une dissolution chimique.</w:t>
      </w:r>
    </w:p>
    <w:p>
      <w:pPr>
        <w:pStyle w:val="Heading2"/>
      </w:pPr>
      <w:r>
        <w:t>8.2  Séparations mécaniques traditionnelles</w:t>
      </w:r>
    </w:p>
    <w:p>
      <w:pPr>
        <w:pStyle w:val="Heading3"/>
      </w:pPr>
      <w:r>
        <w:t>8.2.1  Charas (technique traditionnelle indienne)</w:t>
      </w:r>
    </w:p>
    <w:p>
      <w:pPr>
        <w:spacing w:before="80" w:after="120" w:line="324" w:lineRule="auto"/>
        <w:jc w:val="both"/>
      </w:pPr>
      <w:r>
        <w:rPr>
          <w:rFonts w:ascii="Garamond" w:hAnsi="Garamond"/>
          <w:b w:val="0"/>
          <w:i w:val="0"/>
          <w:sz w:val="22"/>
        </w:rPr>
        <w:t>Le charas est probablement la forme de concentré de cannabis la plus ancienne documentée, produite depuis des millénaires dans la région himalayenne. La fabrication traditionnelle consiste à frotter les sommités florales encore fraîches de plantes vivantes entre les paumes des mains en mouvements circulaires continus. La chaleur corporelle (~ 36°C) et la pression mécanique décollent les trichomes glandulaires de la matière végétale et les agrègent en une résine collante, malléable, sombre et fortement parfumée. Les artisans expérimentés peuvent produire 7 à 12 grammes de charas par journée de récolte. Le Malana Cream (Parvati Valley, Himachal Pradesh, Inde) et le Charas népalais constituent des références culturelles et qualitatives mondiales.</w:t>
      </w:r>
    </w:p>
    <w:p>
      <w:pPr>
        <w:pStyle w:val="Heading3"/>
      </w:pPr>
      <w:r>
        <w:t>8.2.2  Tamisage à sec (Dry Sift, Kief)</w:t>
      </w:r>
    </w:p>
    <w:p>
      <w:pPr>
        <w:spacing w:before="80" w:after="120" w:line="324" w:lineRule="auto"/>
        <w:jc w:val="both"/>
      </w:pPr>
      <w:r>
        <w:rPr>
          <w:rFonts w:ascii="Garamond" w:hAnsi="Garamond"/>
          <w:b w:val="0"/>
          <w:i w:val="0"/>
          <w:sz w:val="22"/>
        </w:rPr>
        <w:t>Le tamisage à sec consiste à faire passer de la matière végétale séchée à travers des tamis vibrants à maillage progressivement décroissant (typiquement 220 → 160 → 120 → 90 → 73 → 25 µm). Les trichomes glandulaires capités-pédiculés (50–500 µm) sont retenus ou traversent selon leur taille. Le produit final — le kief — est constitué d'une poudre fine de têtes glandulaires séparées des éléments végétaux par différence de granulométrie. Inconvénient majeur : co-extraction inévitable de particules végétales fines (fragments de feuilles, trichomes non glandulaires, résidus de pollen), même aux maillages les plus fins. La pureté des fractions les plus fines (&lt; 90 µm) atteint typiquement 70–85 % de têtes glandulaires.</w:t>
      </w:r>
    </w:p>
    <w:p>
      <w:pPr>
        <w:pStyle w:val="Heading3"/>
      </w:pPr>
      <w:r>
        <w:t>8.2.3  Extraction à l'eau glacée (Bubble Hash, Ice-O-lator)</w:t>
      </w:r>
    </w:p>
    <w:p>
      <w:pPr>
        <w:spacing w:before="80" w:after="120" w:line="324" w:lineRule="auto"/>
        <w:jc w:val="both"/>
      </w:pPr>
      <w:r>
        <w:rPr>
          <w:rFonts w:ascii="Garamond" w:hAnsi="Garamond"/>
          <w:b w:val="0"/>
          <w:i w:val="0"/>
          <w:sz w:val="22"/>
        </w:rPr>
        <w:t>Méthode développée et popularisée par Reinhard Delp et Mila Jansen dans les années 1990, raffinée et standardisée par Frenchy Cannoli (1960–2021) et les producteurs de la côte Ouest américaine. La biomasse (fraîche congelée "Fresh Frozen" ou sèche) est brassée mécaniquement dans de l'eau glacée (température optimale : 0–4°C), puis la suspension passe à travers une série de sacs-tamis filtrants à maillage décroissant (220 → 160 → 120 → 90 → 73 → 45 → 25 µm). Chaque fraction collectée présente une qualité et une pureté distinctes.</w:t>
      </w:r>
    </w:p>
    <w:p>
      <w:pPr>
        <w:spacing w:before="80" w:after="120" w:line="324" w:lineRule="auto"/>
        <w:jc w:val="both"/>
      </w:pPr>
      <w:r>
        <w:rPr>
          <w:rFonts w:ascii="Garamond" w:hAnsi="Garamond"/>
          <w:b w:val="0"/>
          <w:i w:val="0"/>
          <w:sz w:val="22"/>
        </w:rPr>
        <w:t>Les fractions les plus pures (25–45 µm) sont constituées quasi-exclusivement de têtes glandulaires capités-pédiculées intactes — le "full-melt" qui fond complètement sur une surface chaude sans laisser de résidu. La fraction 73–90 µm constitue un compromis qualité/rendement et représente souvent la fraction commerciale principale. La température de l'eau est critique et fait l'objet d'un débat technique actif : une eau trop froide (&lt; 0°C avec glace carbonique) provoque la fracture des têtes glandulaires fragilisées et libère les composés actifs dans l'eau, dégradant le rendement et la qualité terpénique ; une eau trop chaude (&gt; 8°C) réduit l'efficacité du choc thermique nécessaire au détachement.</w:t>
      </w:r>
    </w:p>
    <w:p>
      <w:pPr>
        <w:pStyle w:val="Heading3"/>
      </w:pPr>
      <w:r>
        <w:t>8.2.4  Extraction triboélectrique (innovation contemporaine)</w:t>
      </w:r>
    </w:p>
    <w:p>
      <w:pPr>
        <w:spacing w:before="80" w:after="120" w:line="324" w:lineRule="auto"/>
        <w:jc w:val="both"/>
      </w:pPr>
      <w:r>
        <w:rPr>
          <w:rFonts w:ascii="Garamond" w:hAnsi="Garamond"/>
          <w:b w:val="0"/>
          <w:i w:val="0"/>
          <w:sz w:val="22"/>
        </w:rPr>
        <w:t>Les procédés triboélectriques exploitent les charges électrostatiques générées par friction entre matériaux. Les systèmes contemporains de référence — "Static-Room" et "Plasma-Static" développés par Hashcru et plusieurs équipes nord-américaines depuis 2018 — utilisent un champ électrostatique généré entre deux plaques métalliques polarisées à plusieurs kilovolts. Les têtes glandulaires des trichomes, naturellement chargées différemment de la matière végétale lors de la friction, sont attirées sélectivement par la plaque de polarité opposée. Le procédé opère à basse température (0–10°C), sans solvant, et préserve maximalement l'intégrité structurale des têtes glandulaires et de leur contenu terpénique. Les concentrés obtenus sont constitués à plus de 90 % de têtes glandulaires intactes, avec des teneurs en cannabinoïdes totaux dépassant fréquemment 80 % du poids sec. Ces méthodes restent en développement actif et leurs aspects techniques font partiellement l'objet de propriété industrielle non publique.</w:t>
      </w:r>
    </w:p>
    <w:p>
      <w:pPr>
        <w:pStyle w:val="Heading2"/>
      </w:pPr>
      <w:r>
        <w:t>8.3  Extractions chimiques solvantées</w:t>
      </w:r>
    </w:p>
    <w:p>
      <w:pPr>
        <w:pStyle w:val="Heading3"/>
      </w:pPr>
      <w:r>
        <w:t>8.3.1  BHO et PHO (hydrocarbures légers)</w:t>
      </w:r>
    </w:p>
    <w:p>
      <w:pPr>
        <w:spacing w:before="80" w:after="120" w:line="324" w:lineRule="auto"/>
        <w:jc w:val="both"/>
      </w:pPr>
      <w:r>
        <w:rPr>
          <w:rFonts w:ascii="Garamond" w:hAnsi="Garamond"/>
          <w:b w:val="0"/>
          <w:i w:val="0"/>
          <w:sz w:val="22"/>
        </w:rPr>
        <w:t>Le butane (C₄H₁₀, Tébullition = -0,6°C, paramètre de solubilité δ = 7,1 cal¹/²/cm³/²) et le propane (C₃H₈, Tébullition = -42,1°C, δ = 6,3) sont des hydrocarbures légers fortement apolaires présentant une sélectivité élevée pour les cannabinoïdes et terpènes lipophiles, avec extraction minimale des composés polaires indésirables (chlorophylles, sucres, acides aminés). La technique implique le passage du solvant liquéfié sous pression à travers une colonne d'extraction remplie de biomasse, la collecte de l'extrait dans un plat de récupération, puis l'évaporation du solvant résiduel par purge sous vide à basse température (typiquement 40–50°C pendant 48–96 heures sous vide à -29 inHg, soit ~70 mbar absolu).</w:t>
      </w:r>
    </w:p>
    <w:p>
      <w:pPr>
        <w:spacing w:before="80" w:after="120" w:line="324" w:lineRule="auto"/>
        <w:jc w:val="both"/>
      </w:pPr>
      <w:r>
        <w:rPr>
          <w:rFonts w:ascii="Garamond" w:hAnsi="Garamond"/>
          <w:b w:val="0"/>
          <w:i w:val="0"/>
          <w:sz w:val="22"/>
        </w:rPr>
        <w:t>La sécurité constitue l'enjeu majeur : le butane et le propane sont hautement inflammables (LIE 1,8 % et 2,1 % v/v dans l'air), et des accidents mortels ont été documentés lors d'extractions amateures en espace clos non ventilé. L'extraction en système "closed-loop" (boucle fermée sous atmosphère inerte) avec récupération et recyclage du solvant constitue le standard de sécurité industriel. La cryoextraction (biomasse et solvant à -40°C à -80°C) maximise la préservation terpénique. Les produits dérivés couvrent un spectre étendu : shatter (extrait vitrifié dur), badder (extrait crémeux), wax (extrait cireux), sauce (mélange diamonds + terpenes), live resin (extrait à partir de plantes fraîches congelées).</w:t>
      </w:r>
    </w:p>
    <w:p>
      <w:pPr>
        <w:pStyle w:val="Heading3"/>
      </w:pPr>
      <w:r>
        <w:t>8.3.2  EHO (éthanol) et RSO</w:t>
      </w:r>
    </w:p>
    <w:p>
      <w:pPr>
        <w:spacing w:before="80" w:after="120" w:line="324" w:lineRule="auto"/>
        <w:jc w:val="both"/>
      </w:pPr>
      <w:r>
        <w:rPr>
          <w:rFonts w:ascii="Garamond" w:hAnsi="Garamond"/>
          <w:b w:val="0"/>
          <w:i w:val="0"/>
          <w:sz w:val="22"/>
        </w:rPr>
        <w:t>L'éthanol (C₂H₅OH, Tébullition = 78,4°C, δ = 12,7, statut GRAS) est un solvant polaire de sélectivité moindre, extrayant également les chlorophylles (pigments verts responsables du goût végétal et de la couleur olive des extraits), les cires végétales et certains sucres. Pour obtenir des extraits éthanoliques de haute pureté, plusieurs étapes de post-traitement sont nécessaires : (1) winterisation — précipitation des lipides et cires par refroidissement à -20°C à -80°C pendant 24–48h, suivie de filtration ; (2) décoloration sur colonne CRC (Color Remediation Column) au charbon actif ou à la bentonite ; (3) distillation sous vide à température contrôlée. Le RSO (Rick Simpson Oil) est un extrait éthanolique à spectre complet non purifié, popularisé par Rick Simpson dans les années 2000 et largement utilisé en auto-médication notamment dans le contexte oncologique.</w:t>
      </w:r>
    </w:p>
    <w:p>
      <w:pPr>
        <w:pStyle w:val="Heading3"/>
      </w:pPr>
      <w:r>
        <w:t>8.3.3  Extraction au CO₂ supercritique (SFE)</w:t>
      </w:r>
    </w:p>
    <w:p>
      <w:pPr>
        <w:spacing w:before="80" w:after="120" w:line="324" w:lineRule="auto"/>
        <w:jc w:val="both"/>
      </w:pPr>
      <w:r>
        <w:rPr>
          <w:rFonts w:ascii="Garamond" w:hAnsi="Garamond"/>
          <w:b w:val="0"/>
          <w:i w:val="0"/>
          <w:sz w:val="22"/>
        </w:rPr>
        <w:t>Le CO₂ atteint son état supercritique au-delà de sa température critique (Tc = 31,1°C / 88°F) et de sa pression critique (Pc = 73,9 bar / 72,9 atm). Dans cet état hybride gaz/liquide, il présente simultanément les propriétés d'un liquide (densité élevée, capacité de dissolution) et d'un gaz (faible viscosité, haute diffusivité), permettant une extraction sélective, propre (aucun résidu toxique — le CO₂ s'évapore complètement à la dépressurisation), et modulable. À basse pression (74–100 bar), le CO₂ supercritique extrait préférentiellement les terpènes et composés volatils ; à haute pression (200–400 bar) + co-solvant éthanol (5–10 %), il extrait également les cannabinoïdes.</w:t>
      </w:r>
    </w:p>
    <w:p>
      <w:pPr>
        <w:spacing w:before="80" w:after="120" w:line="324" w:lineRule="auto"/>
        <w:jc w:val="both"/>
      </w:pPr>
      <w:r>
        <w:rPr>
          <w:rFonts w:ascii="Garamond" w:hAnsi="Garamond"/>
          <w:b w:val="0"/>
          <w:i w:val="0"/>
          <w:sz w:val="22"/>
        </w:rPr>
        <w:t>L'extraction supercritique est le standard industriel et pharmaceutique de référence pour la production de cannabinoïdes purifiés à usage médical, en raison de sa reproductibilité, de l'absence de résidus solvants toxiques, et de la possibilité de fractionnement précis par modulation des paramètres pression/température/débit. C'est notamment la méthode utilisée pour la production industrielle d'Epidiolex® (cannabidiol pharmaceutique de GW Pharmaceuticals).</w:t>
      </w:r>
    </w:p>
    <w:p>
      <w:pPr>
        <w:pStyle w:val="Heading3"/>
      </w:pPr>
      <w:r>
        <w:t>8.3.4  Rosin (pressage à chaud sans solvant)</w:t>
      </w:r>
    </w:p>
    <w:p>
      <w:pPr>
        <w:spacing w:before="80" w:after="120" w:line="324" w:lineRule="auto"/>
        <w:jc w:val="both"/>
      </w:pPr>
      <w:r>
        <w:rPr>
          <w:rFonts w:ascii="Garamond" w:hAnsi="Garamond"/>
          <w:b w:val="0"/>
          <w:i w:val="0"/>
          <w:sz w:val="22"/>
        </w:rPr>
        <w:t>Le rosin est obtenu par application simultanée de chaleur et de pression sur la biomasse (fleurs séchées, kief ou bubble hash) à l'aide de plaques chauffantes hydrauliques ou pneumatiques. Méthode sans solvant, à spectre complet, préservant l'ensemble des cannabinoïdes et terpènes présents dans la biomasse de départ. La température est déterminante pour le profil du produit final : 80–100°C → HTFSE (High Terpene Full Spectrum Extract — fluide, aromatique, prédominance terpénique) ; 100–130°C → HCFSE (High Cannabinoid Full Spectrum Extract — solide, concentré, prédominance cannabinoïdique). Les sacs filtrants en nylon ou en polyester (porosité 10–25 µm) réduisent significativement la contamination végétale du produit final.</w:t>
      </w:r>
    </w:p>
    <w:p>
      <w:pPr>
        <w:pStyle w:val="Heading2"/>
      </w:pPr>
      <w:r>
        <w:t>8.4  Synthèse comparative des méthodes</w:t>
      </w:r>
    </w:p>
    <w:tbl>
      <w:tblPr>
        <w:tblW w:type="auto" w:w="0"/>
        <w:jc w:val="center"/>
        <w:tblLayout w:type="fixed"/>
        <w:tblLook w:firstColumn="1" w:firstRow="1" w:lastColumn="0" w:lastRow="0" w:noHBand="0" w:noVBand="1" w:val="04A0"/>
      </w:tblPr>
      <w:tblGrid>
        <w:gridCol w:w="1728"/>
        <w:gridCol w:w="1728"/>
        <w:gridCol w:w="1728"/>
        <w:gridCol w:w="1728"/>
        <w:gridCol w:w="1728"/>
      </w:tblGrid>
      <w:tr>
        <w:tc>
          <w:tcPr>
            <w:tcW w:type="dxa" w:w="1417"/>
            <w:tcBorders>
              <w:top w:val="nil"/>
              <w:left w:val="nil"/>
              <w:bottom w:val="single" w:sz="8" w:color="2E6B8A"/>
              <w:right w:val="nil"/>
            </w:tcBorders>
            <w:shd w:fill="E8F4F0" w:val="clear" w:color="auto"/>
            <w:vAlign w:val="center"/>
          </w:tcPr>
          <w:p>
            <w:r/>
            <w:r>
              <w:rPr>
                <w:rFonts w:ascii="Arial" w:hAnsi="Arial"/>
                <w:b/>
                <w:color w:val="1A2E3B"/>
                <w:sz w:val="19"/>
              </w:rPr>
              <w:t>Méthode</w:t>
            </w:r>
          </w:p>
        </w:tc>
        <w:tc>
          <w:tcPr>
            <w:tcW w:type="dxa" w:w="1304"/>
            <w:tcBorders>
              <w:top w:val="nil"/>
              <w:left w:val="nil"/>
              <w:bottom w:val="single" w:sz="8" w:color="2E6B8A"/>
              <w:right w:val="nil"/>
            </w:tcBorders>
            <w:shd w:fill="E8F4F0" w:val="clear" w:color="auto"/>
            <w:vAlign w:val="center"/>
          </w:tcPr>
          <w:p>
            <w:r/>
            <w:r>
              <w:rPr>
                <w:rFonts w:ascii="Arial" w:hAnsi="Arial"/>
                <w:b/>
                <w:color w:val="1A2E3B"/>
                <w:sz w:val="19"/>
              </w:rPr>
              <w:t>Solvant/Agent</w:t>
            </w:r>
          </w:p>
        </w:tc>
        <w:tc>
          <w:tcPr>
            <w:tcW w:type="dxa" w:w="1587"/>
            <w:tcBorders>
              <w:top w:val="nil"/>
              <w:left w:val="nil"/>
              <w:bottom w:val="single" w:sz="8" w:color="2E6B8A"/>
              <w:right w:val="nil"/>
            </w:tcBorders>
            <w:shd w:fill="E8F4F0" w:val="clear" w:color="auto"/>
            <w:vAlign w:val="center"/>
          </w:tcPr>
          <w:p>
            <w:r/>
            <w:r>
              <w:rPr>
                <w:rFonts w:ascii="Arial" w:hAnsi="Arial"/>
                <w:b/>
                <w:color w:val="1A2E3B"/>
                <w:sz w:val="19"/>
              </w:rPr>
              <w:t>Produits typiques</w:t>
            </w:r>
          </w:p>
        </w:tc>
        <w:tc>
          <w:tcPr>
            <w:tcW w:type="dxa" w:w="1984"/>
            <w:tcBorders>
              <w:top w:val="nil"/>
              <w:left w:val="nil"/>
              <w:bottom w:val="single" w:sz="8" w:color="2E6B8A"/>
              <w:right w:val="nil"/>
            </w:tcBorders>
            <w:shd w:fill="E8F4F0" w:val="clear" w:color="auto"/>
            <w:vAlign w:val="center"/>
          </w:tcPr>
          <w:p>
            <w:r/>
            <w:r>
              <w:rPr>
                <w:rFonts w:ascii="Arial" w:hAnsi="Arial"/>
                <w:b/>
                <w:color w:val="1A2E3B"/>
                <w:sz w:val="19"/>
              </w:rPr>
              <w:t>Avantages clés</w:t>
            </w:r>
          </w:p>
        </w:tc>
        <w:tc>
          <w:tcPr>
            <w:tcW w:type="dxa" w:w="2324"/>
            <w:tcBorders>
              <w:top w:val="nil"/>
              <w:left w:val="nil"/>
              <w:bottom w:val="single" w:sz="8" w:color="2E6B8A"/>
              <w:right w:val="nil"/>
            </w:tcBorders>
            <w:shd w:fill="E8F4F0" w:val="clear" w:color="auto"/>
            <w:vAlign w:val="center"/>
          </w:tcPr>
          <w:p>
            <w:r/>
            <w:r>
              <w:rPr>
                <w:rFonts w:ascii="Arial" w:hAnsi="Arial"/>
                <w:b/>
                <w:color w:val="1A2E3B"/>
                <w:sz w:val="19"/>
              </w:rPr>
              <w:t>Limites / précautions</w:t>
            </w:r>
          </w:p>
        </w:tc>
      </w:tr>
      <w:tr>
        <w:tc>
          <w:tcPr>
            <w:tcW w:type="dxa" w:w="141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Charas</w:t>
            </w:r>
          </w:p>
        </w:tc>
        <w:tc>
          <w:tcPr>
            <w:tcW w:type="dxa" w:w="130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Chaleur corporelle</w:t>
            </w:r>
          </w:p>
        </w:tc>
        <w:tc>
          <w:tcPr>
            <w:tcW w:type="dxa" w:w="158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Charas traditionnel</w:t>
            </w:r>
          </w:p>
        </w:tc>
        <w:tc>
          <w:tcPr>
            <w:tcW w:type="dxa" w:w="198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Méthode ancestrale, équipement nul</w:t>
            </w:r>
          </w:p>
        </w:tc>
        <w:tc>
          <w:tcPr>
            <w:tcW w:type="dxa" w:w="232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Rendement faible, hygiène, variabilité</w:t>
            </w:r>
          </w:p>
        </w:tc>
      </w:tr>
      <w:tr>
        <w:tc>
          <w:tcPr>
            <w:tcW w:type="dxa" w:w="141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Tamisage à sec</w:t>
            </w:r>
          </w:p>
        </w:tc>
        <w:tc>
          <w:tcPr>
            <w:tcW w:type="dxa" w:w="130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Aucun</w:t>
            </w:r>
          </w:p>
        </w:tc>
        <w:tc>
          <w:tcPr>
            <w:tcW w:type="dxa" w:w="158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Kief, dry sift, résine pressée</w:t>
            </w:r>
          </w:p>
        </w:tc>
        <w:tc>
          <w:tcPr>
            <w:tcW w:type="dxa" w:w="198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Simple, économique, sans solvant</w:t>
            </w:r>
          </w:p>
        </w:tc>
        <w:tc>
          <w:tcPr>
            <w:tcW w:type="dxa" w:w="232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Impuretés végétales inévitables</w:t>
            </w:r>
          </w:p>
        </w:tc>
      </w:tr>
      <w:tr>
        <w:tc>
          <w:tcPr>
            <w:tcW w:type="dxa" w:w="141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Bubble Hash</w:t>
            </w:r>
          </w:p>
        </w:tc>
        <w:tc>
          <w:tcPr>
            <w:tcW w:type="dxa" w:w="130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Eau glacée 0–4°C</w:t>
            </w:r>
          </w:p>
        </w:tc>
        <w:tc>
          <w:tcPr>
            <w:tcW w:type="dxa" w:w="158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Bubble Hash, Ice-O-lator, full-melt</w:t>
            </w:r>
          </w:p>
        </w:tc>
        <w:tc>
          <w:tcPr>
            <w:tcW w:type="dxa" w:w="198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Sans solvant, spectre complet, scalable</w:t>
            </w:r>
          </w:p>
        </w:tc>
        <w:tc>
          <w:tcPr>
            <w:tcW w:type="dxa" w:w="232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Sensible à la température, séchage requis</w:t>
            </w:r>
          </w:p>
        </w:tc>
      </w:tr>
      <w:tr>
        <w:tc>
          <w:tcPr>
            <w:tcW w:type="dxa" w:w="141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Triboélectrique</w:t>
            </w:r>
          </w:p>
        </w:tc>
        <w:tc>
          <w:tcPr>
            <w:tcW w:type="dxa" w:w="130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Champ électrostatique</w:t>
            </w:r>
          </w:p>
        </w:tc>
        <w:tc>
          <w:tcPr>
            <w:tcW w:type="dxa" w:w="158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Static Hash, têtes pures (&gt;90 %)</w:t>
            </w:r>
          </w:p>
        </w:tc>
        <w:tc>
          <w:tcPr>
            <w:tcW w:type="dxa" w:w="198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Basse T°, sans solvant, pureté maximale</w:t>
            </w:r>
          </w:p>
        </w:tc>
        <w:tc>
          <w:tcPr>
            <w:tcW w:type="dxa" w:w="232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Coût équipement élevé</w:t>
            </w:r>
          </w:p>
        </w:tc>
      </w:tr>
      <w:tr>
        <w:tc>
          <w:tcPr>
            <w:tcW w:type="dxa" w:w="141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BHO / PHO</w:t>
            </w:r>
          </w:p>
        </w:tc>
        <w:tc>
          <w:tcPr>
            <w:tcW w:type="dxa" w:w="130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Butane / Propane</w:t>
            </w:r>
          </w:p>
        </w:tc>
        <w:tc>
          <w:tcPr>
            <w:tcW w:type="dxa" w:w="158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Shatter, Badder, Live Resin, Sauce</w:t>
            </w:r>
          </w:p>
        </w:tc>
        <w:tc>
          <w:tcPr>
            <w:tcW w:type="dxa" w:w="198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Haute sélectivité, gamme étendue de textures</w:t>
            </w:r>
          </w:p>
        </w:tc>
        <w:tc>
          <w:tcPr>
            <w:tcW w:type="dxa" w:w="232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Risque inflammabilité, résidus potentiels</w:t>
            </w:r>
          </w:p>
        </w:tc>
      </w:tr>
      <w:tr>
        <w:tc>
          <w:tcPr>
            <w:tcW w:type="dxa" w:w="141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EHO / RSO</w:t>
            </w:r>
          </w:p>
        </w:tc>
        <w:tc>
          <w:tcPr>
            <w:tcW w:type="dxa" w:w="130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Éthanol</w:t>
            </w:r>
          </w:p>
        </w:tc>
        <w:tc>
          <w:tcPr>
            <w:tcW w:type="dxa" w:w="158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EHO, Tincture, RSO, capsules</w:t>
            </w:r>
          </w:p>
        </w:tc>
        <w:tc>
          <w:tcPr>
            <w:tcW w:type="dxa" w:w="198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Statut GRAS, scalable industriellement</w:t>
            </w:r>
          </w:p>
        </w:tc>
        <w:tc>
          <w:tcPr>
            <w:tcW w:type="dxa" w:w="232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Extraction chlorophylles, post-traitement obligatoire</w:t>
            </w:r>
          </w:p>
        </w:tc>
      </w:tr>
      <w:tr>
        <w:tc>
          <w:tcPr>
            <w:tcW w:type="dxa" w:w="141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CO₂ supercritique (SFE)</w:t>
            </w:r>
          </w:p>
        </w:tc>
        <w:tc>
          <w:tcPr>
            <w:tcW w:type="dxa" w:w="130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CO₂ (Tc=31°C, Pc=74 bar)</w:t>
            </w:r>
          </w:p>
        </w:tc>
        <w:tc>
          <w:tcPr>
            <w:tcW w:type="dxa" w:w="158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Distillat, Full Spectrum, Isolat</w:t>
            </w:r>
          </w:p>
        </w:tc>
        <w:tc>
          <w:tcPr>
            <w:tcW w:type="dxa" w:w="198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Aucun résidu, sélectivité modulable, standard pharma</w:t>
            </w:r>
          </w:p>
        </w:tc>
        <w:tc>
          <w:tcPr>
            <w:tcW w:type="dxa" w:w="232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Équipement coûteux (50–500 k€)</w:t>
            </w:r>
          </w:p>
        </w:tc>
      </w:tr>
      <w:tr>
        <w:tc>
          <w:tcPr>
            <w:tcW w:type="dxa" w:w="141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Rosin</w:t>
            </w:r>
          </w:p>
        </w:tc>
        <w:tc>
          <w:tcPr>
            <w:tcW w:type="dxa" w:w="130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Sans solvant</w:t>
            </w:r>
          </w:p>
        </w:tc>
        <w:tc>
          <w:tcPr>
            <w:tcW w:type="dxa" w:w="158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Rosin, HTFSE, HCFSE, Sauce, Diamonds</w:t>
            </w:r>
          </w:p>
        </w:tc>
        <w:tc>
          <w:tcPr>
            <w:tcW w:type="dxa" w:w="198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Spectre complet, sans résidu chimique, artisanal</w:t>
            </w:r>
          </w:p>
        </w:tc>
        <w:tc>
          <w:tcPr>
            <w:tcW w:type="dxa" w:w="232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Rendement &lt; extractions solvantées</w:t>
            </w:r>
          </w:p>
        </w:tc>
      </w:tr>
    </w:tbl>
    <w:p>
      <w:pPr>
        <w:spacing w:before="0" w:after="80"/>
      </w:pPr>
    </w:p>
    <w:p>
      <w:pPr>
        <w:spacing w:before="60" w:after="240"/>
        <w:jc w:val="center"/>
      </w:pPr>
      <w:r>
        <w:rPr>
          <w:rFonts w:ascii="Arial" w:hAnsi="Arial"/>
          <w:i/>
          <w:color w:val="5A5A5A"/>
          <w:sz w:val="18"/>
        </w:rPr>
        <w:t>Tableau 8.1 — Synthèse comparative des principales méthodes de séparation et d'extraction des cannabinoïdes et terpènes de Cannabis sativa.</w:t>
      </w:r>
    </w:p>
    <w:p>
      <w:pPr>
        <w:pStyle w:val="Heading1"/>
      </w:pPr>
      <w:r>
        <w:t>IX. CONSERVATION, AFFINAGE ET CHIMIE DU VIEILLISSEMENT</w:t>
      </w:r>
    </w:p>
    <w:p>
      <w:pPr>
        <w:pStyle w:val="Heading2"/>
      </w:pPr>
      <w:r>
        <w:t>9.1  Paramètres de conservation optimale post-extraction</w:t>
      </w:r>
    </w:p>
    <w:p>
      <w:pPr>
        <w:spacing w:before="80" w:after="120" w:line="324" w:lineRule="auto"/>
        <w:jc w:val="both"/>
      </w:pPr>
      <w:r>
        <w:rPr>
          <w:rFonts w:ascii="Garamond" w:hAnsi="Garamond"/>
          <w:b w:val="0"/>
          <w:i w:val="0"/>
          <w:sz w:val="22"/>
        </w:rPr>
        <w:t>La conservation des cannabinoïdes, terpènes et flavonoïdes après extraction ou séparation constitue un défi phytochimique complexe en raison (i) de la volatilité élevée des monoterpènes, dont les constantes d'Henry augmentent exponentiellement avec la température, (ii) de la sensibilité oxydative des cannabinoïdes (THC → CBN ; THCA → CBNA → CBN) et terpènes (linalol → oxydes), et (iii) de la sensibilité photochimique aux UV. Les quatre paramètres fondamentaux à contrôler sont la température, l'humidité relative, l'exposition lumineuse et l'oxygène atmosphérique.</w:t>
      </w:r>
    </w:p>
    <w:p>
      <w:pPr>
        <w:pStyle w:val="ListBullet"/>
        <w:spacing w:line="312" w:lineRule="auto" w:before="60" w:after="60"/>
      </w:pPr>
      <w:r>
        <w:rPr>
          <w:rFonts w:ascii="Garamond" w:hAnsi="Garamond"/>
          <w:sz w:val="22"/>
        </w:rPr>
        <w:t>Température : maintien constant entre 0°C et 20°C. Au-delà de 25°C, accélération significative des cinétiques d'évaporation des monoterpènes (perte jusqu'à 30 % en 6 mois à température ambiante non contrôlée). À 40°C : isomérisations notables et décarboxylation accélérée (THCA → THC), conversion lente mais détectable du THC en CBN.</w:t>
      </w:r>
    </w:p>
    <w:p>
      <w:pPr>
        <w:pStyle w:val="ListBullet"/>
        <w:spacing w:line="312" w:lineRule="auto" w:before="60" w:after="60"/>
      </w:pPr>
      <w:r>
        <w:rPr>
          <w:rFonts w:ascii="Garamond" w:hAnsi="Garamond"/>
          <w:sz w:val="22"/>
        </w:rPr>
        <w:t>Humidité relative : 55–62 % HR. En dessous de 45 % : dessiccation excessive, terpènes et résines deviennent friables, fragilisation des têtes glandulaires. Au-dessus de 65 % : risque significatif de développement fongique (Botrytis cinerea, Aspergillus flavus, Penicillium spp.) avec contamination par mycotoxines (aflatoxine B1 par A. flavus, ochratoxine A par certaines souches de Penicillium).</w:t>
      </w:r>
    </w:p>
    <w:p>
      <w:pPr>
        <w:pStyle w:val="ListBullet"/>
        <w:spacing w:line="312" w:lineRule="auto" w:before="60" w:after="60"/>
      </w:pPr>
      <w:r>
        <w:rPr>
          <w:rFonts w:ascii="Garamond" w:hAnsi="Garamond"/>
          <w:sz w:val="22"/>
        </w:rPr>
        <w:t>Exposition lumineuse : stockage dans des contenants opaques hermétiques (verre ambré ou acier inoxydable). Les rayonnements UV-A (315–400 nm) et UV-B (280–315 nm) induisent la photoisomérisation du THC en CBN (k₁ = 1,2 × 10⁻⁴ h⁻¹ sous 50 W/m² UV-A — Trofin et al., 2012, Cellulose Chem. Technol. 46: 285–289) et la photo-oxydation des terpènes monocycliques.</w:t>
      </w:r>
    </w:p>
    <w:p>
      <w:pPr>
        <w:pStyle w:val="ListBullet"/>
        <w:spacing w:line="312" w:lineRule="auto" w:before="60" w:after="60"/>
      </w:pPr>
      <w:r>
        <w:rPr>
          <w:rFonts w:ascii="Garamond" w:hAnsi="Garamond"/>
          <w:sz w:val="22"/>
        </w:rPr>
        <w:t>Remplissage du contenant : 75 % du volume occupé par l'extrait, 25 % d'espace de tête. Cet espace de tête partiellement saturé en terpènes volatils crée une pression de vapeur protectrice ralentissant les pertes ultérieures par évaporation. Pour le stockage à long terme (&gt; 1 an) ou les standards de référence analytiques, l'utilisation d'atmosphère inerte (azote ou argon) ou de vide partiel élimine l'oxygène et supprime les voies d'oxydation.</w:t>
      </w:r>
    </w:p>
    <w:p>
      <w:pPr>
        <w:pStyle w:val="Heading2"/>
      </w:pPr>
      <w:r>
        <w:t>9.2  Le curing — chimie de l'affinage contrôlé</w:t>
      </w:r>
    </w:p>
    <w:p>
      <w:pPr>
        <w:spacing w:before="80" w:after="120" w:line="324" w:lineRule="auto"/>
        <w:jc w:val="both"/>
      </w:pPr>
      <w:r>
        <w:rPr>
          <w:rFonts w:ascii="Garamond" w:hAnsi="Garamond"/>
          <w:b w:val="0"/>
          <w:i w:val="0"/>
          <w:sz w:val="22"/>
        </w:rPr>
        <w:t>L'affinage (curing) est un processus de maturation chimique contrôlée — analogue conceptuel au vieillissement du vin, à l'affinage du fromage ou au séchage de la charcuterie — visant à améliorer qualitativement le profil organoleptique et potentiellement certaines propriétés biologiques de l'extrait ou de la fleur. Les paramètres opératoires du curing diffèrent légèrement de ceux de la conservation à long terme : température légèrement plus élevée (24–39°C), humidité relative identique (55–62 % HR), contenant rempli à 75 %. La durée varie selon l'objectif : quelques jours à une semaine pour un affinage léger, plusieurs semaines à deux mois pour une maturation profonde. Une surveillance régulière par échantillonnage (vaporisation d'une fraction-test) permet d'évaluer la progression.</w:t>
      </w:r>
    </w:p>
    <w:p>
      <w:pPr>
        <w:pStyle w:val="Heading2"/>
      </w:pPr>
      <w:r>
        <w:t>9.3  Réactions chimiques majeures du vieillissement</w:t>
      </w:r>
    </w:p>
    <w:tbl>
      <w:tblPr>
        <w:tblW w:type="auto" w:w="0"/>
        <w:jc w:val="center"/>
        <w:tblLayout w:type="fixed"/>
        <w:tblLook w:firstColumn="1" w:firstRow="1" w:lastColumn="0" w:lastRow="0" w:noHBand="0" w:noVBand="1" w:val="04A0"/>
      </w:tblPr>
      <w:tblGrid>
        <w:gridCol w:w="1728"/>
        <w:gridCol w:w="1728"/>
        <w:gridCol w:w="1728"/>
        <w:gridCol w:w="1728"/>
        <w:gridCol w:w="1728"/>
      </w:tblGrid>
      <w:tr>
        <w:tc>
          <w:tcPr>
            <w:tcW w:type="dxa" w:w="1701"/>
            <w:tcBorders>
              <w:top w:val="nil"/>
              <w:left w:val="nil"/>
              <w:bottom w:val="single" w:sz="8" w:color="2E6B8A"/>
              <w:right w:val="nil"/>
            </w:tcBorders>
            <w:shd w:fill="E8F4F0" w:val="clear" w:color="auto"/>
            <w:vAlign w:val="center"/>
          </w:tcPr>
          <w:p>
            <w:r/>
            <w:r>
              <w:rPr>
                <w:rFonts w:ascii="Arial" w:hAnsi="Arial"/>
                <w:b/>
                <w:color w:val="1A2E3B"/>
                <w:sz w:val="19"/>
              </w:rPr>
              <w:t>Réaction</w:t>
            </w:r>
          </w:p>
        </w:tc>
        <w:tc>
          <w:tcPr>
            <w:tcW w:type="dxa" w:w="1587"/>
            <w:tcBorders>
              <w:top w:val="nil"/>
              <w:left w:val="nil"/>
              <w:bottom w:val="single" w:sz="8" w:color="2E6B8A"/>
              <w:right w:val="nil"/>
            </w:tcBorders>
            <w:shd w:fill="E8F4F0" w:val="clear" w:color="auto"/>
            <w:vAlign w:val="center"/>
          </w:tcPr>
          <w:p>
            <w:r/>
            <w:r>
              <w:rPr>
                <w:rFonts w:ascii="Arial" w:hAnsi="Arial"/>
                <w:b/>
                <w:color w:val="1A2E3B"/>
                <w:sz w:val="19"/>
              </w:rPr>
              <w:t>Substrats</w:t>
            </w:r>
          </w:p>
        </w:tc>
        <w:tc>
          <w:tcPr>
            <w:tcW w:type="dxa" w:w="1701"/>
            <w:tcBorders>
              <w:top w:val="nil"/>
              <w:left w:val="nil"/>
              <w:bottom w:val="single" w:sz="8" w:color="2E6B8A"/>
              <w:right w:val="nil"/>
            </w:tcBorders>
            <w:shd w:fill="E8F4F0" w:val="clear" w:color="auto"/>
            <w:vAlign w:val="center"/>
          </w:tcPr>
          <w:p>
            <w:r/>
            <w:r>
              <w:rPr>
                <w:rFonts w:ascii="Arial" w:hAnsi="Arial"/>
                <w:b/>
                <w:color w:val="1A2E3B"/>
                <w:sz w:val="19"/>
              </w:rPr>
              <w:t>Produits</w:t>
            </w:r>
          </w:p>
        </w:tc>
        <w:tc>
          <w:tcPr>
            <w:tcW w:type="dxa" w:w="1531"/>
            <w:tcBorders>
              <w:top w:val="nil"/>
              <w:left w:val="nil"/>
              <w:bottom w:val="single" w:sz="8" w:color="2E6B8A"/>
              <w:right w:val="nil"/>
            </w:tcBorders>
            <w:shd w:fill="E8F4F0" w:val="clear" w:color="auto"/>
            <w:vAlign w:val="center"/>
          </w:tcPr>
          <w:p>
            <w:r/>
            <w:r>
              <w:rPr>
                <w:rFonts w:ascii="Arial" w:hAnsi="Arial"/>
                <w:b/>
                <w:color w:val="1A2E3B"/>
                <w:sz w:val="19"/>
              </w:rPr>
              <w:t>Cinétique</w:t>
            </w:r>
          </w:p>
        </w:tc>
        <w:tc>
          <w:tcPr>
            <w:tcW w:type="dxa" w:w="2098"/>
            <w:tcBorders>
              <w:top w:val="nil"/>
              <w:left w:val="nil"/>
              <w:bottom w:val="single" w:sz="8" w:color="2E6B8A"/>
              <w:right w:val="nil"/>
            </w:tcBorders>
            <w:shd w:fill="E8F4F0" w:val="clear" w:color="auto"/>
            <w:vAlign w:val="center"/>
          </w:tcPr>
          <w:p>
            <w:r/>
            <w:r>
              <w:rPr>
                <w:rFonts w:ascii="Arial" w:hAnsi="Arial"/>
                <w:b/>
                <w:color w:val="1A2E3B"/>
                <w:sz w:val="19"/>
              </w:rPr>
              <w:t>Conséquences organoleptiques</w:t>
            </w:r>
          </w:p>
        </w:tc>
      </w:tr>
      <w:tr>
        <w:tc>
          <w:tcPr>
            <w:tcW w:type="dxa" w:w="170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Oxydation cannabinoïdes</w:t>
            </w:r>
          </w:p>
        </w:tc>
        <w:tc>
          <w:tcPr>
            <w:tcW w:type="dxa" w:w="158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Δ⁹-THC + O₂</w:t>
            </w:r>
          </w:p>
        </w:tc>
        <w:tc>
          <w:tcPr>
            <w:tcW w:type="dxa" w:w="170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CBN + 2H₂O (lente)</w:t>
            </w:r>
          </w:p>
        </w:tc>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k = 10⁻⁴ h⁻¹ à 25°C, accélérée par UV</w:t>
            </w:r>
          </w:p>
        </w:tc>
        <w:tc>
          <w:tcPr>
            <w:tcW w:type="dxa" w:w="2098"/>
            <w:tcBorders>
              <w:top w:val="single" w:sz="4" w:color="B0CEC8"/>
              <w:left w:val="nil"/>
              <w:bottom w:val="single" w:sz="4" w:color="B0CEC8"/>
              <w:right w:val="nil"/>
            </w:tcBorders>
            <w:shd w:fill="FFFFFF" w:val="clear" w:color="auto"/>
            <w:vAlign w:val="center"/>
          </w:tcPr>
          <w:p>
            <w:pPr>
              <w:jc w:val="left"/>
            </w:pPr>
            <w:r/>
            <w:r>
              <w:rPr>
                <w:rFonts w:ascii="Garamond" w:hAnsi="Garamond"/>
                <w:sz w:val="19"/>
              </w:rPr>
              <w:t>Effet "stone" accentué, puissance psychoactive réduite, couleur ambrée</w:t>
            </w:r>
          </w:p>
        </w:tc>
      </w:tr>
      <w:tr>
        <w:tc>
          <w:tcPr>
            <w:tcW w:type="dxa" w:w="170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Oxydation terpènes monocycliques</w:t>
            </w:r>
          </w:p>
        </w:tc>
        <w:tc>
          <w:tcPr>
            <w:tcW w:type="dxa" w:w="158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Limonène, α-pinène + O₂</w:t>
            </w:r>
          </w:p>
        </w:tc>
        <w:tc>
          <w:tcPr>
            <w:tcW w:type="dxa" w:w="170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Carvone, oxydes de pinène, époxydes</w:t>
            </w:r>
          </w:p>
        </w:tc>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Auto-oxydation, accélérée par chaleur</w:t>
            </w:r>
          </w:p>
        </w:tc>
        <w:tc>
          <w:tcPr>
            <w:tcW w:type="dxa" w:w="2098"/>
            <w:tcBorders>
              <w:top w:val="single" w:sz="4" w:color="B0CEC8"/>
              <w:left w:val="nil"/>
              <w:bottom w:val="single" w:sz="4" w:color="B0CEC8"/>
              <w:right w:val="nil"/>
            </w:tcBorders>
            <w:shd w:fill="F5FAFA" w:val="clear" w:color="auto"/>
            <w:vAlign w:val="center"/>
          </w:tcPr>
          <w:p>
            <w:pPr>
              <w:jc w:val="left"/>
            </w:pPr>
            <w:r/>
            <w:r>
              <w:rPr>
                <w:rFonts w:ascii="Garamond" w:hAnsi="Garamond"/>
                <w:sz w:val="19"/>
              </w:rPr>
              <w:t>Arômes plus complexes ; toxicité potentielle (allergènes)</w:t>
            </w:r>
          </w:p>
        </w:tc>
      </w:tr>
      <w:tr>
        <w:tc>
          <w:tcPr>
            <w:tcW w:type="dxa" w:w="170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Décarboxylation</w:t>
            </w:r>
          </w:p>
        </w:tc>
        <w:tc>
          <w:tcPr>
            <w:tcW w:type="dxa" w:w="158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THCA, CBDA, CBCA + chaleur</w:t>
            </w:r>
          </w:p>
        </w:tc>
        <w:tc>
          <w:tcPr>
            <w:tcW w:type="dxa" w:w="170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THC, CBD, CBC + CO₂ (irréversible)</w:t>
            </w:r>
          </w:p>
        </w:tc>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Wang 2016 : t₁/₂ = 6 min à 140°C</w:t>
            </w:r>
          </w:p>
        </w:tc>
        <w:tc>
          <w:tcPr>
            <w:tcW w:type="dxa" w:w="2098"/>
            <w:tcBorders>
              <w:top w:val="single" w:sz="4" w:color="B0CEC8"/>
              <w:left w:val="nil"/>
              <w:bottom w:val="single" w:sz="4" w:color="B0CEC8"/>
              <w:right w:val="nil"/>
            </w:tcBorders>
            <w:shd w:fill="FFFFFF" w:val="clear" w:color="auto"/>
            <w:vAlign w:val="center"/>
          </w:tcPr>
          <w:p>
            <w:pPr>
              <w:jc w:val="left"/>
            </w:pPr>
            <w:r/>
            <w:r>
              <w:rPr>
                <w:rFonts w:ascii="Garamond" w:hAnsi="Garamond"/>
                <w:sz w:val="19"/>
              </w:rPr>
              <w:t>Activation psychoactive (THC) ; modification ratios</w:t>
            </w:r>
          </w:p>
        </w:tc>
      </w:tr>
      <w:tr>
        <w:tc>
          <w:tcPr>
            <w:tcW w:type="dxa" w:w="170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Dégradation chlorophyllienne</w:t>
            </w:r>
          </w:p>
        </w:tc>
        <w:tc>
          <w:tcPr>
            <w:tcW w:type="dxa" w:w="158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Chlorophylle a, b</w:t>
            </w:r>
          </w:p>
        </w:tc>
        <w:tc>
          <w:tcPr>
            <w:tcW w:type="dxa" w:w="170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Phéophytine, phéophorbide, aldéhydes</w:t>
            </w:r>
          </w:p>
        </w:tc>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Lent, accéléré par lumière + chaleur</w:t>
            </w:r>
          </w:p>
        </w:tc>
        <w:tc>
          <w:tcPr>
            <w:tcW w:type="dxa" w:w="2098"/>
            <w:tcBorders>
              <w:top w:val="single" w:sz="4" w:color="B0CEC8"/>
              <w:left w:val="nil"/>
              <w:bottom w:val="single" w:sz="4" w:color="B0CEC8"/>
              <w:right w:val="nil"/>
            </w:tcBorders>
            <w:shd w:fill="F5FAFA" w:val="clear" w:color="auto"/>
            <w:vAlign w:val="center"/>
          </w:tcPr>
          <w:p>
            <w:pPr>
              <w:jc w:val="left"/>
            </w:pPr>
            <w:r/>
            <w:r>
              <w:rPr>
                <w:rFonts w:ascii="Garamond" w:hAnsi="Garamond"/>
                <w:sz w:val="19"/>
              </w:rPr>
              <w:t>Réduction amertume, transition vert → olive → brun</w:t>
            </w:r>
          </w:p>
        </w:tc>
      </w:tr>
      <w:tr>
        <w:tc>
          <w:tcPr>
            <w:tcW w:type="dxa" w:w="170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Évaporation de l'eau</w:t>
            </w:r>
          </w:p>
        </w:tc>
        <w:tc>
          <w:tcPr>
            <w:tcW w:type="dxa" w:w="158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H₂O résiduelle</w:t>
            </w:r>
          </w:p>
        </w:tc>
        <w:tc>
          <w:tcPr>
            <w:tcW w:type="dxa" w:w="170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Vapeur d'eau</w:t>
            </w:r>
          </w:p>
        </w:tc>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Loi de Fick (diffusion)</w:t>
            </w:r>
          </w:p>
        </w:tc>
        <w:tc>
          <w:tcPr>
            <w:tcW w:type="dxa" w:w="2098"/>
            <w:tcBorders>
              <w:top w:val="single" w:sz="4" w:color="B0CEC8"/>
              <w:left w:val="nil"/>
              <w:bottom w:val="single" w:sz="4" w:color="B0CEC8"/>
              <w:right w:val="nil"/>
            </w:tcBorders>
            <w:shd w:fill="FFFFFF" w:val="clear" w:color="auto"/>
            <w:vAlign w:val="center"/>
          </w:tcPr>
          <w:p>
            <w:pPr>
              <w:jc w:val="left"/>
            </w:pPr>
            <w:r/>
            <w:r>
              <w:rPr>
                <w:rFonts w:ascii="Garamond" w:hAnsi="Garamond"/>
                <w:sz w:val="19"/>
              </w:rPr>
              <w:t>Stabilisation microbienne, texture friable</w:t>
            </w:r>
          </w:p>
        </w:tc>
      </w:tr>
      <w:tr>
        <w:tc>
          <w:tcPr>
            <w:tcW w:type="dxa" w:w="170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Hydrolyse des esters</w:t>
            </w:r>
          </w:p>
        </w:tc>
        <w:tc>
          <w:tcPr>
            <w:tcW w:type="dxa" w:w="158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Acétates de terpényle</w:t>
            </w:r>
          </w:p>
        </w:tc>
        <w:tc>
          <w:tcPr>
            <w:tcW w:type="dxa" w:w="170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Acides + alcools libres</w:t>
            </w:r>
          </w:p>
        </w:tc>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Lente en absence d'eau libre</w:t>
            </w:r>
          </w:p>
        </w:tc>
        <w:tc>
          <w:tcPr>
            <w:tcW w:type="dxa" w:w="2098"/>
            <w:tcBorders>
              <w:top w:val="single" w:sz="4" w:color="B0CEC8"/>
              <w:left w:val="nil"/>
              <w:bottom w:val="single" w:sz="4" w:color="B0CEC8"/>
              <w:right w:val="nil"/>
            </w:tcBorders>
            <w:shd w:fill="F5FAFA" w:val="clear" w:color="auto"/>
            <w:vAlign w:val="center"/>
          </w:tcPr>
          <w:p>
            <w:pPr>
              <w:jc w:val="left"/>
            </w:pPr>
            <w:r/>
            <w:r>
              <w:rPr>
                <w:rFonts w:ascii="Garamond" w:hAnsi="Garamond"/>
                <w:sz w:val="19"/>
              </w:rPr>
              <w:t>Modification aromatique, apparition d'alcools terpéniques</w:t>
            </w:r>
          </w:p>
        </w:tc>
      </w:tr>
      <w:tr>
        <w:tc>
          <w:tcPr>
            <w:tcW w:type="dxa" w:w="170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Estérification (Fischer)</w:t>
            </w:r>
          </w:p>
        </w:tc>
        <w:tc>
          <w:tcPr>
            <w:tcW w:type="dxa" w:w="158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Acides + alcools terpéniques</w:t>
            </w:r>
          </w:p>
        </w:tc>
        <w:tc>
          <w:tcPr>
            <w:tcW w:type="dxa" w:w="170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Esters aromatiques</w:t>
            </w:r>
          </w:p>
        </w:tc>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Réversible, catalysée par acides</w:t>
            </w:r>
          </w:p>
        </w:tc>
        <w:tc>
          <w:tcPr>
            <w:tcW w:type="dxa" w:w="2098"/>
            <w:tcBorders>
              <w:top w:val="single" w:sz="4" w:color="B0CEC8"/>
              <w:left w:val="nil"/>
              <w:bottom w:val="single" w:sz="4" w:color="B0CEC8"/>
              <w:right w:val="nil"/>
            </w:tcBorders>
            <w:shd w:fill="FFFFFF" w:val="clear" w:color="auto"/>
            <w:vAlign w:val="center"/>
          </w:tcPr>
          <w:p>
            <w:pPr>
              <w:jc w:val="left"/>
            </w:pPr>
            <w:r/>
            <w:r>
              <w:rPr>
                <w:rFonts w:ascii="Garamond" w:hAnsi="Garamond"/>
                <w:sz w:val="19"/>
              </w:rPr>
              <w:t>Notes florales et fruitées plus prononcées</w:t>
            </w:r>
          </w:p>
        </w:tc>
      </w:tr>
      <w:tr>
        <w:tc>
          <w:tcPr>
            <w:tcW w:type="dxa" w:w="170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Isomérisation Δ⁹ → Δ⁸-THC</w:t>
            </w:r>
          </w:p>
        </w:tc>
        <w:tc>
          <w:tcPr>
            <w:tcW w:type="dxa" w:w="158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Δ⁹-THC + acides + chaleur</w:t>
            </w:r>
          </w:p>
        </w:tc>
        <w:tc>
          <w:tcPr>
            <w:tcW w:type="dxa" w:w="170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Δ⁸-THC (plus stable)</w:t>
            </w:r>
          </w:p>
        </w:tc>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Catalysée par environnement acide</w:t>
            </w:r>
          </w:p>
        </w:tc>
        <w:tc>
          <w:tcPr>
            <w:tcW w:type="dxa" w:w="2098"/>
            <w:tcBorders>
              <w:top w:val="single" w:sz="4" w:color="B0CEC8"/>
              <w:left w:val="nil"/>
              <w:bottom w:val="single" w:sz="4" w:color="B0CEC8"/>
              <w:right w:val="nil"/>
            </w:tcBorders>
            <w:shd w:fill="F5FAFA" w:val="clear" w:color="auto"/>
            <w:vAlign w:val="center"/>
          </w:tcPr>
          <w:p>
            <w:pPr>
              <w:jc w:val="left"/>
            </w:pPr>
            <w:r/>
            <w:r>
              <w:rPr>
                <w:rFonts w:ascii="Garamond" w:hAnsi="Garamond"/>
                <w:sz w:val="19"/>
              </w:rPr>
              <w:t>Profil psychoactif légèrement modifié (plus calme)</w:t>
            </w:r>
          </w:p>
        </w:tc>
      </w:tr>
      <w:tr>
        <w:tc>
          <w:tcPr>
            <w:tcW w:type="dxa" w:w="170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Fragmentation sesquiterpénique</w:t>
            </w:r>
          </w:p>
        </w:tc>
        <w:tc>
          <w:tcPr>
            <w:tcW w:type="dxa" w:w="158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β-Caryophyllène, humulène</w:t>
            </w:r>
          </w:p>
        </w:tc>
        <w:tc>
          <w:tcPr>
            <w:tcW w:type="dxa" w:w="170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Sesquiterpènes plus petits, isoprène</w:t>
            </w:r>
          </w:p>
        </w:tc>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T° &gt; 40°C, durée prolongée</w:t>
            </w:r>
          </w:p>
        </w:tc>
        <w:tc>
          <w:tcPr>
            <w:tcW w:type="dxa" w:w="2098"/>
            <w:tcBorders>
              <w:top w:val="single" w:sz="4" w:color="B0CEC8"/>
              <w:left w:val="nil"/>
              <w:bottom w:val="single" w:sz="4" w:color="B0CEC8"/>
              <w:right w:val="nil"/>
            </w:tcBorders>
            <w:shd w:fill="FFFFFF" w:val="clear" w:color="auto"/>
            <w:vAlign w:val="center"/>
          </w:tcPr>
          <w:p>
            <w:pPr>
              <w:jc w:val="left"/>
            </w:pPr>
            <w:r/>
            <w:r>
              <w:rPr>
                <w:rFonts w:ascii="Garamond" w:hAnsi="Garamond"/>
                <w:sz w:val="19"/>
              </w:rPr>
              <w:t>Appauvrissement aromatique</w:t>
            </w:r>
          </w:p>
        </w:tc>
      </w:tr>
    </w:tbl>
    <w:p>
      <w:pPr>
        <w:spacing w:before="0" w:after="80"/>
      </w:pPr>
    </w:p>
    <w:p>
      <w:pPr>
        <w:spacing w:before="60" w:after="240"/>
        <w:jc w:val="center"/>
      </w:pPr>
      <w:r>
        <w:rPr>
          <w:rFonts w:ascii="Arial" w:hAnsi="Arial"/>
          <w:i/>
          <w:color w:val="5A5A5A"/>
          <w:sz w:val="18"/>
        </w:rPr>
        <w:t>Tableau 9.1 — Principales réactions chimiques survenant lors du vieillissement et du curing des extraits et fleurs de Cannabis sativa, avec cinétiques approximatives et conséquences organoleptiques.</w:t>
      </w:r>
    </w:p>
    <w:p>
      <w:pPr>
        <w:pStyle w:val="Heading2"/>
      </w:pPr>
      <w:r>
        <w:t>9.4  Indicateurs de qualité de l'affinage</w:t>
      </w:r>
    </w:p>
    <w:p>
      <w:pPr>
        <w:spacing w:before="80" w:after="120" w:line="324" w:lineRule="auto"/>
        <w:jc w:val="both"/>
      </w:pPr>
      <w:r>
        <w:rPr>
          <w:rFonts w:ascii="Garamond" w:hAnsi="Garamond"/>
          <w:b w:val="0"/>
          <w:i w:val="0"/>
          <w:sz w:val="22"/>
        </w:rPr>
        <w:t>L'évaluation empirique de la qualité d'un affinage repose sur plusieurs indicateurs macroscopiques et organoleptiques convergents. Un extrait correctement affiné présente : (i) une texture cassante et friable pour les extraits solides (rosin, shatter), ou une viscosité élastique stable pour les sauces et HTFSE ; (ii) une couleur uniforme, typiquement ambrée à miel doré, sans zones de décoloration ; (iii) un profil aromatique complexe et harmonieux à l'inhalation passive ; (iv) une combustion ou vaporisation propre, sans amertume excessive.</w:t>
      </w:r>
    </w:p>
    <w:p>
      <w:pPr>
        <w:spacing w:before="80" w:after="120" w:line="324" w:lineRule="auto"/>
        <w:jc w:val="both"/>
      </w:pPr>
      <w:r>
        <w:rPr>
          <w:rFonts w:ascii="Garamond" w:hAnsi="Garamond"/>
          <w:b w:val="0"/>
          <w:i w:val="0"/>
          <w:sz w:val="22"/>
        </w:rPr>
        <w:t>À l'opposé, une résine trop molle et grasse signale un affinage insuffisant — excès d'eau résiduelle, terpènes encore instables, décarboxylation incomplète. Inversement, une résine "cuite" — résultat d'un excès d'affinage ou d'une exposition prolongée à la chaleur — est irréversiblement altérée : couleur brun foncé homogène, arômes acides et peu complexes, perte de puissance, parfois traces de combustion à la dégustation. Ce stade constitue une perte qualitative définitive, par analogie au vin suroxydé ayant dépassé sa fenêtre de consommation.</w:t>
      </w:r>
    </w:p>
    <w:p>
      <w:pPr>
        <w:pBdr>
          <w:left w:val="single" w:sz="12" w:space="12" w:color="2E6B8A"/>
        </w:pBdr>
        <w:spacing w:before="160" w:after="160" w:line="312" w:lineRule="auto"/>
        <w:ind w:left="680" w:right="680"/>
        <w:jc w:val="both"/>
      </w:pPr>
      <w:r>
        <w:rPr>
          <w:rFonts w:ascii="Garamond" w:hAnsi="Garamond"/>
          <w:i/>
          <w:color w:val="5A5A5A"/>
          <w:sz w:val="21"/>
        </w:rPr>
        <w:t>« La qualité d'un affinage se juge à sa capacité à révéler la plante dont il est issu — non à la transformer au-delà de sa nature originelle. L'affinage est un dialogue entre le temps et la résine, non une transformation forcée. » — adapté de Frenchy Cannoli.</w:t>
      </w:r>
    </w:p>
    <w:p>
      <w:pPr>
        <w:pStyle w:val="Heading1"/>
      </w:pPr>
      <w:r>
        <w:t>X. VOIES D'ADMINISTRATION ET PHARMACOCINÉTIQUE COMPARATIVE</w:t>
      </w:r>
    </w:p>
    <w:p>
      <w:pPr>
        <w:pStyle w:val="Heading2"/>
      </w:pPr>
      <w:r>
        <w:t>10.1  Principes pharmacocinétiques généraux</w:t>
      </w:r>
    </w:p>
    <w:p>
      <w:pPr>
        <w:spacing w:before="80" w:after="120" w:line="324" w:lineRule="auto"/>
        <w:jc w:val="both"/>
      </w:pPr>
      <w:r>
        <w:rPr>
          <w:rFonts w:ascii="Garamond" w:hAnsi="Garamond"/>
          <w:sz w:val="22"/>
        </w:rPr>
        <w:t>La pharmacocinétique des cannabinoïdes est profondément influencée par leurs propriétés physicochimiques distinctives : (i) liposolubilité extrême (logP du THC = 6,97 ; du CBD = 6,82) ; (ii) volume de distribution considérable (Vd ~ 10 L/kg pour le THC), reflétant une accumulation massive dans les tissus adipeux et le tissu cérébral ; (iii) métabolisme hépatique extensif par les enzymes CYP450 (CYP2C9, CYP2C19, CYP3A4) ; (iv) excrétion principalement biliaire avec cycle entérohépatique ; (v) demi-vie d'élimination terminale prolongée — 1,3 jours chez les consommateurs occasionnels, jusqu'à 13 jours chez les consommateurs chroniques (Huestis, 2007, Chem. Biodivers. 4: 1770–1804)</w:t>
      </w:r>
      <w:r>
        <w:rPr>
          <w:b/>
          <w:color w:val="2E6B8A"/>
          <w:sz w:val="18"/>
          <w:vertAlign w:val="superscript"/>
        </w:rPr>
        <w:t>[23]</w:t>
      </w:r>
      <w:r>
        <w:rPr>
          <w:rFonts w:ascii="Garamond" w:hAnsi="Garamond"/>
          <w:sz w:val="22"/>
        </w:rPr>
        <w:t>.</w:t>
      </w:r>
    </w:p>
    <w:p>
      <w:pPr>
        <w:spacing w:before="80" w:after="120" w:line="324" w:lineRule="auto"/>
        <w:jc w:val="both"/>
      </w:pPr>
      <w:r>
        <w:rPr>
          <w:rFonts w:ascii="Garamond" w:hAnsi="Garamond"/>
          <w:b w:val="0"/>
          <w:i w:val="0"/>
          <w:sz w:val="22"/>
        </w:rPr>
        <w:t>Ces propriétés expliquent les différences marquées de biodisponibilité, de délai d'action, de durée d'effets et de profils métaboliques entre les voies d'administration. La voie d'administration n'est pas simplement un paramètre pratique : elle détermine qualitativement le profil pharmacologique et clinique de l'expérience.</w:t>
      </w:r>
    </w:p>
    <w:p>
      <w:pPr>
        <w:pStyle w:val="Heading2"/>
      </w:pPr>
      <w:r>
        <w:t>10.2  Tableau pharmacocinétique comparatif</w:t>
      </w:r>
    </w:p>
    <w:tbl>
      <w:tblPr>
        <w:tblW w:type="auto" w:w="0"/>
        <w:jc w:val="center"/>
        <w:tblLayout w:type="fixed"/>
        <w:tblLook w:firstColumn="1" w:firstRow="1" w:lastColumn="0" w:lastRow="0" w:noHBand="0" w:noVBand="1" w:val="04A0"/>
      </w:tblPr>
      <w:tblGrid>
        <w:gridCol w:w="1234"/>
        <w:gridCol w:w="1234"/>
        <w:gridCol w:w="1234"/>
        <w:gridCol w:w="1234"/>
        <w:gridCol w:w="1234"/>
        <w:gridCol w:w="1234"/>
        <w:gridCol w:w="1234"/>
      </w:tblGrid>
      <w:tr>
        <w:tc>
          <w:tcPr>
            <w:tcW w:type="dxa" w:w="1531"/>
            <w:tcBorders>
              <w:top w:val="nil"/>
              <w:left w:val="nil"/>
              <w:bottom w:val="single" w:sz="8" w:color="2E6B8A"/>
              <w:right w:val="nil"/>
            </w:tcBorders>
            <w:shd w:fill="E8F4F0" w:val="clear" w:color="auto"/>
            <w:vAlign w:val="center"/>
          </w:tcPr>
          <w:p>
            <w:r/>
            <w:r>
              <w:rPr>
                <w:rFonts w:ascii="Arial" w:hAnsi="Arial"/>
                <w:b/>
                <w:color w:val="1A2E3B"/>
                <w:sz w:val="19"/>
              </w:rPr>
              <w:t>Voie</w:t>
            </w:r>
          </w:p>
        </w:tc>
        <w:tc>
          <w:tcPr>
            <w:tcW w:type="dxa" w:w="907"/>
            <w:tcBorders>
              <w:top w:val="nil"/>
              <w:left w:val="nil"/>
              <w:bottom w:val="single" w:sz="8" w:color="2E6B8A"/>
              <w:right w:val="nil"/>
            </w:tcBorders>
            <w:shd w:fill="E8F4F0" w:val="clear" w:color="auto"/>
            <w:vAlign w:val="center"/>
          </w:tcPr>
          <w:p>
            <w:r/>
            <w:r>
              <w:rPr>
                <w:rFonts w:ascii="Arial" w:hAnsi="Arial"/>
                <w:b/>
                <w:color w:val="1A2E3B"/>
                <w:sz w:val="19"/>
              </w:rPr>
              <w:t>Biodispo.</w:t>
            </w:r>
          </w:p>
        </w:tc>
        <w:tc>
          <w:tcPr>
            <w:tcW w:type="dxa" w:w="907"/>
            <w:tcBorders>
              <w:top w:val="nil"/>
              <w:left w:val="nil"/>
              <w:bottom w:val="single" w:sz="8" w:color="2E6B8A"/>
              <w:right w:val="nil"/>
            </w:tcBorders>
            <w:shd w:fill="E8F4F0" w:val="clear" w:color="auto"/>
            <w:vAlign w:val="center"/>
          </w:tcPr>
          <w:p>
            <w:r/>
            <w:r>
              <w:rPr>
                <w:rFonts w:ascii="Arial" w:hAnsi="Arial"/>
                <w:b/>
                <w:color w:val="1A2E3B"/>
                <w:sz w:val="19"/>
              </w:rPr>
              <w:t>Délai d'action</w:t>
            </w:r>
          </w:p>
        </w:tc>
        <w:tc>
          <w:tcPr>
            <w:tcW w:type="dxa" w:w="794"/>
            <w:tcBorders>
              <w:top w:val="nil"/>
              <w:left w:val="nil"/>
              <w:bottom w:val="single" w:sz="8" w:color="2E6B8A"/>
              <w:right w:val="nil"/>
            </w:tcBorders>
            <w:shd w:fill="E8F4F0" w:val="clear" w:color="auto"/>
            <w:vAlign w:val="center"/>
          </w:tcPr>
          <w:p>
            <w:r/>
            <w:r>
              <w:rPr>
                <w:rFonts w:ascii="Arial" w:hAnsi="Arial"/>
                <w:b/>
                <w:color w:val="1A2E3B"/>
                <w:sz w:val="19"/>
              </w:rPr>
              <w:t>Pic plasma</w:t>
            </w:r>
          </w:p>
        </w:tc>
        <w:tc>
          <w:tcPr>
            <w:tcW w:type="dxa" w:w="850"/>
            <w:tcBorders>
              <w:top w:val="nil"/>
              <w:left w:val="nil"/>
              <w:bottom w:val="single" w:sz="8" w:color="2E6B8A"/>
              <w:right w:val="nil"/>
            </w:tcBorders>
            <w:shd w:fill="E8F4F0" w:val="clear" w:color="auto"/>
            <w:vAlign w:val="center"/>
          </w:tcPr>
          <w:p>
            <w:r/>
            <w:r>
              <w:rPr>
                <w:rFonts w:ascii="Arial" w:hAnsi="Arial"/>
                <w:b/>
                <w:color w:val="1A2E3B"/>
                <w:sz w:val="19"/>
              </w:rPr>
              <w:t>Durée effets</w:t>
            </w:r>
          </w:p>
        </w:tc>
        <w:tc>
          <w:tcPr>
            <w:tcW w:type="dxa" w:w="964"/>
            <w:tcBorders>
              <w:top w:val="nil"/>
              <w:left w:val="nil"/>
              <w:bottom w:val="single" w:sz="8" w:color="2E6B8A"/>
              <w:right w:val="nil"/>
            </w:tcBorders>
            <w:shd w:fill="E8F4F0" w:val="clear" w:color="auto"/>
            <w:vAlign w:val="center"/>
          </w:tcPr>
          <w:p>
            <w:r/>
            <w:r>
              <w:rPr>
                <w:rFonts w:ascii="Arial" w:hAnsi="Arial"/>
                <w:b/>
                <w:color w:val="1A2E3B"/>
                <w:sz w:val="19"/>
              </w:rPr>
              <w:t>Métabolite dominant</w:t>
            </w:r>
          </w:p>
        </w:tc>
        <w:tc>
          <w:tcPr>
            <w:tcW w:type="dxa" w:w="2665"/>
            <w:tcBorders>
              <w:top w:val="nil"/>
              <w:left w:val="nil"/>
              <w:bottom w:val="single" w:sz="8" w:color="2E6B8A"/>
              <w:right w:val="nil"/>
            </w:tcBorders>
            <w:shd w:fill="E8F4F0" w:val="clear" w:color="auto"/>
            <w:vAlign w:val="center"/>
          </w:tcPr>
          <w:p>
            <w:r/>
            <w:r>
              <w:rPr>
                <w:rFonts w:ascii="Arial" w:hAnsi="Arial"/>
                <w:b/>
                <w:color w:val="1A2E3B"/>
                <w:sz w:val="19"/>
              </w:rPr>
              <w:t>Spécificités cliniques</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Inhalation — vaporisation</w:t>
            </w:r>
          </w:p>
        </w:tc>
        <w:tc>
          <w:tcPr>
            <w:tcW w:type="dxa" w:w="90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55–90 %</w:t>
            </w:r>
          </w:p>
        </w:tc>
        <w:tc>
          <w:tcPr>
            <w:tcW w:type="dxa" w:w="90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1–3 min</w:t>
            </w:r>
          </w:p>
        </w:tc>
        <w:tc>
          <w:tcPr>
            <w:tcW w:type="dxa" w:w="79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5–15 min</w:t>
            </w:r>
          </w:p>
        </w:tc>
        <w:tc>
          <w:tcPr>
            <w:tcW w:type="dxa" w:w="850"/>
            <w:tcBorders>
              <w:top w:val="single" w:sz="4" w:color="B0CEC8"/>
              <w:left w:val="nil"/>
              <w:bottom w:val="single" w:sz="4" w:color="B0CEC8"/>
              <w:right w:val="nil"/>
            </w:tcBorders>
            <w:shd w:fill="FFFFFF" w:val="clear" w:color="auto"/>
            <w:vAlign w:val="center"/>
          </w:tcPr>
          <w:p>
            <w:pPr>
              <w:jc w:val="left"/>
            </w:pPr>
            <w:r/>
            <w:r>
              <w:rPr>
                <w:rFonts w:ascii="Garamond" w:hAnsi="Garamond"/>
                <w:sz w:val="19"/>
              </w:rPr>
              <w:t>2–4 h</w:t>
            </w:r>
          </w:p>
        </w:tc>
        <w:tc>
          <w:tcPr>
            <w:tcW w:type="dxa" w:w="96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Δ⁹-THC</w:t>
            </w:r>
          </w:p>
        </w:tc>
        <w:tc>
          <w:tcPr>
            <w:tcW w:type="dxa" w:w="266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Meilleure biodispo. inhalée, pas de pyrolysats, contrôle fin de la dose</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Inhalation — joint (combustion)</w:t>
            </w:r>
          </w:p>
        </w:tc>
        <w:tc>
          <w:tcPr>
            <w:tcW w:type="dxa" w:w="90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15–30 %</w:t>
            </w:r>
          </w:p>
        </w:tc>
        <w:tc>
          <w:tcPr>
            <w:tcW w:type="dxa" w:w="90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1–5 min</w:t>
            </w:r>
          </w:p>
        </w:tc>
        <w:tc>
          <w:tcPr>
            <w:tcW w:type="dxa" w:w="79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5–10 min</w:t>
            </w:r>
          </w:p>
        </w:tc>
        <w:tc>
          <w:tcPr>
            <w:tcW w:type="dxa" w:w="850"/>
            <w:tcBorders>
              <w:top w:val="single" w:sz="4" w:color="B0CEC8"/>
              <w:left w:val="nil"/>
              <w:bottom w:val="single" w:sz="4" w:color="B0CEC8"/>
              <w:right w:val="nil"/>
            </w:tcBorders>
            <w:shd w:fill="F5FAFA" w:val="clear" w:color="auto"/>
            <w:vAlign w:val="center"/>
          </w:tcPr>
          <w:p>
            <w:pPr>
              <w:jc w:val="left"/>
            </w:pPr>
            <w:r/>
            <w:r>
              <w:rPr>
                <w:rFonts w:ascii="Garamond" w:hAnsi="Garamond"/>
                <w:sz w:val="19"/>
              </w:rPr>
              <w:t>1–3 h</w:t>
            </w:r>
          </w:p>
        </w:tc>
        <w:tc>
          <w:tcPr>
            <w:tcW w:type="dxa" w:w="96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Δ⁹-THC</w:t>
            </w:r>
          </w:p>
        </w:tc>
        <w:tc>
          <w:tcPr>
            <w:tcW w:type="dxa" w:w="266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Pyrolysats toxiques (HAP, acroléine, CO), tabac co-administré majore risques</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Inhalation — pipe</w:t>
            </w:r>
          </w:p>
        </w:tc>
        <w:tc>
          <w:tcPr>
            <w:tcW w:type="dxa" w:w="90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~30 %</w:t>
            </w:r>
          </w:p>
        </w:tc>
        <w:tc>
          <w:tcPr>
            <w:tcW w:type="dxa" w:w="90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1–5 min</w:t>
            </w:r>
          </w:p>
        </w:tc>
        <w:tc>
          <w:tcPr>
            <w:tcW w:type="dxa" w:w="79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5–10 min</w:t>
            </w:r>
          </w:p>
        </w:tc>
        <w:tc>
          <w:tcPr>
            <w:tcW w:type="dxa" w:w="850"/>
            <w:tcBorders>
              <w:top w:val="single" w:sz="4" w:color="B0CEC8"/>
              <w:left w:val="nil"/>
              <w:bottom w:val="single" w:sz="4" w:color="B0CEC8"/>
              <w:right w:val="nil"/>
            </w:tcBorders>
            <w:shd w:fill="FFFFFF" w:val="clear" w:color="auto"/>
            <w:vAlign w:val="center"/>
          </w:tcPr>
          <w:p>
            <w:pPr>
              <w:jc w:val="left"/>
            </w:pPr>
            <w:r/>
            <w:r>
              <w:rPr>
                <w:rFonts w:ascii="Garamond" w:hAnsi="Garamond"/>
                <w:sz w:val="19"/>
              </w:rPr>
              <w:t>1–3 h</w:t>
            </w:r>
          </w:p>
        </w:tc>
        <w:tc>
          <w:tcPr>
            <w:tcW w:type="dxa" w:w="96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Δ⁹-THC</w:t>
            </w:r>
          </w:p>
        </w:tc>
        <w:tc>
          <w:tcPr>
            <w:tcW w:type="dxa" w:w="266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Sans tabac, taux similaire au joint pur</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Inhalation — bong / pipe à eau</w:t>
            </w:r>
          </w:p>
        </w:tc>
        <w:tc>
          <w:tcPr>
            <w:tcW w:type="dxa" w:w="90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~20 %</w:t>
            </w:r>
          </w:p>
        </w:tc>
        <w:tc>
          <w:tcPr>
            <w:tcW w:type="dxa" w:w="90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1–5 min</w:t>
            </w:r>
          </w:p>
        </w:tc>
        <w:tc>
          <w:tcPr>
            <w:tcW w:type="dxa" w:w="79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5–10 min</w:t>
            </w:r>
          </w:p>
        </w:tc>
        <w:tc>
          <w:tcPr>
            <w:tcW w:type="dxa" w:w="850"/>
            <w:tcBorders>
              <w:top w:val="single" w:sz="4" w:color="B0CEC8"/>
              <w:left w:val="nil"/>
              <w:bottom w:val="single" w:sz="4" w:color="B0CEC8"/>
              <w:right w:val="nil"/>
            </w:tcBorders>
            <w:shd w:fill="F5FAFA" w:val="clear" w:color="auto"/>
            <w:vAlign w:val="center"/>
          </w:tcPr>
          <w:p>
            <w:pPr>
              <w:jc w:val="left"/>
            </w:pPr>
            <w:r/>
            <w:r>
              <w:rPr>
                <w:rFonts w:ascii="Garamond" w:hAnsi="Garamond"/>
                <w:sz w:val="19"/>
              </w:rPr>
              <w:t>1–3 h</w:t>
            </w:r>
          </w:p>
        </w:tc>
        <w:tc>
          <w:tcPr>
            <w:tcW w:type="dxa" w:w="96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Δ⁹-THC</w:t>
            </w:r>
          </w:p>
        </w:tc>
        <w:tc>
          <w:tcPr>
            <w:tcW w:type="dxa" w:w="266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Filtration eau partielle, rush brutal (grande inhalation unique)</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Orale (edible décarboxylé)</w:t>
            </w:r>
          </w:p>
        </w:tc>
        <w:tc>
          <w:tcPr>
            <w:tcW w:type="dxa" w:w="90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4–20 %</w:t>
            </w:r>
          </w:p>
        </w:tc>
        <w:tc>
          <w:tcPr>
            <w:tcW w:type="dxa" w:w="90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30–90 min</w:t>
            </w:r>
          </w:p>
        </w:tc>
        <w:tc>
          <w:tcPr>
            <w:tcW w:type="dxa" w:w="79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2–3 h</w:t>
            </w:r>
          </w:p>
        </w:tc>
        <w:tc>
          <w:tcPr>
            <w:tcW w:type="dxa" w:w="850"/>
            <w:tcBorders>
              <w:top w:val="single" w:sz="4" w:color="B0CEC8"/>
              <w:left w:val="nil"/>
              <w:bottom w:val="single" w:sz="4" w:color="B0CEC8"/>
              <w:right w:val="nil"/>
            </w:tcBorders>
            <w:shd w:fill="FFFFFF" w:val="clear" w:color="auto"/>
            <w:vAlign w:val="center"/>
          </w:tcPr>
          <w:p>
            <w:pPr>
              <w:jc w:val="left"/>
            </w:pPr>
            <w:r/>
            <w:r>
              <w:rPr>
                <w:rFonts w:ascii="Garamond" w:hAnsi="Garamond"/>
                <w:sz w:val="19"/>
              </w:rPr>
              <w:t>4–12 h</w:t>
            </w:r>
          </w:p>
        </w:tc>
        <w:tc>
          <w:tcPr>
            <w:tcW w:type="dxa" w:w="96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11-OH-THC &gt;&gt; Δ⁹-THC</w:t>
            </w:r>
          </w:p>
        </w:tc>
        <w:tc>
          <w:tcPr>
            <w:tcW w:type="dxa" w:w="266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Métabolite 2–3× plus puissant, délai trompeur, risque redosage</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Sublinguale</w:t>
            </w:r>
          </w:p>
        </w:tc>
        <w:tc>
          <w:tcPr>
            <w:tcW w:type="dxa" w:w="90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~35 %</w:t>
            </w:r>
          </w:p>
        </w:tc>
        <w:tc>
          <w:tcPr>
            <w:tcW w:type="dxa" w:w="90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15–45 min</w:t>
            </w:r>
          </w:p>
        </w:tc>
        <w:tc>
          <w:tcPr>
            <w:tcW w:type="dxa" w:w="79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1–2 h</w:t>
            </w:r>
          </w:p>
        </w:tc>
        <w:tc>
          <w:tcPr>
            <w:tcW w:type="dxa" w:w="850"/>
            <w:tcBorders>
              <w:top w:val="single" w:sz="4" w:color="B0CEC8"/>
              <w:left w:val="nil"/>
              <w:bottom w:val="single" w:sz="4" w:color="B0CEC8"/>
              <w:right w:val="nil"/>
            </w:tcBorders>
            <w:shd w:fill="F5FAFA" w:val="clear" w:color="auto"/>
            <w:vAlign w:val="center"/>
          </w:tcPr>
          <w:p>
            <w:pPr>
              <w:jc w:val="left"/>
            </w:pPr>
            <w:r/>
            <w:r>
              <w:rPr>
                <w:rFonts w:ascii="Garamond" w:hAnsi="Garamond"/>
                <w:sz w:val="19"/>
              </w:rPr>
              <w:t>3–6 h</w:t>
            </w:r>
          </w:p>
        </w:tc>
        <w:tc>
          <w:tcPr>
            <w:tcW w:type="dxa" w:w="96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Δ⁹-THC + 11-OH-THC</w:t>
            </w:r>
          </w:p>
        </w:tc>
        <w:tc>
          <w:tcPr>
            <w:tcW w:type="dxa" w:w="266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Absorption partielle directe, reste avalé puis métabolisé</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Transdermique (patch)</w:t>
            </w:r>
          </w:p>
        </w:tc>
        <w:tc>
          <w:tcPr>
            <w:tcW w:type="dxa" w:w="90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&lt; 10 %</w:t>
            </w:r>
          </w:p>
        </w:tc>
        <w:tc>
          <w:tcPr>
            <w:tcW w:type="dxa" w:w="90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30–120 min</w:t>
            </w:r>
          </w:p>
        </w:tc>
        <w:tc>
          <w:tcPr>
            <w:tcW w:type="dxa" w:w="79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3–8 h</w:t>
            </w:r>
          </w:p>
        </w:tc>
        <w:tc>
          <w:tcPr>
            <w:tcW w:type="dxa" w:w="850"/>
            <w:tcBorders>
              <w:top w:val="single" w:sz="4" w:color="B0CEC8"/>
              <w:left w:val="nil"/>
              <w:bottom w:val="single" w:sz="4" w:color="B0CEC8"/>
              <w:right w:val="nil"/>
            </w:tcBorders>
            <w:shd w:fill="FFFFFF" w:val="clear" w:color="auto"/>
            <w:vAlign w:val="center"/>
          </w:tcPr>
          <w:p>
            <w:pPr>
              <w:jc w:val="left"/>
            </w:pPr>
            <w:r/>
            <w:r>
              <w:rPr>
                <w:rFonts w:ascii="Garamond" w:hAnsi="Garamond"/>
                <w:sz w:val="19"/>
              </w:rPr>
              <w:t>8–72 h</w:t>
            </w:r>
          </w:p>
        </w:tc>
        <w:tc>
          <w:tcPr>
            <w:tcW w:type="dxa" w:w="96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Δ⁹-THC</w:t>
            </w:r>
          </w:p>
        </w:tc>
        <w:tc>
          <w:tcPr>
            <w:tcW w:type="dxa" w:w="266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Cinétique lente prolongée, absence d'effet de premier passage</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Intraveineuse (recherche)</w:t>
            </w:r>
          </w:p>
        </w:tc>
        <w:tc>
          <w:tcPr>
            <w:tcW w:type="dxa" w:w="90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100 %</w:t>
            </w:r>
          </w:p>
        </w:tc>
        <w:tc>
          <w:tcPr>
            <w:tcW w:type="dxa" w:w="907"/>
            <w:tcBorders>
              <w:top w:val="single" w:sz="4" w:color="B0CEC8"/>
              <w:left w:val="nil"/>
              <w:bottom w:val="single" w:sz="4" w:color="B0CEC8"/>
              <w:right w:val="nil"/>
            </w:tcBorders>
            <w:shd w:fill="F5FAFA" w:val="clear" w:color="auto"/>
            <w:vAlign w:val="center"/>
          </w:tcPr>
          <w:p>
            <w:pPr>
              <w:jc w:val="left"/>
            </w:pPr>
            <w:r/>
            <w:r>
              <w:rPr>
                <w:rFonts w:ascii="Garamond" w:hAnsi="Garamond"/>
                <w:sz w:val="19"/>
              </w:rPr>
              <w:t>&lt; 1 min</w:t>
            </w:r>
          </w:p>
        </w:tc>
        <w:tc>
          <w:tcPr>
            <w:tcW w:type="dxa" w:w="79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&lt; 5 min</w:t>
            </w:r>
          </w:p>
        </w:tc>
        <w:tc>
          <w:tcPr>
            <w:tcW w:type="dxa" w:w="850"/>
            <w:tcBorders>
              <w:top w:val="single" w:sz="4" w:color="B0CEC8"/>
              <w:left w:val="nil"/>
              <w:bottom w:val="single" w:sz="4" w:color="B0CEC8"/>
              <w:right w:val="nil"/>
            </w:tcBorders>
            <w:shd w:fill="F5FAFA" w:val="clear" w:color="auto"/>
            <w:vAlign w:val="center"/>
          </w:tcPr>
          <w:p>
            <w:pPr>
              <w:jc w:val="left"/>
            </w:pPr>
            <w:r/>
            <w:r>
              <w:rPr>
                <w:rFonts w:ascii="Garamond" w:hAnsi="Garamond"/>
                <w:sz w:val="19"/>
              </w:rPr>
              <w:t>1–2 h</w:t>
            </w:r>
          </w:p>
        </w:tc>
        <w:tc>
          <w:tcPr>
            <w:tcW w:type="dxa" w:w="96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Δ⁹-THC</w:t>
            </w:r>
          </w:p>
        </w:tc>
        <w:tc>
          <w:tcPr>
            <w:tcW w:type="dxa" w:w="266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Usage exclusivement expérimental, bolus brutal</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Suppositoire (anal)</w:t>
            </w:r>
          </w:p>
        </w:tc>
        <w:tc>
          <w:tcPr>
            <w:tcW w:type="dxa" w:w="90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~50–70 %</w:t>
            </w:r>
          </w:p>
        </w:tc>
        <w:tc>
          <w:tcPr>
            <w:tcW w:type="dxa" w:w="907"/>
            <w:tcBorders>
              <w:top w:val="single" w:sz="4" w:color="B0CEC8"/>
              <w:left w:val="nil"/>
              <w:bottom w:val="single" w:sz="4" w:color="B0CEC8"/>
              <w:right w:val="nil"/>
            </w:tcBorders>
            <w:shd w:fill="FFFFFF" w:val="clear" w:color="auto"/>
            <w:vAlign w:val="center"/>
          </w:tcPr>
          <w:p>
            <w:pPr>
              <w:jc w:val="left"/>
            </w:pPr>
            <w:r/>
            <w:r>
              <w:rPr>
                <w:rFonts w:ascii="Garamond" w:hAnsi="Garamond"/>
                <w:sz w:val="19"/>
              </w:rPr>
              <w:t>10–30 min</w:t>
            </w:r>
          </w:p>
        </w:tc>
        <w:tc>
          <w:tcPr>
            <w:tcW w:type="dxa" w:w="79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1–2 h</w:t>
            </w:r>
          </w:p>
        </w:tc>
        <w:tc>
          <w:tcPr>
            <w:tcW w:type="dxa" w:w="850"/>
            <w:tcBorders>
              <w:top w:val="single" w:sz="4" w:color="B0CEC8"/>
              <w:left w:val="nil"/>
              <w:bottom w:val="single" w:sz="4" w:color="B0CEC8"/>
              <w:right w:val="nil"/>
            </w:tcBorders>
            <w:shd w:fill="FFFFFF" w:val="clear" w:color="auto"/>
            <w:vAlign w:val="center"/>
          </w:tcPr>
          <w:p>
            <w:pPr>
              <w:jc w:val="left"/>
            </w:pPr>
            <w:r/>
            <w:r>
              <w:rPr>
                <w:rFonts w:ascii="Garamond" w:hAnsi="Garamond"/>
                <w:sz w:val="19"/>
              </w:rPr>
              <w:t>4–8 h</w:t>
            </w:r>
          </w:p>
        </w:tc>
        <w:tc>
          <w:tcPr>
            <w:tcW w:type="dxa" w:w="96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Δ⁹-THC</w:t>
            </w:r>
          </w:p>
        </w:tc>
        <w:tc>
          <w:tcPr>
            <w:tcW w:type="dxa" w:w="266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Évite partiellement le premier passage hépatique</w:t>
            </w:r>
          </w:p>
        </w:tc>
      </w:tr>
    </w:tbl>
    <w:p>
      <w:pPr>
        <w:spacing w:before="0" w:after="80"/>
      </w:pPr>
    </w:p>
    <w:p>
      <w:pPr>
        <w:spacing w:before="60" w:after="240"/>
        <w:jc w:val="center"/>
      </w:pPr>
      <w:r>
        <w:rPr>
          <w:rFonts w:ascii="Arial" w:hAnsi="Arial"/>
          <w:i/>
          <w:color w:val="5A5A5A"/>
          <w:sz w:val="18"/>
        </w:rPr>
        <w:t>Tableau 10.1 — Paramètres pharmacocinétiques comparatifs du THC selon la voie d'administration. Sources : Grotenhermen 2003, Huestis 2007.</w:t>
      </w:r>
    </w:p>
    <w:p>
      <w:pPr>
        <w:pStyle w:val="Heading2"/>
      </w:pPr>
      <w:r>
        <w:t>10.3  Vaporisation : la voie inhalée optimisée</w:t>
      </w:r>
    </w:p>
    <w:p>
      <w:pPr>
        <w:spacing w:before="80" w:after="120" w:line="324" w:lineRule="auto"/>
        <w:jc w:val="both"/>
      </w:pPr>
      <w:r>
        <w:rPr>
          <w:rFonts w:ascii="Garamond" w:hAnsi="Garamond"/>
          <w:sz w:val="22"/>
        </w:rPr>
        <w:t>La vaporisation à 157°C — température correspondant au début d'évaporation significative du THC à pression atmosphérique — constitue le compromis optimal entre efficacité d'extraction des cannabinoïdes et préservation des voies respiratoires. Au-delà de 200°C, des pyrolysats toxiques apparaissent (benzène, toluène, naphtalène, acroléine), comparables qualitativement à ceux de la combustion classique. Pomahacova et al. (2009, Inhalation Toxicology 21: 1108–1112) ont comparé directement les compositions des fumées de joint et des aérosols de vaporisation à différentes températures : la vaporisation à 185–210°C produit un aérosol contenant une proportion de cannabinoïdes 50 % supérieure à celle de la fumée, avec une fraction de HAP cancérogènes réduite de 95 %.</w:t>
      </w:r>
    </w:p>
    <w:p>
      <w:pPr>
        <w:spacing w:before="80" w:after="120" w:line="324" w:lineRule="auto"/>
        <w:jc w:val="both"/>
      </w:pPr>
      <w:r>
        <w:rPr>
          <w:rFonts w:ascii="Garamond" w:hAnsi="Garamond"/>
          <w:b w:val="0"/>
          <w:i w:val="0"/>
          <w:sz w:val="22"/>
        </w:rPr>
        <w:t>Le profil des terpènes libérés dépend directement de la température réglée : à basse température (&lt; 160°C), les monoterpènes les plus volatils dominent (β-ocimène 50°C, humulène 106°C, β-caryophyllène 119–130°C) ; à températures intermédiaires (170–180°C), les cannabinoïdes principaux (THC 157°C, CBD 160°C) et de nombreux monoterpènes (α-pinène 155°C, myrcène 166°C, limonène 176°C) ; à températures élevées (190–210°C), les composés les moins volatils (linalol 198°C, CBN 185°C, THCV ~ 220°C). Cette modulation thermique permet une personnalisation fine du profil de l'expérience selon les préférences et besoins thérapeutiques.</w:t>
      </w:r>
    </w:p>
    <w:p>
      <w:pPr>
        <w:pStyle w:val="Heading2"/>
      </w:pPr>
      <w:r>
        <w:t>10.4  La voie orale : la cinétique du 11-OH-THC</w:t>
      </w:r>
    </w:p>
    <w:p>
      <w:pPr>
        <w:spacing w:before="80" w:after="120" w:line="324" w:lineRule="auto"/>
        <w:jc w:val="both"/>
      </w:pPr>
      <w:r>
        <w:rPr>
          <w:rFonts w:ascii="Garamond" w:hAnsi="Garamond"/>
          <w:b w:val="0"/>
          <w:i w:val="0"/>
          <w:sz w:val="22"/>
        </w:rPr>
        <w:t>La voie orale constitue un cas pharmacocinétique fondamentalement distinct des voies inhalées. Le THC ingéré est absorbé dans l'intestin grêle (jéjunum principalement), puis entièrement transporté vers le foie via le système porte avant d'atteindre la circulation systémique générale. C'est l'effet de premier passage hépatique.</w:t>
      </w:r>
    </w:p>
    <w:p>
      <w:pPr>
        <w:spacing w:before="80" w:after="120" w:line="324" w:lineRule="auto"/>
        <w:jc w:val="both"/>
      </w:pPr>
      <w:r>
        <w:rPr>
          <w:rFonts w:ascii="Garamond" w:hAnsi="Garamond"/>
          <w:b w:val="0"/>
          <w:i w:val="0"/>
          <w:sz w:val="22"/>
        </w:rPr>
        <w:t>Dans le foie, les enzymes CYP2C9 (majoritairement) et CYP3A4 (secondairement) hydroxylent le THC en position C11, formant le 11-hydroxy-THC (11-OH-THC). Ce métabolite actif présente une puissance psychoactive 2 à 3 fois supérieure à celle du Δ⁹-THC parent (Lemberger et al., 1972, Science 177: 62–63 ; études confirmées ultérieurement). Cette puissance accrue est attribuée à une meilleure pénétration de la barrière hémato-encéphalique (logP ~ 7,2 vs 6,97 pour le THC). Le ratio 11-OH-THC/THC plasmatique est supérieur à 1:1 par voie orale, contre inférieur à 1:20 par voie inhalée. Cette différence quantitative se traduit qualitativement par une expérience subjective distincte — plus longue, plus profonde, plus dissociative.</w:t>
      </w:r>
    </w:p>
    <w:p>
      <w:pPr>
        <w:spacing w:before="80" w:after="120" w:line="324" w:lineRule="auto"/>
        <w:jc w:val="both"/>
      </w:pPr>
      <w:r>
        <w:rPr>
          <w:rFonts w:ascii="Garamond" w:hAnsi="Garamond"/>
          <w:b w:val="0"/>
          <w:i w:val="0"/>
          <w:sz w:val="22"/>
        </w:rPr>
        <w:t>Des variations interindividuelles considérables existent dans l'expression et l'activité des CYP450, liées à des polymorphismes génétiques (CYP2C9*2, *3 ; CYP3A4*22) et à l'induction/inhibition par des facteurs environnementaux (médicaments, alimentation, tabagisme). Certains métaboliseurs rapides produisent jusqu'à 3 fois plus de 11-OH-THC que de THC parent, avec une puissance subjective considérablement amplifiée. À l'inverse, les métaboliseurs lents produisent moins de métabolite actif, mais voient leur THC parent persister plus longtemps en circulation.</w:t>
      </w:r>
    </w:p>
    <w:p>
      <w:pPr>
        <w:spacing w:before="80" w:after="120" w:line="324" w:lineRule="auto"/>
        <w:jc w:val="both"/>
      </w:pPr>
      <w:r>
        <w:rPr>
          <w:rFonts w:ascii="Garamond" w:hAnsi="Garamond"/>
          <w:sz w:val="22"/>
        </w:rPr>
        <w:t>Le "piège de l'edible" constitue l'un des scénarios de surdosage accidentel les plus fréquents documentés cliniquement</w:t>
      </w:r>
      <w:r>
        <w:rPr>
          <w:b/>
          <w:color w:val="2E6B8A"/>
          <w:sz w:val="18"/>
          <w:vertAlign w:val="superscript"/>
        </w:rPr>
        <w:t>[23]</w:t>
      </w:r>
      <w:r>
        <w:rPr>
          <w:rFonts w:ascii="Garamond" w:hAnsi="Garamond"/>
          <w:sz w:val="22"/>
        </w:rPr>
        <w:t>. Le délai de 30 à 90 minutes avant l'apparition des premiers effets conduit régulièrement à une reconsommation prématurée, plaçant l'utilisateur en double ou triple dose au moment du pic plasmatique (2–3 heures post-ingestion). L'impossibilité d'interrompre l'absorption une fois la prise effectuée — contrairement à l'inhalation où l'utilisateur peut cesser de fumer à la perception des effets — aggrave dramatiquement ce phénomène. Les services d'urgence rapportent une augmentation significative des consultations pour intoxication cannabique aiguë depuis la légalisation des produits comestibles dans plusieurs États américains.</w:t>
      </w:r>
    </w:p>
    <w:p>
      <w:pPr>
        <w:spacing w:before="80" w:after="120" w:line="324" w:lineRule="auto"/>
        <w:jc w:val="both"/>
      </w:pPr>
      <w:r>
        <w:rPr>
          <w:rFonts w:ascii="Garamond" w:hAnsi="Garamond"/>
          <w:b w:val="0"/>
          <w:i w:val="0"/>
          <w:sz w:val="22"/>
        </w:rPr>
        <w:t>Effet alimentaire significatif : la prise à estomac vide accélère la vidange gastrique et l'absorption intestinale, produisant un pic plasmatique plus précoce et plus intense. La prise avec un repas riche en graisses augmente la biodisponibilité orale du THC de 2 à 3 fois (Zgair et al., 2017, Sci. Rep. 7: 14542), via incorporation dans les micelles lipidiques et transport par les chylomicrons lymphatiques, contournant partiellement l'effet de premier passage. Cette interaction alimentaire est cliniquement significative et doit être communiquée systématiquement aux patients utilisant des préparations orales.</w:t>
      </w:r>
    </w:p>
    <w:p>
      <w:pPr>
        <w:pStyle w:val="Heading2"/>
      </w:pPr>
      <w:r>
        <w:t>10.5  Combustion vs. vaporisation : comparaison toxicologique</w:t>
      </w:r>
    </w:p>
    <w:p>
      <w:pPr>
        <w:spacing w:before="80" w:after="120" w:line="324" w:lineRule="auto"/>
        <w:jc w:val="both"/>
      </w:pPr>
      <w:r>
        <w:rPr>
          <w:rFonts w:ascii="Garamond" w:hAnsi="Garamond"/>
          <w:b w:val="0"/>
          <w:i w:val="0"/>
          <w:sz w:val="22"/>
        </w:rPr>
        <w:t>La combustion du cannabis génère plus de 2 000 composés chimiques distincts dans la fumée, dont une proportion significative de produits toxiques et cancérogènes potentiels : hydrocarbures aromatiques polycycliques (HAP : benzo[a]pyrène, benzo[a]anthracène — cancérogènes pulmonaires établis), nitrosamines spécifiques du tabac (TSNA — uniquement si tabac co-administré), acroléine (irritant respiratoire), acétaldéhyde, monoxyde de carbone, formaldéhyde. Ces composés résultent de la pyrolyse à températures supérieures à 800°C des constituants végétaux structuraux — cellulose, lignine, protéines. La fumée de joint contient approximativement 70 % des HAP présents dans la fumée de tabac à équivalence pondérale (Moir et al., 2008, Chem. Res. Toxicol. 21: 494–502).</w:t>
      </w:r>
    </w:p>
    <w:p>
      <w:pPr>
        <w:spacing w:before="80" w:after="120" w:line="324" w:lineRule="auto"/>
        <w:jc w:val="both"/>
      </w:pPr>
      <w:r>
        <w:rPr>
          <w:rFonts w:ascii="Garamond" w:hAnsi="Garamond"/>
          <w:b w:val="0"/>
          <w:i w:val="0"/>
          <w:sz w:val="22"/>
        </w:rPr>
        <w:t>La vaporisation maintient la température en dessous du seuil de combustion (typiquement 180–210°C), évitant majoritairement la pyrolyse. Des études comparatives directes (Pomahacova et al., 2009 ; Abrams et al., 2007, Clin. Pharmacol. Ther. 82: 572–578) démontrent : (i) un transfert de cannabinoïdes dans l'aérosol supérieur d'environ 50 % par rapport à la fumée ; (ii) une fraction de HAP et CO inférieure de 90–95 % ; (iii) une perception subjective équivalente pour des doses inhalées équivalentes. L'ajout de tabac au joint augmente fortement les risques sanitaires (nicotine et son potentiel addictif, goudrons cancérogènes spécifiques, NNK et NNN nitrosamines) et constitue un confondant majeur dans l'évaluation épidémiologique des effets respiratoires du cannabis.</w:t>
      </w:r>
    </w:p>
    <w:p>
      <w:pPr>
        <w:pStyle w:val="Heading1"/>
      </w:pPr>
      <w:r>
        <w:t>XI. ASPECTS CLINIQUES : INTOXICATION AIGUË ET ADDICTOLOGIE</w:t>
      </w:r>
    </w:p>
    <w:p>
      <w:pPr>
        <w:pStyle w:val="Heading2"/>
      </w:pPr>
      <w:r>
        <w:t>11.1  Effets physiologiques généraux et dose-dépendance</w:t>
      </w:r>
    </w:p>
    <w:p>
      <w:pPr>
        <w:spacing w:before="80" w:after="120" w:line="324" w:lineRule="auto"/>
        <w:jc w:val="both"/>
      </w:pPr>
      <w:r>
        <w:rPr>
          <w:rFonts w:ascii="Garamond" w:hAnsi="Garamond"/>
          <w:b w:val="0"/>
          <w:i w:val="0"/>
          <w:sz w:val="22"/>
        </w:rPr>
        <w:t>Les effets physiologiques du cannabis résultent principalement de l'activation des récepteurs CB1 dans le SNC et CB2 dans les tissus immunitaires par le Δ⁹-THC. Ils sont caractérisés par une dose-dépendance non monotone — certains effets s'inversent à fortes doses — et une grande variabilité interindividuelle dépendant de la tolérance, du génotype métabolique (CYP polymorphismes), du contexte d'utilisation (« set and setting »), et des co-administrations (alcool, autres substances psychoactives).</w:t>
      </w:r>
    </w:p>
    <w:p>
      <w:pPr>
        <w:pStyle w:val="Heading3"/>
      </w:pPr>
      <w:r>
        <w:t>11.1.1  Doses thérapeutiques (2,5–15 mg THC)</w:t>
      </w:r>
    </w:p>
    <w:p>
      <w:pPr>
        <w:spacing w:before="80" w:after="120" w:line="324" w:lineRule="auto"/>
        <w:jc w:val="both"/>
      </w:pPr>
      <w:r>
        <w:rPr>
          <w:rFonts w:ascii="Garamond" w:hAnsi="Garamond"/>
          <w:b w:val="0"/>
          <w:i w:val="0"/>
          <w:sz w:val="22"/>
        </w:rPr>
        <w:t>Légère euphorie ou élévation de l'humeur, détente musculaire, augmentation perceptuelle (intensification de la perception sensorielle des stimuli), stimulation de l'appétit ("munchies" ou "fringale" — activation des neurones AGRP/NPY de l'hypothalamus, Koch et al., 2015, Nature 519: 45–50), tachycardie modérée (10–20 bpm), légère xérophtalmie et xérostomie, conjonctivite (rougeur conjonctivale par vasodilatation). Effets cognitifs aigus modérés sur la mémoire de travail et la vitesse de traitement de l'information.</w:t>
      </w:r>
    </w:p>
    <w:p>
      <w:pPr>
        <w:pStyle w:val="Heading3"/>
      </w:pPr>
      <w:r>
        <w:t>11.1.2  Doses modérées à élevées (15–50 mg, sujet naïf)</w:t>
      </w:r>
    </w:p>
    <w:p>
      <w:pPr>
        <w:spacing w:before="80" w:after="120" w:line="324" w:lineRule="auto"/>
        <w:jc w:val="both"/>
      </w:pPr>
      <w:r>
        <w:rPr>
          <w:rFonts w:ascii="Garamond" w:hAnsi="Garamond"/>
          <w:b w:val="0"/>
          <w:i w:val="0"/>
          <w:sz w:val="22"/>
        </w:rPr>
        <w:t>Altérations cognitives et mnésiques marquées (déficit de mémoire à court terme par inhibition de la libération d'acétylcholine hippocampique), distorsions perceptuelles (modification de la perception du temps — étirement subjectif — et de l'espace), augmentation marquée de la perception sensorielle, anxiété et paranoïa possibles particulièrement dans les contextes défavorables, désorientation. Effets cardiovasculaires : tachycardie 100–140 bpm, légère HTA, vasodilatation périphérique.</w:t>
      </w:r>
    </w:p>
    <w:p>
      <w:pPr>
        <w:pStyle w:val="Heading3"/>
      </w:pPr>
      <w:r>
        <w:t>11.1.3  Très hautes doses (&gt; 50 mg inhalées, &gt; 200 mg orales, sujet naïf)</w:t>
      </w:r>
    </w:p>
    <w:p>
      <w:pPr>
        <w:spacing w:before="80" w:after="120" w:line="324" w:lineRule="auto"/>
        <w:jc w:val="both"/>
      </w:pPr>
      <w:r>
        <w:rPr>
          <w:rFonts w:ascii="Garamond" w:hAnsi="Garamond"/>
          <w:b w:val="0"/>
          <w:i w:val="0"/>
          <w:sz w:val="22"/>
        </w:rPr>
        <w:t>Bascule sympatho-vagale documentée ci-après. Tableau clinique potentiellement sévère nécessitant une prise en charge médicale dans certains cas.</w:t>
      </w:r>
    </w:p>
    <w:p>
      <w:pPr>
        <w:pStyle w:val="Heading2"/>
      </w:pPr>
      <w:r>
        <w:t>11.2  Intoxication aiguë à haute dose : la bascule sympatho-vagale</w:t>
      </w:r>
    </w:p>
    <w:p>
      <w:pPr>
        <w:pStyle w:val="Heading3"/>
      </w:pPr>
      <w:r>
        <w:t>11.2.1  Mécanismes physiopathologiques</w:t>
      </w:r>
    </w:p>
    <w:p>
      <w:pPr>
        <w:spacing w:before="80" w:after="120" w:line="324" w:lineRule="auto"/>
        <w:jc w:val="both"/>
      </w:pPr>
      <w:r>
        <w:rPr>
          <w:rFonts w:ascii="Garamond" w:hAnsi="Garamond"/>
          <w:sz w:val="22"/>
        </w:rPr>
        <w:t>Le cannabis exerce une action biphasique caractéristique sur le système nerveux autonome, dose-dépendante. À doses faibles à modérées, une stimulation sympathique prédomine : tachycardie, légère hypertension artérielle, dilatation bronchique. À doses élevées, un renversement paradoxal s'opère en faveur du système parasympathique (vagotonie), conduisant à une bradycardie et une hypotension parfois sévères. Ce phénomène, désigné « bascule sympatho-vagale » dans la littérature clinique, est documenté depuis les travaux pionniers de Sidney &amp; Adler (1988, JAMA 260: 2186–2189)</w:t>
      </w:r>
      <w:r>
        <w:rPr>
          <w:b/>
          <w:color w:val="2E6B8A"/>
          <w:sz w:val="18"/>
          <w:vertAlign w:val="superscript"/>
        </w:rPr>
        <w:t>[26]</w:t>
      </w:r>
      <w:r>
        <w:rPr>
          <w:rFonts w:ascii="Garamond" w:hAnsi="Garamond"/>
          <w:sz w:val="22"/>
        </w:rPr>
        <w:t xml:space="preserve"> et raffiné par les études contemporaines en pharmacologie cardiovasculaire.</w:t>
      </w:r>
    </w:p>
    <w:p>
      <w:pPr>
        <w:spacing w:before="80" w:after="120" w:line="324" w:lineRule="auto"/>
        <w:jc w:val="both"/>
      </w:pPr>
      <w:r>
        <w:rPr>
          <w:rFonts w:ascii="Garamond" w:hAnsi="Garamond"/>
          <w:b w:val="0"/>
          <w:i w:val="0"/>
          <w:sz w:val="22"/>
        </w:rPr>
        <w:t>Plusieurs mécanismes concurrents et synergiques sous-tendent cette bascule :</w:t>
      </w:r>
    </w:p>
    <w:p>
      <w:pPr>
        <w:pStyle w:val="ListBullet"/>
        <w:spacing w:line="312" w:lineRule="auto" w:before="60" w:after="60"/>
      </w:pPr>
      <w:r>
        <w:rPr>
          <w:rFonts w:ascii="Garamond" w:hAnsi="Garamond"/>
          <w:sz w:val="22"/>
        </w:rPr>
        <w:t>Inhibition sympatholytique présynaptique : les récepteurs CB1 présynaptiques périphériques réduisent significativement la libération de noradrénaline aux terminaisons sympathiques vasculaires et cardiaques.</w:t>
      </w:r>
    </w:p>
    <w:p>
      <w:pPr>
        <w:pStyle w:val="ListBullet"/>
        <w:spacing w:line="312" w:lineRule="auto" w:before="60" w:after="60"/>
      </w:pPr>
      <w:r>
        <w:rPr>
          <w:rFonts w:ascii="Garamond" w:hAnsi="Garamond"/>
          <w:sz w:val="22"/>
        </w:rPr>
        <w:t>Augmentation réflexe du tonus vagal compensateur : par modulation centrale au niveau du noyau tractus solitaire (NTS) et du noyau ambiguë, régulateurs majeurs du baroréflexe.</w:t>
      </w:r>
    </w:p>
    <w:p>
      <w:pPr>
        <w:pStyle w:val="ListBullet"/>
        <w:spacing w:line="312" w:lineRule="auto" w:before="60" w:after="60"/>
      </w:pPr>
      <w:r>
        <w:rPr>
          <w:rFonts w:ascii="Garamond" w:hAnsi="Garamond"/>
          <w:sz w:val="22"/>
        </w:rPr>
        <w:t>Inhibition centrale du tonus sympathique cardiovasculaire : effet direct sur les neurones présynaptiques de la médulla.</w:t>
      </w:r>
    </w:p>
    <w:p>
      <w:pPr>
        <w:pStyle w:val="ListBullet"/>
        <w:spacing w:line="312" w:lineRule="auto" w:before="60" w:after="60"/>
      </w:pPr>
      <w:r>
        <w:rPr>
          <w:rFonts w:ascii="Garamond" w:hAnsi="Garamond"/>
          <w:sz w:val="22"/>
        </w:rPr>
        <w:t>Effet biphasique direct sur la fréquence cardiaque via les CB1 cardiaques : tachycardie initiale, suivie de bradycardie lors d'une activation prolongée par accumulation d'agoniste.</w:t>
      </w:r>
    </w:p>
    <w:p>
      <w:pPr>
        <w:pStyle w:val="Heading3"/>
      </w:pPr>
      <w:r>
        <w:t>11.2.2  Tableau clinique phasique — exemple paradigmatique 200–300 mg THC oral, sujet naïf</w:t>
      </w:r>
    </w:p>
    <w:tbl>
      <w:tblPr>
        <w:tblW w:type="auto" w:w="0"/>
        <w:jc w:val="center"/>
        <w:tblLayout w:type="fixed"/>
        <w:tblLook w:firstColumn="1" w:firstRow="1" w:lastColumn="0" w:lastRow="0" w:noHBand="0" w:noVBand="1" w:val="04A0"/>
      </w:tblPr>
      <w:tblGrid>
        <w:gridCol w:w="1728"/>
        <w:gridCol w:w="1728"/>
        <w:gridCol w:w="1728"/>
        <w:gridCol w:w="1728"/>
        <w:gridCol w:w="1728"/>
      </w:tblGrid>
      <w:tr>
        <w:tc>
          <w:tcPr>
            <w:tcW w:type="dxa" w:w="1701"/>
            <w:tcBorders>
              <w:top w:val="nil"/>
              <w:left w:val="nil"/>
              <w:bottom w:val="single" w:sz="8" w:color="2E6B8A"/>
              <w:right w:val="nil"/>
            </w:tcBorders>
            <w:shd w:fill="E8F4F0" w:val="clear" w:color="auto"/>
            <w:vAlign w:val="center"/>
          </w:tcPr>
          <w:p>
            <w:r/>
            <w:r>
              <w:rPr>
                <w:rFonts w:ascii="Arial" w:hAnsi="Arial"/>
                <w:b/>
                <w:color w:val="1A2E3B"/>
                <w:sz w:val="19"/>
              </w:rPr>
              <w:t>Phase</w:t>
            </w:r>
          </w:p>
        </w:tc>
        <w:tc>
          <w:tcPr>
            <w:tcW w:type="dxa" w:w="850"/>
            <w:tcBorders>
              <w:top w:val="nil"/>
              <w:left w:val="nil"/>
              <w:bottom w:val="single" w:sz="8" w:color="2E6B8A"/>
              <w:right w:val="nil"/>
            </w:tcBorders>
            <w:shd w:fill="E8F4F0" w:val="clear" w:color="auto"/>
            <w:vAlign w:val="center"/>
          </w:tcPr>
          <w:p>
            <w:r/>
            <w:r>
              <w:rPr>
                <w:rFonts w:ascii="Arial" w:hAnsi="Arial"/>
                <w:b/>
                <w:color w:val="1A2E3B"/>
                <w:sz w:val="19"/>
              </w:rPr>
              <w:t>Durée</w:t>
            </w:r>
          </w:p>
        </w:tc>
        <w:tc>
          <w:tcPr>
            <w:tcW w:type="dxa" w:w="2268"/>
            <w:tcBorders>
              <w:top w:val="nil"/>
              <w:left w:val="nil"/>
              <w:bottom w:val="single" w:sz="8" w:color="2E6B8A"/>
              <w:right w:val="nil"/>
            </w:tcBorders>
            <w:shd w:fill="E8F4F0" w:val="clear" w:color="auto"/>
            <w:vAlign w:val="center"/>
          </w:tcPr>
          <w:p>
            <w:r/>
            <w:r>
              <w:rPr>
                <w:rFonts w:ascii="Arial" w:hAnsi="Arial"/>
                <w:b/>
                <w:color w:val="1A2E3B"/>
                <w:sz w:val="19"/>
              </w:rPr>
              <w:t>Cardiovasculaire</w:t>
            </w:r>
          </w:p>
        </w:tc>
        <w:tc>
          <w:tcPr>
            <w:tcW w:type="dxa" w:w="2268"/>
            <w:tcBorders>
              <w:top w:val="nil"/>
              <w:left w:val="nil"/>
              <w:bottom w:val="single" w:sz="8" w:color="2E6B8A"/>
              <w:right w:val="nil"/>
            </w:tcBorders>
            <w:shd w:fill="E8F4F0" w:val="clear" w:color="auto"/>
            <w:vAlign w:val="center"/>
          </w:tcPr>
          <w:p>
            <w:r/>
            <w:r>
              <w:rPr>
                <w:rFonts w:ascii="Arial" w:hAnsi="Arial"/>
                <w:b/>
                <w:color w:val="1A2E3B"/>
                <w:sz w:val="19"/>
              </w:rPr>
              <w:t>Neurologique/Respiratoire</w:t>
            </w:r>
          </w:p>
        </w:tc>
        <w:tc>
          <w:tcPr>
            <w:tcW w:type="dxa" w:w="2268"/>
            <w:tcBorders>
              <w:top w:val="nil"/>
              <w:left w:val="nil"/>
              <w:bottom w:val="single" w:sz="8" w:color="2E6B8A"/>
              <w:right w:val="nil"/>
            </w:tcBorders>
            <w:shd w:fill="E8F4F0" w:val="clear" w:color="auto"/>
            <w:vAlign w:val="center"/>
          </w:tcPr>
          <w:p>
            <w:r/>
            <w:r>
              <w:rPr>
                <w:rFonts w:ascii="Arial" w:hAnsi="Arial"/>
                <w:b/>
                <w:color w:val="1A2E3B"/>
                <w:sz w:val="19"/>
              </w:rPr>
              <w:t>Symptômes subjectifs</w:t>
            </w:r>
          </w:p>
        </w:tc>
      </w:tr>
      <w:tr>
        <w:tc>
          <w:tcPr>
            <w:tcW w:type="dxa" w:w="170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Phase 1 — Sympathique</w:t>
            </w:r>
          </w:p>
        </w:tc>
        <w:tc>
          <w:tcPr>
            <w:tcW w:type="dxa" w:w="850"/>
            <w:tcBorders>
              <w:top w:val="single" w:sz="4" w:color="B0CEC8"/>
              <w:left w:val="nil"/>
              <w:bottom w:val="single" w:sz="4" w:color="B0CEC8"/>
              <w:right w:val="nil"/>
            </w:tcBorders>
            <w:shd w:fill="FFFFFF" w:val="clear" w:color="auto"/>
            <w:vAlign w:val="center"/>
          </w:tcPr>
          <w:p>
            <w:pPr>
              <w:jc w:val="left"/>
            </w:pPr>
            <w:r/>
            <w:r>
              <w:rPr>
                <w:rFonts w:ascii="Garamond" w:hAnsi="Garamond"/>
                <w:sz w:val="19"/>
              </w:rPr>
              <w:t>0–20 min</w:t>
            </w:r>
          </w:p>
        </w:tc>
        <w:tc>
          <w:tcPr>
            <w:tcW w:type="dxa" w:w="2268"/>
            <w:tcBorders>
              <w:top w:val="single" w:sz="4" w:color="B0CEC8"/>
              <w:left w:val="nil"/>
              <w:bottom w:val="single" w:sz="4" w:color="B0CEC8"/>
              <w:right w:val="nil"/>
            </w:tcBorders>
            <w:shd w:fill="FFFFFF" w:val="clear" w:color="auto"/>
            <w:vAlign w:val="center"/>
          </w:tcPr>
          <w:p>
            <w:pPr>
              <w:jc w:val="left"/>
            </w:pPr>
            <w:r/>
            <w:r>
              <w:rPr>
                <w:rFonts w:ascii="Garamond" w:hAnsi="Garamond"/>
                <w:sz w:val="19"/>
              </w:rPr>
              <w:t>Tachycardie 100–140 bpm, HTA transitoire, palpitations</w:t>
            </w:r>
          </w:p>
        </w:tc>
        <w:tc>
          <w:tcPr>
            <w:tcW w:type="dxa" w:w="2268"/>
            <w:tcBorders>
              <w:top w:val="single" w:sz="4" w:color="B0CEC8"/>
              <w:left w:val="nil"/>
              <w:bottom w:val="single" w:sz="4" w:color="B0CEC8"/>
              <w:right w:val="nil"/>
            </w:tcBorders>
            <w:shd w:fill="FFFFFF" w:val="clear" w:color="auto"/>
            <w:vAlign w:val="center"/>
          </w:tcPr>
          <w:p>
            <w:pPr>
              <w:jc w:val="left"/>
            </w:pPr>
            <w:r/>
            <w:r>
              <w:rPr>
                <w:rFonts w:ascii="Garamond" w:hAnsi="Garamond"/>
                <w:sz w:val="19"/>
              </w:rPr>
              <w:t>Hyperventilation, anxiété montante, alerte sensorielle accrue</w:t>
            </w:r>
          </w:p>
        </w:tc>
        <w:tc>
          <w:tcPr>
            <w:tcW w:type="dxa" w:w="2268"/>
            <w:tcBorders>
              <w:top w:val="single" w:sz="4" w:color="B0CEC8"/>
              <w:left w:val="nil"/>
              <w:bottom w:val="single" w:sz="4" w:color="B0CEC8"/>
              <w:right w:val="nil"/>
            </w:tcBorders>
            <w:shd w:fill="FFFFFF" w:val="clear" w:color="auto"/>
            <w:vAlign w:val="center"/>
          </w:tcPr>
          <w:p>
            <w:pPr>
              <w:jc w:val="left"/>
            </w:pPr>
            <w:r/>
            <w:r>
              <w:rPr>
                <w:rFonts w:ascii="Garamond" w:hAnsi="Garamond"/>
                <w:sz w:val="19"/>
              </w:rPr>
              <w:t>Euphorie initiale, légèreté, montée de panique secondaire</w:t>
            </w:r>
          </w:p>
        </w:tc>
      </w:tr>
      <w:tr>
        <w:tc>
          <w:tcPr>
            <w:tcW w:type="dxa" w:w="170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Phase 2 — Bascule parasympathique</w:t>
            </w:r>
          </w:p>
        </w:tc>
        <w:tc>
          <w:tcPr>
            <w:tcW w:type="dxa" w:w="850"/>
            <w:tcBorders>
              <w:top w:val="single" w:sz="4" w:color="B0CEC8"/>
              <w:left w:val="nil"/>
              <w:bottom w:val="single" w:sz="4" w:color="B0CEC8"/>
              <w:right w:val="nil"/>
            </w:tcBorders>
            <w:shd w:fill="F5FAFA" w:val="clear" w:color="auto"/>
            <w:vAlign w:val="center"/>
          </w:tcPr>
          <w:p>
            <w:pPr>
              <w:jc w:val="left"/>
            </w:pPr>
            <w:r/>
            <w:r>
              <w:rPr>
                <w:rFonts w:ascii="Garamond" w:hAnsi="Garamond"/>
                <w:sz w:val="19"/>
              </w:rPr>
              <w:t>20–90 min</w:t>
            </w:r>
          </w:p>
        </w:tc>
        <w:tc>
          <w:tcPr>
            <w:tcW w:type="dxa" w:w="2268"/>
            <w:tcBorders>
              <w:top w:val="single" w:sz="4" w:color="B0CEC8"/>
              <w:left w:val="nil"/>
              <w:bottom w:val="single" w:sz="4" w:color="B0CEC8"/>
              <w:right w:val="nil"/>
            </w:tcBorders>
            <w:shd w:fill="F5FAFA" w:val="clear" w:color="auto"/>
            <w:vAlign w:val="center"/>
          </w:tcPr>
          <w:p>
            <w:pPr>
              <w:jc w:val="left"/>
            </w:pPr>
            <w:r/>
            <w:r>
              <w:rPr>
                <w:rFonts w:ascii="Garamond" w:hAnsi="Garamond"/>
                <w:sz w:val="19"/>
              </w:rPr>
              <w:t>Bradycardie &lt; 55 bpm, PA syst. &lt; 90 mmHg, allongement PR à l'ECG</w:t>
            </w:r>
          </w:p>
        </w:tc>
        <w:tc>
          <w:tcPr>
            <w:tcW w:type="dxa" w:w="2268"/>
            <w:tcBorders>
              <w:top w:val="single" w:sz="4" w:color="B0CEC8"/>
              <w:left w:val="nil"/>
              <w:bottom w:val="single" w:sz="4" w:color="B0CEC8"/>
              <w:right w:val="nil"/>
            </w:tcBorders>
            <w:shd w:fill="F5FAFA" w:val="clear" w:color="auto"/>
            <w:vAlign w:val="center"/>
          </w:tcPr>
          <w:p>
            <w:pPr>
              <w:jc w:val="left"/>
            </w:pPr>
            <w:r/>
            <w:r>
              <w:rPr>
                <w:rFonts w:ascii="Garamond" w:hAnsi="Garamond"/>
                <w:sz w:val="19"/>
              </w:rPr>
              <w:t>Bradypnée, perte du contrôle respiratoire conscient, pré-syncope, nausées</w:t>
            </w:r>
          </w:p>
        </w:tc>
        <w:tc>
          <w:tcPr>
            <w:tcW w:type="dxa" w:w="2268"/>
            <w:tcBorders>
              <w:top w:val="single" w:sz="4" w:color="B0CEC8"/>
              <w:left w:val="nil"/>
              <w:bottom w:val="single" w:sz="4" w:color="B0CEC8"/>
              <w:right w:val="nil"/>
            </w:tcBorders>
            <w:shd w:fill="F5FAFA" w:val="clear" w:color="auto"/>
            <w:vAlign w:val="center"/>
          </w:tcPr>
          <w:p>
            <w:pPr>
              <w:jc w:val="left"/>
            </w:pPr>
            <w:r/>
            <w:r>
              <w:rPr>
                <w:rFonts w:ascii="Garamond" w:hAnsi="Garamond"/>
                <w:sz w:val="19"/>
              </w:rPr>
              <w:t>« Cœur qui s'arrête », vagues de chaleur, terreur, sensation de mort imminente</w:t>
            </w:r>
          </w:p>
        </w:tc>
      </w:tr>
      <w:tr>
        <w:tc>
          <w:tcPr>
            <w:tcW w:type="dxa" w:w="170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Phase 3 — Plateau</w:t>
            </w:r>
          </w:p>
        </w:tc>
        <w:tc>
          <w:tcPr>
            <w:tcW w:type="dxa" w:w="850"/>
            <w:tcBorders>
              <w:top w:val="single" w:sz="4" w:color="B0CEC8"/>
              <w:left w:val="nil"/>
              <w:bottom w:val="single" w:sz="4" w:color="B0CEC8"/>
              <w:right w:val="nil"/>
            </w:tcBorders>
            <w:shd w:fill="FFFFFF" w:val="clear" w:color="auto"/>
            <w:vAlign w:val="center"/>
          </w:tcPr>
          <w:p>
            <w:pPr>
              <w:jc w:val="left"/>
            </w:pPr>
            <w:r/>
            <w:r>
              <w:rPr>
                <w:rFonts w:ascii="Garamond" w:hAnsi="Garamond"/>
                <w:sz w:val="19"/>
              </w:rPr>
              <w:t>90–240 min</w:t>
            </w:r>
          </w:p>
        </w:tc>
        <w:tc>
          <w:tcPr>
            <w:tcW w:type="dxa" w:w="2268"/>
            <w:tcBorders>
              <w:top w:val="single" w:sz="4" w:color="B0CEC8"/>
              <w:left w:val="nil"/>
              <w:bottom w:val="single" w:sz="4" w:color="B0CEC8"/>
              <w:right w:val="nil"/>
            </w:tcBorders>
            <w:shd w:fill="FFFFFF" w:val="clear" w:color="auto"/>
            <w:vAlign w:val="center"/>
          </w:tcPr>
          <w:p>
            <w:pPr>
              <w:jc w:val="left"/>
            </w:pPr>
            <w:r/>
            <w:r>
              <w:rPr>
                <w:rFonts w:ascii="Garamond" w:hAnsi="Garamond"/>
                <w:sz w:val="19"/>
              </w:rPr>
              <w:t>Normalisation progressive ou vagotonie persistante</w:t>
            </w:r>
          </w:p>
        </w:tc>
        <w:tc>
          <w:tcPr>
            <w:tcW w:type="dxa" w:w="2268"/>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Confusion, désorientation temporo-spatiale, épuisement</w:t>
            </w:r>
          </w:p>
        </w:tc>
        <w:tc>
          <w:tcPr>
            <w:tcW w:type="dxa" w:w="2268"/>
            <w:tcBorders>
              <w:top w:val="single" w:sz="4" w:color="B0CEC8"/>
              <w:left w:val="nil"/>
              <w:bottom w:val="single" w:sz="4" w:color="B0CEC8"/>
              <w:right w:val="nil"/>
            </w:tcBorders>
            <w:shd w:fill="FFFFFF" w:val="clear" w:color="auto"/>
            <w:vAlign w:val="center"/>
          </w:tcPr>
          <w:p>
            <w:pPr>
              <w:jc w:val="left"/>
            </w:pPr>
            <w:r/>
            <w:r>
              <w:rPr>
                <w:rFonts w:ascii="Garamond" w:hAnsi="Garamond"/>
                <w:sz w:val="19"/>
              </w:rPr>
              <w:t>Sentiment d'être « coincé pour toujours » dans cet état (déformation temporelle massive)</w:t>
            </w:r>
          </w:p>
        </w:tc>
      </w:tr>
      <w:tr>
        <w:tc>
          <w:tcPr>
            <w:tcW w:type="dxa" w:w="170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Phase 4 — Résolution</w:t>
            </w:r>
          </w:p>
        </w:tc>
        <w:tc>
          <w:tcPr>
            <w:tcW w:type="dxa" w:w="850"/>
            <w:tcBorders>
              <w:top w:val="single" w:sz="4" w:color="B0CEC8"/>
              <w:left w:val="nil"/>
              <w:bottom w:val="single" w:sz="4" w:color="B0CEC8"/>
              <w:right w:val="nil"/>
            </w:tcBorders>
            <w:shd w:fill="F5FAFA" w:val="clear" w:color="auto"/>
            <w:vAlign w:val="center"/>
          </w:tcPr>
          <w:p>
            <w:pPr>
              <w:jc w:val="left"/>
            </w:pPr>
            <w:r/>
            <w:r>
              <w:rPr>
                <w:rFonts w:ascii="Garamond" w:hAnsi="Garamond"/>
                <w:sz w:val="19"/>
              </w:rPr>
              <w:t>4–12 h</w:t>
            </w:r>
          </w:p>
        </w:tc>
        <w:tc>
          <w:tcPr>
            <w:tcW w:type="dxa" w:w="2268"/>
            <w:tcBorders>
              <w:top w:val="single" w:sz="4" w:color="B0CEC8"/>
              <w:left w:val="nil"/>
              <w:bottom w:val="single" w:sz="4" w:color="B0CEC8"/>
              <w:right w:val="nil"/>
            </w:tcBorders>
            <w:shd w:fill="F5FAFA" w:val="clear" w:color="auto"/>
            <w:vAlign w:val="center"/>
          </w:tcPr>
          <w:p>
            <w:pPr>
              <w:jc w:val="left"/>
            </w:pPr>
            <w:r/>
            <w:r>
              <w:rPr>
                <w:rFonts w:ascii="Garamond" w:hAnsi="Garamond"/>
                <w:sz w:val="19"/>
              </w:rPr>
              <w:t>Retour progressif à la baseline cardiovasculaire</w:t>
            </w:r>
          </w:p>
        </w:tc>
        <w:tc>
          <w:tcPr>
            <w:tcW w:type="dxa" w:w="2268"/>
            <w:tcBorders>
              <w:top w:val="single" w:sz="4" w:color="B0CEC8"/>
              <w:left w:val="nil"/>
              <w:bottom w:val="single" w:sz="4" w:color="B0CEC8"/>
              <w:right w:val="nil"/>
            </w:tcBorders>
            <w:shd w:fill="F5FAFA" w:val="clear" w:color="auto"/>
            <w:vAlign w:val="center"/>
          </w:tcPr>
          <w:p>
            <w:pPr>
              <w:jc w:val="left"/>
            </w:pPr>
            <w:r/>
            <w:r>
              <w:rPr>
                <w:rFonts w:ascii="Garamond" w:hAnsi="Garamond"/>
                <w:sz w:val="19"/>
              </w:rPr>
              <w:t>Hypersomnie, brouillard cognitif résiduel</w:t>
            </w:r>
          </w:p>
        </w:tc>
        <w:tc>
          <w:tcPr>
            <w:tcW w:type="dxa" w:w="2268"/>
            <w:tcBorders>
              <w:top w:val="single" w:sz="4" w:color="B0CEC8"/>
              <w:left w:val="nil"/>
              <w:bottom w:val="single" w:sz="4" w:color="B0CEC8"/>
              <w:right w:val="nil"/>
            </w:tcBorders>
            <w:shd w:fill="F5FAFA" w:val="clear" w:color="auto"/>
            <w:vAlign w:val="center"/>
          </w:tcPr>
          <w:p>
            <w:pPr>
              <w:jc w:val="left"/>
            </w:pPr>
            <w:r/>
            <w:r>
              <w:rPr>
                <w:rFonts w:ascii="Garamond" w:hAnsi="Garamond"/>
                <w:sz w:val="19"/>
              </w:rPr>
              <w:t>Fatigue profonde, anxiété résiduelle, anhédonie transitoire post-trip</w:t>
            </w:r>
          </w:p>
        </w:tc>
      </w:tr>
    </w:tbl>
    <w:p>
      <w:pPr>
        <w:spacing w:before="0" w:after="80"/>
      </w:pPr>
    </w:p>
    <w:p>
      <w:pPr>
        <w:spacing w:before="60" w:after="240"/>
        <w:jc w:val="center"/>
      </w:pPr>
      <w:r>
        <w:rPr>
          <w:rFonts w:ascii="Arial" w:hAnsi="Arial"/>
          <w:i/>
          <w:color w:val="5A5A5A"/>
          <w:sz w:val="18"/>
        </w:rPr>
        <w:t>Tableau 11.1 — Tableau clinique phasique de la bascule sympatho-vagale lors d'une intoxication aiguë par voie orale à haute dose de THC chez un sujet à faible tolérance.</w:t>
      </w:r>
    </w:p>
    <w:p>
      <w:pPr>
        <w:pStyle w:val="Heading3"/>
      </w:pPr>
      <w:r>
        <w:t>11.2.3  Le phénomène subjectif « en vague »</w:t>
      </w:r>
    </w:p>
    <w:p>
      <w:pPr>
        <w:spacing w:before="80" w:after="120" w:line="324" w:lineRule="auto"/>
        <w:jc w:val="both"/>
      </w:pPr>
      <w:r>
        <w:rPr>
          <w:rFonts w:ascii="Garamond" w:hAnsi="Garamond"/>
          <w:b w:val="0"/>
          <w:i w:val="0"/>
          <w:sz w:val="22"/>
        </w:rPr>
        <w:t>Le phénomène subjectif « en vague » — décrit par de nombreux patients comme des vagues récurrentes de chaleur, de gonflement ou de pression remontant vers la tête en cycles répétitifs sur 5 à 15 minutes — correspond physiologiquement aux oscillations du baroréflexe dérégulé. Normalement, une chute de pression artérielle déclenche une accélération cardiaque compensatoire ; cette boucle de rétrocontrôle est court-circuitée par la vagotonie cannabinoïde, produisant des oscillations sinusoïdales pression/fréquence perçues subjectivement comme des « vagues ».</w:t>
      </w:r>
    </w:p>
    <w:p>
      <w:pPr>
        <w:spacing w:before="80" w:after="120" w:line="324" w:lineRule="auto"/>
        <w:jc w:val="both"/>
      </w:pPr>
      <w:r>
        <w:rPr>
          <w:rFonts w:ascii="Garamond" w:hAnsi="Garamond"/>
          <w:b w:val="0"/>
          <w:i w:val="0"/>
          <w:sz w:val="22"/>
        </w:rPr>
        <w:t>Ce tableau ne doit pas être confondu avec une crise d'angoisse psychogène : il s'agit d'une décompensation hémodynamique réelle avec signes objectifs mesurables (bradycardie, hypotension, hypoperfusion cérébrale possible). La prise en charge doit donc être à la fois psychologique (rassurance, environnement calme) et hémodynamique (monitoring, position de Trendelenburg si pré-syncope, hydratation, voire benzodiazépines à faibles doses si anxiété majeure).</w:t>
      </w:r>
    </w:p>
    <w:p>
      <w:pPr>
        <w:pStyle w:val="Heading2"/>
      </w:pPr>
      <w:r>
        <w:t>11.3  Spécificités cliniques de l'intoxication par voie orale</w:t>
      </w:r>
    </w:p>
    <w:p>
      <w:pPr>
        <w:spacing w:before="80" w:after="120" w:line="324" w:lineRule="auto"/>
        <w:jc w:val="both"/>
      </w:pPr>
      <w:r>
        <w:rPr>
          <w:rFonts w:ascii="Garamond" w:hAnsi="Garamond"/>
          <w:b w:val="0"/>
          <w:i w:val="0"/>
          <w:sz w:val="22"/>
        </w:rPr>
        <w:t>L'intoxication par voie orale (edible) à haute dose constitue l'un des scénarios cliniques les plus sévères et les plus difficiles à gérer en pratique, en raison de la convergence de plusieurs facteurs aggravants :</w:t>
      </w:r>
    </w:p>
    <w:p>
      <w:pPr>
        <w:pStyle w:val="ListBullet"/>
        <w:spacing w:line="312" w:lineRule="auto" w:before="60" w:after="60"/>
      </w:pPr>
      <w:r>
        <w:rPr>
          <w:rFonts w:ascii="Garamond" w:hAnsi="Garamond"/>
          <w:sz w:val="22"/>
        </w:rPr>
        <w:t>Effet retardé de 30 à 90 minutes — sous-estimation systématique de la dose réelle ingérée, redosage involontaire fréquent.</w:t>
      </w:r>
    </w:p>
    <w:p>
      <w:pPr>
        <w:pStyle w:val="ListBullet"/>
        <w:spacing w:line="312" w:lineRule="auto" w:before="60" w:after="60"/>
      </w:pPr>
      <w:r>
        <w:rPr>
          <w:rFonts w:ascii="Garamond" w:hAnsi="Garamond"/>
          <w:sz w:val="22"/>
        </w:rPr>
        <w:t>Molécule active dominante : 11-OH-THC, 2 à 3 fois plus puissant que le THC parent — l'équivalent subjectif de 40 à 120 mg de THC fumé pour 200 mg ingérés.</w:t>
      </w:r>
    </w:p>
    <w:p>
      <w:pPr>
        <w:pStyle w:val="ListBullet"/>
        <w:spacing w:line="312" w:lineRule="auto" w:before="60" w:after="60"/>
      </w:pPr>
      <w:r>
        <w:rPr>
          <w:rFonts w:ascii="Garamond" w:hAnsi="Garamond"/>
          <w:sz w:val="22"/>
        </w:rPr>
        <w:t>Durée d'expérience 3 à 4 fois plus longue qu'à la voie inhalée (6 à 12 heures versus 2 à 4 heures).</w:t>
      </w:r>
    </w:p>
    <w:p>
      <w:pPr>
        <w:pStyle w:val="ListBullet"/>
        <w:spacing w:line="312" w:lineRule="auto" w:before="60" w:after="60"/>
      </w:pPr>
      <w:r>
        <w:rPr>
          <w:rFonts w:ascii="Garamond" w:hAnsi="Garamond"/>
          <w:sz w:val="22"/>
        </w:rPr>
        <w:t>Impossibilité d'interrompre l'absorption une fois la prise effectuée.</w:t>
      </w:r>
    </w:p>
    <w:p>
      <w:pPr>
        <w:pStyle w:val="ListBullet"/>
        <w:spacing w:line="312" w:lineRule="auto" w:before="60" w:after="60"/>
      </w:pPr>
      <w:r>
        <w:rPr>
          <w:rFonts w:ascii="Garamond" w:hAnsi="Garamond"/>
          <w:sz w:val="22"/>
        </w:rPr>
        <w:t>Dissociation qualitativement plus profonde (dépersonnalisation, déréalisation, boucles de pensée intrusives) liée à la nature du métabolite et à sa durée d'action.</w:t>
      </w:r>
    </w:p>
    <w:p>
      <w:pPr>
        <w:pStyle w:val="ListBullet"/>
        <w:spacing w:line="312" w:lineRule="auto" w:before="60" w:after="60"/>
      </w:pPr>
      <w:r>
        <w:rPr>
          <w:rFonts w:ascii="Garamond" w:hAnsi="Garamond"/>
          <w:sz w:val="22"/>
        </w:rPr>
        <w:t>Vagotonie et bradycardie, si elles surviennent, s'installent en plateau prolongé sur plusieurs heures (versus pic transitoire à la fumée).</w:t>
      </w:r>
    </w:p>
    <w:p>
      <w:pPr>
        <w:spacing w:before="80" w:after="120" w:line="324" w:lineRule="auto"/>
        <w:jc w:val="both"/>
      </w:pPr>
      <w:r>
        <w:rPr>
          <w:rFonts w:ascii="Garamond" w:hAnsi="Garamond"/>
          <w:b w:val="0"/>
          <w:i w:val="0"/>
          <w:sz w:val="22"/>
        </w:rPr>
        <w:t>La prise en charge est principalement symptomatique : décubitus dorsal ou position semi-assise selon les symptômes, environnement calme et rassurant, hydratation orale ou parentérale, monitoring cardiaque continu si bradycardie symptomatique. Pharmacologiquement : benzodiazépines à faibles doses (lorazépam 0,5–1 mg PO ou IV) pour anxiété sévère, solutés de remplissage isotoniques si hypotension persistante. Le CBD sublingual à 300–600 mg pourrait atténuer les effets aigus du THC en situation d'urgence (données émergentes, Wachtel et al., 2002, Psychopharmacology 161: 331–339), bien que cette approche ne soit pas encore standardisée dans les protocoles d'urgence.</w:t>
      </w:r>
    </w:p>
    <w:p>
      <w:pPr>
        <w:pStyle w:val="Heading2"/>
      </w:pPr>
      <w:r>
        <w:t>11.4  Dépendance, accoutumance et sevrage cannabiques</w:t>
      </w:r>
    </w:p>
    <w:p>
      <w:pPr>
        <w:pStyle w:val="Heading3"/>
      </w:pPr>
      <w:r>
        <w:t>11.4.1  Épidémiologie et critères DSM-5</w:t>
      </w:r>
    </w:p>
    <w:p>
      <w:pPr>
        <w:spacing w:before="80" w:after="120" w:line="324" w:lineRule="auto"/>
        <w:jc w:val="both"/>
      </w:pPr>
      <w:r>
        <w:rPr>
          <w:rFonts w:ascii="Garamond" w:hAnsi="Garamond"/>
          <w:sz w:val="22"/>
        </w:rPr>
        <w:t>L'épidémiologie de la dépendance cannabique est désormais bien documentée par des études longitudinales internationales de grande envergure. Environ 9 % des personnes ayant utilisé du cannabis à un moment de leur vie développent un trouble d'utilisation du cannabis (TUC) (Anthony et al., 1994, Exp. Clin. Psychopharmacol. 2: 244–268). Ce chiffre monte à 16 % chez les personnes ayant initié leur consommation avant 18 ans, et à 25–50 % chez les consommateurs quotidiens. Le DSM-5</w:t>
      </w:r>
      <w:r>
        <w:rPr>
          <w:b/>
          <w:color w:val="2E6B8A"/>
          <w:sz w:val="18"/>
          <w:vertAlign w:val="superscript"/>
        </w:rPr>
        <w:t>[27]</w:t>
      </w:r>
      <w:r>
        <w:rPr>
          <w:rFonts w:ascii="Garamond" w:hAnsi="Garamond"/>
          <w:sz w:val="22"/>
        </w:rPr>
        <w:t xml:space="preserve"> définit le TUC comme une consommation problématique entraînant une détresse ou un trouble clinique significatif, avec présence d'au moins deux parmi onze critères diagnostiques sur 12 mois.</w:t>
      </w:r>
    </w:p>
    <w:p>
      <w:pPr>
        <w:spacing w:before="80" w:after="120" w:line="324" w:lineRule="auto"/>
        <w:jc w:val="both"/>
      </w:pPr>
      <w:r>
        <w:rPr>
          <w:rFonts w:ascii="Garamond" w:hAnsi="Garamond"/>
          <w:b w:val="0"/>
          <w:i w:val="0"/>
          <w:sz w:val="22"/>
        </w:rPr>
        <w:t>Les onze critères du TUC selon le DSM-5 sont : (1) consommation en quantités supérieures à l'intention initiale ; (2) désir persistant ou efforts infructueux de réduire ; (3) temps excessif consacré à l'obtention, à l'usage ou à la récupération ; (4) craving (envie impérieuse) ; (5) impact négatif sur les obligations professionnelles, scolaires ou familiales ; (6) continuation malgré problèmes interpersonnels ; (7) abandon d'activités importantes ; (8) usage en situations à risque (conduite, machinerie) ; (9) continuation malgré problèmes de santé connus ; (10) tolérance (augmentation des doses pour effet équivalent) ; (11) syndrome de sevrage à l'arrêt. La sévérité est gradée : légère (2–3 critères), modérée (4–5), sévère (≥ 6).</w:t>
      </w:r>
    </w:p>
    <w:p>
      <w:pPr>
        <w:pStyle w:val="Heading3"/>
      </w:pPr>
      <w:r>
        <w:t>11.4.2  Neurobiologie de la dépendance</w:t>
      </w:r>
    </w:p>
    <w:p>
      <w:pPr>
        <w:spacing w:before="80" w:after="120" w:line="324" w:lineRule="auto"/>
        <w:jc w:val="both"/>
      </w:pPr>
      <w:r>
        <w:rPr>
          <w:rFonts w:ascii="Garamond" w:hAnsi="Garamond"/>
          <w:b w:val="0"/>
          <w:i w:val="0"/>
          <w:sz w:val="22"/>
        </w:rPr>
        <w:t>La dépendance cannabique implique des mécanismes neurobiologiques analogues à ceux des autres substances addictives, généralement moins intenses. L'activation chronique des CB1 dans la voie dopaminergique mésocorticolimbique (noyau accumbens, aire tegmentale ventrale, cortex préfrontal) produit une down-regulation des récepteurs CB1 — Hirvonen et al. (2012, Mol. Psychiatry 17: 642–649) ont quantifié par TEP scan une réduction de la densité de CB1 corticale de 20–25 % chez les consommateurs chroniques, avec récupération partielle après 4 semaines d'abstinence.</w:t>
      </w:r>
    </w:p>
    <w:p>
      <w:pPr>
        <w:spacing w:before="80" w:after="120" w:line="324" w:lineRule="auto"/>
        <w:jc w:val="both"/>
      </w:pPr>
      <w:r>
        <w:rPr>
          <w:rFonts w:ascii="Garamond" w:hAnsi="Garamond"/>
          <w:b w:val="0"/>
          <w:i w:val="0"/>
          <w:sz w:val="22"/>
        </w:rPr>
        <w:t>Cette down-regulation constitue la base pharmacologique de la tolérance — augmentation des doses nécessaires pour produire les effets initiaux. Par ailleurs, l'activation artificielle et répétée du circuit de la récompense par le THC perturbe la sensibilisation normale aux stimuli naturels (nourriture, sexualité, connexions sociales), réduisant la réponse hédonique aux stimuli naturels et créant une dépendance fonctionnelle aux stimuli cannabinoïdes exogènes (anhédonie réversible).</w:t>
      </w:r>
    </w:p>
    <w:p>
      <w:pPr>
        <w:pStyle w:val="Heading3"/>
      </w:pPr>
      <w:r>
        <w:t>11.4.3  Syndrome de sevrage cannabique</w:t>
      </w:r>
    </w:p>
    <w:p>
      <w:pPr>
        <w:spacing w:before="80" w:after="120" w:line="324" w:lineRule="auto"/>
        <w:jc w:val="both"/>
      </w:pPr>
      <w:r>
        <w:rPr>
          <w:rFonts w:ascii="Garamond" w:hAnsi="Garamond"/>
          <w:b w:val="0"/>
          <w:i w:val="0"/>
          <w:sz w:val="22"/>
        </w:rPr>
        <w:t>Reconnu comme entité clinique à part entière depuis le DSM-5, le syndrome de sevrage cannabique apparaît typiquement 12–24 heures après l'arrêt d'une consommation chronique intensive, atteint son pic d'intensité entre J2 et J6, et se résorbe progressivement en 1 à 2 semaines. Les symptômes les plus fréquents (Bonnet &amp; Preuss, 2017, Subst. Abuse Rehabil. 8: 9–37) sont : (i) irritabilité, agressivité, agitation (&gt; 70 % des cas de sevrage sévère) ; (ii) troubles du sommeil — insomnie d'endormissement et de maintien, cauchemars vifs (rebond REM après suppression chronique par le THC) ; (iii) anhédonie, humeur déprimée, léthargie ; (iv) anxiété et symptômes neurovégétatifs (sueurs, tremblements, tachycardie, céphalées) ; (v) diminution de l'appétit et perte de poids ; (vi) craving intense, particulièrement les premiers jours.</w:t>
      </w:r>
    </w:p>
    <w:p>
      <w:pPr>
        <w:pStyle w:val="Heading3"/>
      </w:pPr>
      <w:r>
        <w:t>11.4.4  Vulnérabilité développementale et risques à long terme</w:t>
      </w:r>
    </w:p>
    <w:p>
      <w:pPr>
        <w:spacing w:before="80" w:after="120" w:line="324" w:lineRule="auto"/>
        <w:jc w:val="both"/>
      </w:pPr>
      <w:r>
        <w:rPr>
          <w:rFonts w:ascii="Garamond" w:hAnsi="Garamond"/>
          <w:sz w:val="22"/>
        </w:rPr>
        <w:t>Les données épidémiologiques et les études de cohorte longitudinales identifient sans ambiguïté l'adolescence comme période critique de vulnérabilité</w:t>
      </w:r>
      <w:r>
        <w:rPr>
          <w:b/>
          <w:color w:val="2E6B8A"/>
          <w:sz w:val="18"/>
          <w:vertAlign w:val="superscript"/>
        </w:rPr>
        <w:t>[28]</w:t>
      </w:r>
      <w:r>
        <w:rPr>
          <w:rFonts w:ascii="Garamond" w:hAnsi="Garamond"/>
          <w:sz w:val="22"/>
        </w:rPr>
        <w:t>. L'étude de Dunedin (Nouvelle-Zélande), suivi prospectif de 1037 individus depuis la naissance jusqu'à l'âge adulte, a démontré qu'une consommation régulière débutée avant 18 ans est associée à un déclin du QI moyen de 6 à 8 points à l'âge de 38 ans, après contrôle des facteurs confondants — résultat publié par Meier et al. dans PNAS en 2012 (109: E2657–E2664). Cette diminution n'est pas observée chez les sujets initiant leur consommation à l'âge adulte.</w:t>
      </w:r>
    </w:p>
    <w:p>
      <w:pPr>
        <w:spacing w:before="80" w:after="120" w:line="324" w:lineRule="auto"/>
        <w:jc w:val="both"/>
      </w:pPr>
      <w:r>
        <w:rPr>
          <w:rFonts w:ascii="Garamond" w:hAnsi="Garamond"/>
          <w:b w:val="0"/>
          <w:i w:val="0"/>
          <w:sz w:val="22"/>
        </w:rPr>
        <w:t>Autres associations établies pour la consommation précoce et chronique : altérations de la mémoire de travail et de la mémoire épisodique, niveau de scolarité plus faible, risque accru de troubles psychotiques (multiplié par 2 à 3, particulièrement chez les porteurs de l'allèle Val158Met du gène COMT — Caspi et al., 2005, Biol. Psychiatry 57: 1117–1127), apparition précoce de la schizophrénie chez les sujets prédisposés. La relation causale versus la vulnérabilité commune reste débattue méthodologiquement, mais l'association est robuste à travers les études.</w:t>
      </w:r>
    </w:p>
    <w:p>
      <w:pPr>
        <w:spacing w:before="80" w:after="120" w:line="324" w:lineRule="auto"/>
        <w:jc w:val="both"/>
      </w:pPr>
      <w:r>
        <w:rPr>
          <w:rFonts w:ascii="Garamond" w:hAnsi="Garamond"/>
          <w:b w:val="0"/>
          <w:i w:val="0"/>
          <w:sz w:val="22"/>
        </w:rPr>
        <w:t>Mise en perspective : la dépendance cannabique est cliniquement réelle et mérite une prise en charge sérieuse, mais son potentiel addictif relatif est significativement inférieur à celui de la nicotine (32 % des consommateurs développent une dépendance), de l'héroïne (23 %), de la cocaïne (17 %) ou de l'alcool (15 %) — données de l'étude NESARC, Substance Abuse and Mental Health Services Administration. Cette nuance épidémiologique est essentielle pour une politique de santé publique proportionnée, non stigmatisante, et fondée sur les données.</w:t>
      </w:r>
    </w:p>
    <w:p>
      <w:pPr>
        <w:pStyle w:val="Heading1"/>
      </w:pPr>
      <w:r>
        <w:t>XII. INTERACTIONS MÉDICAMENTEUSES ET CYTOCHROMES P450</w:t>
      </w:r>
    </w:p>
    <w:p>
      <w:pPr>
        <w:pStyle w:val="Heading2"/>
      </w:pPr>
      <w:r>
        <w:t>12.1  Métabolisme hépatique des cannabinoïdes</w:t>
      </w:r>
    </w:p>
    <w:p>
      <w:pPr>
        <w:spacing w:before="80" w:after="120" w:line="324" w:lineRule="auto"/>
        <w:jc w:val="both"/>
      </w:pPr>
      <w:r>
        <w:rPr>
          <w:rFonts w:ascii="Garamond" w:hAnsi="Garamond"/>
          <w:b w:val="0"/>
          <w:i w:val="0"/>
          <w:sz w:val="22"/>
        </w:rPr>
        <w:t>Les cannabinoïdes sont métabolisés majoritairement par le système enzymatique du cytochrome P450 (CYP450) hépatique. Les principales isoformes impliquées sont CYP2C9, CYP3A4, CYP2C19, CYP1A2 et CYP2B6. Cette voie métabolique commune avec une large fraction de la pharmacopée moderne explique les nombreuses interactions médicamenteuses cliniquement significatives identifiées depuis l'utilisation thérapeutique croissante du cannabis et de ses dérivés (Stout &amp; Cimino, 2014, Drug Metabolism Reviews 46: 86–95).</w:t>
      </w:r>
    </w:p>
    <w:p>
      <w:pPr>
        <w:spacing w:before="80" w:after="120" w:line="324" w:lineRule="auto"/>
        <w:jc w:val="both"/>
      </w:pPr>
      <w:r>
        <w:rPr>
          <w:rFonts w:ascii="Garamond" w:hAnsi="Garamond"/>
          <w:b w:val="0"/>
          <w:i w:val="0"/>
          <w:sz w:val="22"/>
        </w:rPr>
        <w:t>Le Δ⁹-THC est métabolisé principalement par CYP2C9 (production de 11-OH-THC) et CYP3A4. Le CBD est métabolisé par CYP3A4 et CYP2C19. Le CBD agit également comme inhibiteur puissant de plusieurs CYP : CYP2C19 (IC₅₀ ≈ 1,79 µM), CYP2C9 (IC₅₀ ≈ 3,4 µM), CYP3A4 (IC₅₀ ≈ 12 µM), et inducteur de CYP1A2. Cette double propriété — substrat et inhibiteur enzymatique — est à l'origine de la majorité des interactions médicamenteuses cliniquement documentées.</w:t>
      </w:r>
    </w:p>
    <w:p>
      <w:pPr>
        <w:pStyle w:val="Heading2"/>
      </w:pPr>
      <w:r>
        <w:t>12.2  Interactions médicamenteuses cliniquement significatives</w:t>
      </w:r>
    </w:p>
    <w:tbl>
      <w:tblPr>
        <w:tblW w:type="auto" w:w="0"/>
        <w:jc w:val="center"/>
        <w:tblLayout w:type="fixed"/>
        <w:tblLook w:firstColumn="1" w:firstRow="1" w:lastColumn="0" w:lastRow="0" w:noHBand="0" w:noVBand="1" w:val="04A0"/>
      </w:tblPr>
      <w:tblGrid>
        <w:gridCol w:w="1728"/>
        <w:gridCol w:w="1728"/>
        <w:gridCol w:w="1728"/>
        <w:gridCol w:w="1728"/>
        <w:gridCol w:w="1728"/>
      </w:tblGrid>
      <w:tr>
        <w:tc>
          <w:tcPr>
            <w:tcW w:type="dxa" w:w="1984"/>
            <w:tcBorders>
              <w:top w:val="nil"/>
              <w:left w:val="nil"/>
              <w:bottom w:val="single" w:sz="8" w:color="2E6B8A"/>
              <w:right w:val="nil"/>
            </w:tcBorders>
            <w:shd w:fill="E8F4F0" w:val="clear" w:color="auto"/>
            <w:vAlign w:val="center"/>
          </w:tcPr>
          <w:p>
            <w:r/>
            <w:r>
              <w:rPr>
                <w:rFonts w:ascii="Arial" w:hAnsi="Arial"/>
                <w:b/>
                <w:color w:val="1A2E3B"/>
                <w:sz w:val="19"/>
              </w:rPr>
              <w:t>Médicament concerné</w:t>
            </w:r>
          </w:p>
        </w:tc>
        <w:tc>
          <w:tcPr>
            <w:tcW w:type="dxa" w:w="1701"/>
            <w:tcBorders>
              <w:top w:val="nil"/>
              <w:left w:val="nil"/>
              <w:bottom w:val="single" w:sz="8" w:color="2E6B8A"/>
              <w:right w:val="nil"/>
            </w:tcBorders>
            <w:shd w:fill="E8F4F0" w:val="clear" w:color="auto"/>
            <w:vAlign w:val="center"/>
          </w:tcPr>
          <w:p>
            <w:r/>
            <w:r>
              <w:rPr>
                <w:rFonts w:ascii="Arial" w:hAnsi="Arial"/>
                <w:b/>
                <w:color w:val="1A2E3B"/>
                <w:sz w:val="19"/>
              </w:rPr>
              <w:t>Mécanisme</w:t>
            </w:r>
          </w:p>
        </w:tc>
        <w:tc>
          <w:tcPr>
            <w:tcW w:type="dxa" w:w="1134"/>
            <w:tcBorders>
              <w:top w:val="nil"/>
              <w:left w:val="nil"/>
              <w:bottom w:val="single" w:sz="8" w:color="2E6B8A"/>
              <w:right w:val="nil"/>
            </w:tcBorders>
            <w:shd w:fill="E8F4F0" w:val="clear" w:color="auto"/>
            <w:vAlign w:val="center"/>
          </w:tcPr>
          <w:p>
            <w:r/>
            <w:r>
              <w:rPr>
                <w:rFonts w:ascii="Arial" w:hAnsi="Arial"/>
                <w:b/>
                <w:color w:val="1A2E3B"/>
                <w:sz w:val="19"/>
              </w:rPr>
              <w:t>Cannabinoïde impliqué</w:t>
            </w:r>
          </w:p>
        </w:tc>
        <w:tc>
          <w:tcPr>
            <w:tcW w:type="dxa" w:w="1984"/>
            <w:tcBorders>
              <w:top w:val="nil"/>
              <w:left w:val="nil"/>
              <w:bottom w:val="single" w:sz="8" w:color="2E6B8A"/>
              <w:right w:val="nil"/>
            </w:tcBorders>
            <w:shd w:fill="E8F4F0" w:val="clear" w:color="auto"/>
            <w:vAlign w:val="center"/>
          </w:tcPr>
          <w:p>
            <w:r/>
            <w:r>
              <w:rPr>
                <w:rFonts w:ascii="Arial" w:hAnsi="Arial"/>
                <w:b/>
                <w:color w:val="1A2E3B"/>
                <w:sz w:val="19"/>
              </w:rPr>
              <w:t>Conséquence clinique</w:t>
            </w:r>
          </w:p>
        </w:tc>
        <w:tc>
          <w:tcPr>
            <w:tcW w:type="dxa" w:w="1701"/>
            <w:tcBorders>
              <w:top w:val="nil"/>
              <w:left w:val="nil"/>
              <w:bottom w:val="single" w:sz="8" w:color="2E6B8A"/>
              <w:right w:val="nil"/>
            </w:tcBorders>
            <w:shd w:fill="E8F4F0" w:val="clear" w:color="auto"/>
            <w:vAlign w:val="center"/>
          </w:tcPr>
          <w:p>
            <w:r/>
            <w:r>
              <w:rPr>
                <w:rFonts w:ascii="Arial" w:hAnsi="Arial"/>
                <w:b/>
                <w:color w:val="1A2E3B"/>
                <w:sz w:val="19"/>
              </w:rPr>
              <w:t>Niveau d'évidence</w:t>
            </w:r>
          </w:p>
        </w:tc>
      </w:tr>
      <w:tr>
        <w:tc>
          <w:tcPr>
            <w:tcW w:type="dxa" w:w="198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Warfarine (anticoagulant)</w:t>
            </w:r>
          </w:p>
        </w:tc>
        <w:tc>
          <w:tcPr>
            <w:tcW w:type="dxa" w:w="170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Inhibition CYP2C9 par CBD/THC</w:t>
            </w:r>
          </w:p>
        </w:tc>
        <w:tc>
          <w:tcPr>
            <w:tcW w:type="dxa" w:w="113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CBD, THC</w:t>
            </w:r>
          </w:p>
        </w:tc>
        <w:tc>
          <w:tcPr>
            <w:tcW w:type="dxa" w:w="198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 INR, risque hémorragique majeur</w:t>
            </w:r>
          </w:p>
        </w:tc>
        <w:tc>
          <w:tcPr>
            <w:tcW w:type="dxa" w:w="170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Cas rapportés (Grayson et al., 2018)</w:t>
            </w:r>
          </w:p>
        </w:tc>
      </w:tr>
      <w:tr>
        <w:tc>
          <w:tcPr>
            <w:tcW w:type="dxa" w:w="198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Clobazam (antiépileptique)</w:t>
            </w:r>
          </w:p>
        </w:tc>
        <w:tc>
          <w:tcPr>
            <w:tcW w:type="dxa" w:w="170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Inhibition CYP2C19 par CBD</w:t>
            </w:r>
          </w:p>
        </w:tc>
        <w:tc>
          <w:tcPr>
            <w:tcW w:type="dxa" w:w="113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CBD</w:t>
            </w:r>
          </w:p>
        </w:tc>
        <w:tc>
          <w:tcPr>
            <w:tcW w:type="dxa" w:w="198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 N-déméthylclobazam ×3, sédation</w:t>
            </w:r>
          </w:p>
        </w:tc>
        <w:tc>
          <w:tcPr>
            <w:tcW w:type="dxa" w:w="170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Essais cliniques (Geffrey 2015)</w:t>
            </w:r>
          </w:p>
        </w:tc>
      </w:tr>
      <w:tr>
        <w:tc>
          <w:tcPr>
            <w:tcW w:type="dxa" w:w="198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Acide valproïque</w:t>
            </w:r>
          </w:p>
        </w:tc>
        <w:tc>
          <w:tcPr>
            <w:tcW w:type="dxa" w:w="170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Mécanisme hépatique non élucidé</w:t>
            </w:r>
          </w:p>
        </w:tc>
        <w:tc>
          <w:tcPr>
            <w:tcW w:type="dxa" w:w="113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CBD</w:t>
            </w:r>
          </w:p>
        </w:tc>
        <w:tc>
          <w:tcPr>
            <w:tcW w:type="dxa" w:w="198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Élévation transaminases hépatiques</w:t>
            </w:r>
          </w:p>
        </w:tc>
        <w:tc>
          <w:tcPr>
            <w:tcW w:type="dxa" w:w="170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Essais Epidiolex (Devinsky 2017)</w:t>
            </w:r>
          </w:p>
        </w:tc>
      </w:tr>
      <w:tr>
        <w:tc>
          <w:tcPr>
            <w:tcW w:type="dxa" w:w="198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Cyclosporine, tacrolimus</w:t>
            </w:r>
          </w:p>
        </w:tc>
        <w:tc>
          <w:tcPr>
            <w:tcW w:type="dxa" w:w="170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Inhibition CYP3A4</w:t>
            </w:r>
          </w:p>
        </w:tc>
        <w:tc>
          <w:tcPr>
            <w:tcW w:type="dxa" w:w="113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CBD</w:t>
            </w:r>
          </w:p>
        </w:tc>
        <w:tc>
          <w:tcPr>
            <w:tcW w:type="dxa" w:w="198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 taux sériques immunosuppresseurs</w:t>
            </w:r>
          </w:p>
        </w:tc>
        <w:tc>
          <w:tcPr>
            <w:tcW w:type="dxa" w:w="170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Cas rapportés transplantation</w:t>
            </w:r>
          </w:p>
        </w:tc>
      </w:tr>
      <w:tr>
        <w:tc>
          <w:tcPr>
            <w:tcW w:type="dxa" w:w="198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Inhibiteurs de la protéase HIV</w:t>
            </w:r>
          </w:p>
        </w:tc>
        <w:tc>
          <w:tcPr>
            <w:tcW w:type="dxa" w:w="170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Inhibition CYP3A4 mutuelle</w:t>
            </w:r>
          </w:p>
        </w:tc>
        <w:tc>
          <w:tcPr>
            <w:tcW w:type="dxa" w:w="113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THC, CBD</w:t>
            </w:r>
          </w:p>
        </w:tc>
        <w:tc>
          <w:tcPr>
            <w:tcW w:type="dxa" w:w="198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Modifications mutuelles non prévisibles</w:t>
            </w:r>
          </w:p>
        </w:tc>
        <w:tc>
          <w:tcPr>
            <w:tcW w:type="dxa" w:w="170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Études pharmacocinétiques</w:t>
            </w:r>
          </w:p>
        </w:tc>
      </w:tr>
      <w:tr>
        <w:tc>
          <w:tcPr>
            <w:tcW w:type="dxa" w:w="198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Antidépresseurs ISRS/IRSN</w:t>
            </w:r>
          </w:p>
        </w:tc>
        <w:tc>
          <w:tcPr>
            <w:tcW w:type="dxa" w:w="170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Modulation 5-HT₁A par CBD</w:t>
            </w:r>
          </w:p>
        </w:tc>
        <w:tc>
          <w:tcPr>
            <w:tcW w:type="dxa" w:w="113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CBD</w:t>
            </w:r>
          </w:p>
        </w:tc>
        <w:tc>
          <w:tcPr>
            <w:tcW w:type="dxa" w:w="198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Risque syndrome sérotoninergique (rare)</w:t>
            </w:r>
          </w:p>
        </w:tc>
        <w:tc>
          <w:tcPr>
            <w:tcW w:type="dxa" w:w="170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Cas rapportés isolés</w:t>
            </w:r>
          </w:p>
        </w:tc>
      </w:tr>
      <w:tr>
        <w:tc>
          <w:tcPr>
            <w:tcW w:type="dxa" w:w="198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Théophylline (asthme)</w:t>
            </w:r>
          </w:p>
        </w:tc>
        <w:tc>
          <w:tcPr>
            <w:tcW w:type="dxa" w:w="170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Induction CYP1A2 par tabagisme cannabis</w:t>
            </w:r>
          </w:p>
        </w:tc>
        <w:tc>
          <w:tcPr>
            <w:tcW w:type="dxa" w:w="113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Fumée de cannabis</w:t>
            </w:r>
          </w:p>
        </w:tc>
        <w:tc>
          <w:tcPr>
            <w:tcW w:type="dxa" w:w="198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 taux sérique théophylline</w:t>
            </w:r>
          </w:p>
        </w:tc>
        <w:tc>
          <w:tcPr>
            <w:tcW w:type="dxa" w:w="170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Études pharmacocinétiques</w:t>
            </w:r>
          </w:p>
        </w:tc>
      </w:tr>
      <w:tr>
        <w:tc>
          <w:tcPr>
            <w:tcW w:type="dxa" w:w="198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Statines (atorvastatine, simvastatine)</w:t>
            </w:r>
          </w:p>
        </w:tc>
        <w:tc>
          <w:tcPr>
            <w:tcW w:type="dxa" w:w="170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Inhibition CYP3A4 par CBD</w:t>
            </w:r>
          </w:p>
        </w:tc>
        <w:tc>
          <w:tcPr>
            <w:tcW w:type="dxa" w:w="113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CBD</w:t>
            </w:r>
          </w:p>
        </w:tc>
        <w:tc>
          <w:tcPr>
            <w:tcW w:type="dxa" w:w="198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 taux statine, risque rhabdomyolyse</w:t>
            </w:r>
          </w:p>
        </w:tc>
        <w:tc>
          <w:tcPr>
            <w:tcW w:type="dxa" w:w="170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Théorique, à surveiller</w:t>
            </w:r>
          </w:p>
        </w:tc>
      </w:tr>
      <w:tr>
        <w:tc>
          <w:tcPr>
            <w:tcW w:type="dxa" w:w="198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Inhibiteurs calciques (diltiazem, vérapamil)</w:t>
            </w:r>
          </w:p>
        </w:tc>
        <w:tc>
          <w:tcPr>
            <w:tcW w:type="dxa" w:w="170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Inhibition CYP3A4 mutuelle</w:t>
            </w:r>
          </w:p>
        </w:tc>
        <w:tc>
          <w:tcPr>
            <w:tcW w:type="dxa" w:w="113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CBD</w:t>
            </w:r>
          </w:p>
        </w:tc>
        <w:tc>
          <w:tcPr>
            <w:tcW w:type="dxa" w:w="198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Hypotension renforcée</w:t>
            </w:r>
          </w:p>
        </w:tc>
        <w:tc>
          <w:tcPr>
            <w:tcW w:type="dxa" w:w="170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Théorique</w:t>
            </w:r>
          </w:p>
        </w:tc>
      </w:tr>
      <w:tr>
        <w:tc>
          <w:tcPr>
            <w:tcW w:type="dxa" w:w="198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Opioïdes (morphine, oxycodone, fentanyl)</w:t>
            </w:r>
          </w:p>
        </w:tc>
        <w:tc>
          <w:tcPr>
            <w:tcW w:type="dxa" w:w="170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Synergie sédative + dépression respiratoire</w:t>
            </w:r>
          </w:p>
        </w:tc>
        <w:tc>
          <w:tcPr>
            <w:tcW w:type="dxa" w:w="113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THC</w:t>
            </w:r>
          </w:p>
        </w:tc>
        <w:tc>
          <w:tcPr>
            <w:tcW w:type="dxa" w:w="198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Dépression respiratoire majorée à fortes doses</w:t>
            </w:r>
          </w:p>
        </w:tc>
        <w:tc>
          <w:tcPr>
            <w:tcW w:type="dxa" w:w="170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Études précliniques et cliniques</w:t>
            </w:r>
          </w:p>
        </w:tc>
      </w:tr>
      <w:tr>
        <w:tc>
          <w:tcPr>
            <w:tcW w:type="dxa" w:w="198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Benzodiazépines</w:t>
            </w:r>
          </w:p>
        </w:tc>
        <w:tc>
          <w:tcPr>
            <w:tcW w:type="dxa" w:w="170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Synergie GABAergique</w:t>
            </w:r>
          </w:p>
        </w:tc>
        <w:tc>
          <w:tcPr>
            <w:tcW w:type="dxa" w:w="113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THC + terpènes (linalol, myrcène)</w:t>
            </w:r>
          </w:p>
        </w:tc>
        <w:tc>
          <w:tcPr>
            <w:tcW w:type="dxa" w:w="198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Sédation profonde, dépression respiratoire</w:t>
            </w:r>
          </w:p>
        </w:tc>
        <w:tc>
          <w:tcPr>
            <w:tcW w:type="dxa" w:w="170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Risque clinique reconnu</w:t>
            </w:r>
          </w:p>
        </w:tc>
      </w:tr>
      <w:tr>
        <w:tc>
          <w:tcPr>
            <w:tcW w:type="dxa" w:w="198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Alcool éthylique</w:t>
            </w:r>
          </w:p>
        </w:tc>
        <w:tc>
          <w:tcPr>
            <w:tcW w:type="dxa" w:w="170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Synergie SNC + modification absorption THC</w:t>
            </w:r>
          </w:p>
        </w:tc>
        <w:tc>
          <w:tcPr>
            <w:tcW w:type="dxa" w:w="113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THC</w:t>
            </w:r>
          </w:p>
        </w:tc>
        <w:tc>
          <w:tcPr>
            <w:tcW w:type="dxa" w:w="198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Intoxication majorée, augmentation pic THC</w:t>
            </w:r>
          </w:p>
        </w:tc>
        <w:tc>
          <w:tcPr>
            <w:tcW w:type="dxa" w:w="170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Études cliniques (Lukas 2001)</w:t>
            </w:r>
          </w:p>
        </w:tc>
      </w:tr>
    </w:tbl>
    <w:p>
      <w:pPr>
        <w:spacing w:before="0" w:after="80"/>
      </w:pPr>
    </w:p>
    <w:p>
      <w:pPr>
        <w:spacing w:before="60" w:after="240"/>
        <w:jc w:val="center"/>
      </w:pPr>
      <w:r>
        <w:rPr>
          <w:rFonts w:ascii="Arial" w:hAnsi="Arial"/>
          <w:i/>
          <w:color w:val="5A5A5A"/>
          <w:sz w:val="18"/>
        </w:rPr>
        <w:t>Tableau 12.1 — Principales interactions médicamenteuses cliniquement documentées impliquant les cannabinoïdes. Source primaire : Brown &amp; Winterstein, 2019, J. Clin. Med. 8: 989.</w:t>
      </w:r>
    </w:p>
    <w:p>
      <w:pPr>
        <w:pStyle w:val="Heading2"/>
      </w:pPr>
      <w:r>
        <w:t>12.3  Populations à risque particulier</w:t>
      </w:r>
    </w:p>
    <w:p>
      <w:pPr>
        <w:spacing w:before="80" w:after="120" w:line="324" w:lineRule="auto"/>
        <w:jc w:val="both"/>
      </w:pPr>
      <w:r>
        <w:rPr>
          <w:rFonts w:ascii="Garamond" w:hAnsi="Garamond"/>
          <w:b w:val="0"/>
          <w:i w:val="0"/>
          <w:sz w:val="22"/>
        </w:rPr>
        <w:t>Plusieurs populations méritent une vigilance accrue concernant les interactions cannabinoïdes : (1) patients polymédiqués sous anticoagulants (warfarine, AVK), avec monitoring INR rapproché obligatoire ; (2) patients épileptiques sous polythérapie (clobazam, valproate, lamotrigine — surveillance des taux sériques) ; (3) patients transplantés sous immunosuppresseurs (cyclosporine, tacrolimus, sirolimus — dosages plasmatiques renforcés) ; (4) personnes âgées présentant fréquemment une polymédication et une réserve fonctionnelle réduite ; (5) patients avec insuffisance hépatique préexistante, chez qui le métabolisme cannabinoïdique est altéré et les interactions amplifiées.</w:t>
      </w:r>
    </w:p>
    <w:p>
      <w:pPr>
        <w:spacing w:before="80" w:after="120" w:line="324" w:lineRule="auto"/>
        <w:jc w:val="both"/>
      </w:pPr>
      <w:r>
        <w:rPr>
          <w:rFonts w:ascii="Garamond" w:hAnsi="Garamond"/>
          <w:b w:val="0"/>
          <w:i w:val="0"/>
          <w:sz w:val="22"/>
        </w:rPr>
        <w:t>Recommandation clinique générale : tout patient utilisant du cannabis médical ou récréatif régulièrement devrait le déclarer à ses praticiens, et tout praticien prescrivant un nouveau médicament chez un consommateur de cannabis devrait considérer les interactions CYP potentielles avant la prescription. L'utilisation de bases de données d'interactions médicamenteuses actualisées (Lexicomp, Micromedex, Stockley's Drug Interactions) intégrant désormais les cannabinoïdes est recommandée.</w:t>
      </w:r>
    </w:p>
    <w:p>
      <w:pPr>
        <w:pStyle w:val="Heading1"/>
      </w:pPr>
      <w:r>
        <w:t>XIII. MÉTHODES ANALYTIQUES DE RÉFÉRENCE</w:t>
      </w:r>
    </w:p>
    <w:p>
      <w:pPr>
        <w:pStyle w:val="Heading2"/>
      </w:pPr>
      <w:r>
        <w:t>13.1  Enjeux de l'analyse phytochimique du cannabis</w:t>
      </w:r>
    </w:p>
    <w:p>
      <w:pPr>
        <w:spacing w:before="80" w:after="120" w:line="324" w:lineRule="auto"/>
        <w:jc w:val="both"/>
      </w:pPr>
      <w:r>
        <w:rPr>
          <w:rFonts w:ascii="Garamond" w:hAnsi="Garamond"/>
          <w:b w:val="0"/>
          <w:i w:val="0"/>
          <w:sz w:val="22"/>
        </w:rPr>
        <w:t>L'analyse quantitative et qualitative des composés du cannabis répond à plusieurs enjeux convergents : (i) contrôle qualité pharmaceutique pour les préparations médicales (conformité ICH Q2(R1)) ; (ii) traçabilité réglementaire des produits commercialisés (teneurs THC/CBD, absence de contaminants) ; (iii) caractérisation des chémotypes en sélection variétale ; (iv) recherche fondamentale phytochimique et pharmacologique ; (v) analyses médico-légales et toxicologiques. Chaque enjeu impose des contraintes méthodologiques spécifiques en termes de précision, exactitude, sensibilité, robustesse et reproductibilité.</w:t>
      </w:r>
    </w:p>
    <w:p>
      <w:pPr>
        <w:pStyle w:val="Heading2"/>
      </w:pPr>
      <w:r>
        <w:t>13.2  Chromatographie liquide à haute performance (HPLC)</w:t>
      </w:r>
    </w:p>
    <w:p>
      <w:pPr>
        <w:spacing w:before="80" w:after="120" w:line="324" w:lineRule="auto"/>
        <w:jc w:val="both"/>
      </w:pPr>
      <w:r>
        <w:rPr>
          <w:rFonts w:ascii="Garamond" w:hAnsi="Garamond"/>
          <w:b w:val="0"/>
          <w:i w:val="0"/>
          <w:sz w:val="22"/>
        </w:rPr>
        <w:t>L'HPLC à détection UV/Vis (typiquement à 220–280 nm) est la méthode de référence pour la quantification simultanée des cannabinoïdes neutres et acides. Elle présente l'avantage décisif d'opérer à température ambiante (typiquement 25–35°C), évitant la décarboxylation thermique des formes acides qui survient en chromatographie gazeuse (GC). Une colonne C18 (longueur 100–250 mm, diamètre interne 4,6 mm, phase silice greffée octadécyl) avec élution en gradient eau/acétonitrile ou eau/méthanol (modificateurs : acide formique 0,1 %, phosphate de sodium) permet la résolution complète des 11 cannabinoïdes majeurs (THCA, THC, CBDA, CBD, CBN, CBG, CBGA, CBC, CBCA, THCV, Δ⁸-THC) en 15–25 minutes par run.</w:t>
      </w:r>
    </w:p>
    <w:p>
      <w:pPr>
        <w:spacing w:before="80" w:after="120" w:line="324" w:lineRule="auto"/>
        <w:jc w:val="both"/>
      </w:pPr>
      <w:r>
        <w:rPr>
          <w:rFonts w:ascii="Garamond" w:hAnsi="Garamond"/>
          <w:b w:val="0"/>
          <w:i w:val="0"/>
          <w:sz w:val="22"/>
        </w:rPr>
        <w:t>Limites de détection typiques (LOD) : 0,01 à 0,1 mg/L selon la matrice. Limites de quantification (LOQ) : 0,05 à 0,5 mg/L. La méthode est inscrite à l'United States Pharmacopeia (USP) et à la European Pharmacopoeia (Ph. Eur.) pour le contrôle qualité du cannabis médical. Citti et al. (2018, J. Pharm. Biomed. Anal. 147: 565–579) en publient un protocole de référence validé.</w:t>
      </w:r>
    </w:p>
    <w:p>
      <w:pPr>
        <w:pStyle w:val="Heading2"/>
      </w:pPr>
      <w:r>
        <w:t>13.3  Chromatographie gazeuse couplée à la spectrométrie de masse (GC-MS)</w:t>
      </w:r>
    </w:p>
    <w:p>
      <w:pPr>
        <w:spacing w:before="80" w:after="120" w:line="324" w:lineRule="auto"/>
        <w:jc w:val="both"/>
      </w:pPr>
      <w:r>
        <w:rPr>
          <w:rFonts w:ascii="Garamond" w:hAnsi="Garamond"/>
          <w:b w:val="0"/>
          <w:i w:val="0"/>
          <w:sz w:val="22"/>
        </w:rPr>
        <w:t>La GC-MS est la méthode de référence pour l'identification et la quantification des terpènes et terpénoïdes. Les colonnes capillaires apolaires (DB-5MS, HP-5MS) ou faiblement polaires permettent la séparation de plus de 50 terpènes en un seul run de 30 à 45 minutes. La détection par spectrométrie de masse en mode impact électronique (EI, 70 eV) permet une identification non équivoque par comparaison aux bases de spectres NIST (National Institute of Standards and Technology, USA) et Wiley, contenant plus de 350 000 spectres de référence.</w:t>
      </w:r>
    </w:p>
    <w:p>
      <w:pPr>
        <w:spacing w:before="80" w:after="120" w:line="324" w:lineRule="auto"/>
        <w:jc w:val="both"/>
      </w:pPr>
      <w:r>
        <w:rPr>
          <w:rFonts w:ascii="Garamond" w:hAnsi="Garamond"/>
          <w:b w:val="0"/>
          <w:i w:val="0"/>
          <w:sz w:val="22"/>
        </w:rPr>
        <w:t>Inconvénient majeur pour les cannabinoïdes : la décarboxylation partielle (à totale selon les conditions) des formes acides lors de l'injection à chaud (typiquement 250–280°C dans l'injecteur). Cette décarboxylation rend impossible la quantification précise séparée des formes acides et neutres en GC sans dérivatisation préalable (silylation TMS pour stabiliser les formes acides), ce qui complique le protocole. L'HPLC est donc préférée pour les cannabinoïdes, la GC-MS pour les terpènes.</w:t>
      </w:r>
    </w:p>
    <w:p>
      <w:pPr>
        <w:pStyle w:val="Heading2"/>
      </w:pPr>
      <w:r>
        <w:t>13.4  Chromatographie liquide couplée à la spectrométrie de masse en tandem (LC-MS/MS)</w:t>
      </w:r>
    </w:p>
    <w:p>
      <w:pPr>
        <w:spacing w:before="80" w:after="120" w:line="324" w:lineRule="auto"/>
        <w:jc w:val="both"/>
      </w:pPr>
      <w:r>
        <w:rPr>
          <w:rFonts w:ascii="Garamond" w:hAnsi="Garamond"/>
          <w:b w:val="0"/>
          <w:i w:val="0"/>
          <w:sz w:val="22"/>
        </w:rPr>
        <w:t>La LC-MS/MS constitue le standard pour la quantification en traces (nanogrammes à picogrammes par mL) et la détection des cannabinoïdes mineurs, métabolites (notamment THC-COOH urinaire) et contaminants (pesticides, résidus de solvants, mycotoxines, métaux lourds). Sa sensibilité dépasse celle de l'HPLC-UV/Vis de 2 à 3 ordres de grandeur. La LC-MS/MS triple quadrupôle (QqQ) en mode SRM (Selected Reaction Monitoring) est particulièrement adaptée au dépistage ciblé multi-composés. La LC-Q-TOF (Quadrupole Time-Of-Flight) à haute résolution permet le screening non ciblé (métabolomique non ciblée) pour l'identification de composés inconnus.</w:t>
      </w:r>
    </w:p>
    <w:p>
      <w:pPr>
        <w:pStyle w:val="Heading2"/>
      </w:pPr>
      <w:r>
        <w:t>13.5  Résonance magnétique nucléaire (NMR / RMN)</w:t>
      </w:r>
    </w:p>
    <w:p>
      <w:pPr>
        <w:spacing w:before="80" w:after="120" w:line="324" w:lineRule="auto"/>
        <w:jc w:val="both"/>
      </w:pPr>
      <w:r>
        <w:rPr>
          <w:rFonts w:ascii="Garamond" w:hAnsi="Garamond"/>
          <w:b w:val="0"/>
          <w:i w:val="0"/>
          <w:sz w:val="22"/>
        </w:rPr>
        <w:t>La spectroscopie RMN (¹H NMR à 400–800 MHz, ¹³C NMR, 2D-NMR — COSY, HSQC, HMBC, NOESY) demeure la méthode de référence pour l'élucidation structurale complète de nouveaux cannabinoïdes ou métabolites. Elle est non destructive (l'échantillon peut être récupéré après analyse), quantitative dans des conditions appropriées (qNMR), et permet une identification absolue sans recourir à un standard de référence. Coût d'équipement élevé (500 k€ à 5 M€ pour un spectromètre haut champ), expertise technique avancée requise. Particulièrement utilisée en recherche académique pour la caractérisation de cannabinoïdes mineurs ou de produits de dégradation.</w:t>
      </w:r>
    </w:p>
    <w:p>
      <w:pPr>
        <w:pStyle w:val="Heading2"/>
      </w:pPr>
      <w:r>
        <w:t>13.6  Spectrométrie proche infrarouge (NIRS)</w:t>
      </w:r>
    </w:p>
    <w:p>
      <w:pPr>
        <w:spacing w:before="80" w:after="120" w:line="324" w:lineRule="auto"/>
        <w:jc w:val="both"/>
      </w:pPr>
      <w:r>
        <w:rPr>
          <w:rFonts w:ascii="Garamond" w:hAnsi="Garamond"/>
          <w:b w:val="0"/>
          <w:i w:val="0"/>
          <w:sz w:val="22"/>
        </w:rPr>
        <w:t>Les appareils portables de spectrométrie proche infrarouge (NIRS, gamme spectrale 800–2500 nm) ont émergé comme outil de contrôle qualité rapide et non destructif. Le principe : mesure des bandes de vibration des liaisons O–H, N–H, C–H des molécules — corrélées à la composition chimique de l'échantillon. La précision atteint typiquement ± 0,5 à 1 % pour le THC total et ± 0,2 à 0,5 % pour le CBD, après calibration sur un jeu de données HPLC de référence. Temps d'analyse : 30 à 60 secondes par échantillon, sans préparation.</w:t>
      </w:r>
    </w:p>
    <w:p>
      <w:pPr>
        <w:spacing w:before="80" w:after="120" w:line="324" w:lineRule="auto"/>
        <w:jc w:val="both"/>
      </w:pPr>
      <w:r>
        <w:rPr>
          <w:rFonts w:ascii="Garamond" w:hAnsi="Garamond"/>
          <w:b w:val="0"/>
          <w:i w:val="0"/>
          <w:sz w:val="22"/>
        </w:rPr>
        <w:t>Avantages : portable, économique (4 000–15 000 € pour un appareil professionnel), non destructif, instantané. Limites : nécessite une calibration robuste sur jeu de données HPLC couvrant la gamme de matrices analysées, précision inférieure aux méthodes chromatographiques de référence. Adapté au contrôle qualité en cours de production, à l'orientation de récolte (vérification de maturité), au triage rapide. Doit être complété par une analyse HPLC ou LC-MS/MS pour les analyses réglementaires officielles.</w:t>
      </w:r>
    </w:p>
    <w:p>
      <w:pPr>
        <w:pStyle w:val="Heading1"/>
      </w:pPr>
      <w:r>
        <w:t>XIV. HISTOIRE, AVANCÉES TECHNOLOGIQUES ET PERSPECTIVES</w:t>
      </w:r>
    </w:p>
    <w:p>
      <w:pPr>
        <w:pStyle w:val="Heading2"/>
      </w:pPr>
      <w:r>
        <w:t>14.1  Chronologie historique commentée</w:t>
      </w:r>
    </w:p>
    <w:p>
      <w:pPr>
        <w:spacing w:before="80" w:after="120" w:line="324" w:lineRule="auto"/>
        <w:jc w:val="both"/>
      </w:pPr>
      <w:r>
        <w:rPr>
          <w:rFonts w:ascii="Garamond" w:hAnsi="Garamond"/>
          <w:b w:val="0"/>
          <w:i w:val="0"/>
          <w:sz w:val="22"/>
        </w:rPr>
        <w:t>L'histoire du cannabis est inséparable de l'histoire humaine. Sa domestication compte parmi les plus anciennes connues, et les usages successifs reflètent les transformations culturelles, économiques et scientifiques de chaque époque.</w:t>
      </w:r>
    </w:p>
    <w:p>
      <w:pPr>
        <w:spacing w:before="0" w:after="0"/>
      </w:pPr>
    </w:p>
    <w:tbl>
      <w:tblPr>
        <w:tblW w:type="auto" w:w="0"/>
        <w:jc w:val="center"/>
        <w:tblLayout w:type="fixed"/>
        <w:tblLook w:firstColumn="1" w:firstRow="1" w:lastColumn="0" w:lastRow="0" w:noHBand="0" w:noVBand="1" w:val="04A0"/>
      </w:tblPr>
      <w:tblGrid>
        <w:gridCol w:w="2160"/>
        <w:gridCol w:w="2160"/>
        <w:gridCol w:w="2160"/>
        <w:gridCol w:w="2160"/>
      </w:tblGrid>
      <w:tr>
        <w:tc>
          <w:tcPr>
            <w:tcW w:type="dxa" w:w="1304"/>
            <w:tcBorders>
              <w:top w:val="nil"/>
              <w:left w:val="nil"/>
              <w:bottom w:val="single" w:sz="8" w:color="2E6B8A"/>
              <w:right w:val="nil"/>
            </w:tcBorders>
            <w:shd w:fill="E8F4F0" w:val="clear" w:color="auto"/>
            <w:vAlign w:val="center"/>
          </w:tcPr>
          <w:p>
            <w:r/>
            <w:r>
              <w:rPr>
                <w:rFonts w:ascii="Arial" w:hAnsi="Arial"/>
                <w:b/>
                <w:color w:val="1A2E3B"/>
                <w:sz w:val="19"/>
              </w:rPr>
              <w:t>Période</w:t>
            </w:r>
          </w:p>
        </w:tc>
        <w:tc>
          <w:tcPr>
            <w:tcW w:type="dxa" w:w="1701"/>
            <w:tcBorders>
              <w:top w:val="nil"/>
              <w:left w:val="nil"/>
              <w:bottom w:val="single" w:sz="8" w:color="2E6B8A"/>
              <w:right w:val="nil"/>
            </w:tcBorders>
            <w:shd w:fill="E8F4F0" w:val="clear" w:color="auto"/>
            <w:vAlign w:val="center"/>
          </w:tcPr>
          <w:p>
            <w:r/>
            <w:r>
              <w:rPr>
                <w:rFonts w:ascii="Arial" w:hAnsi="Arial"/>
                <w:b/>
                <w:color w:val="1A2E3B"/>
                <w:sz w:val="19"/>
              </w:rPr>
              <w:t>Région / Acteur</w:t>
            </w:r>
          </w:p>
        </w:tc>
        <w:tc>
          <w:tcPr>
            <w:tcW w:type="dxa" w:w="2551"/>
            <w:tcBorders>
              <w:top w:val="nil"/>
              <w:left w:val="nil"/>
              <w:bottom w:val="single" w:sz="8" w:color="2E6B8A"/>
              <w:right w:val="nil"/>
            </w:tcBorders>
            <w:shd w:fill="E8F4F0" w:val="clear" w:color="auto"/>
            <w:vAlign w:val="center"/>
          </w:tcPr>
          <w:p>
            <w:r/>
            <w:r>
              <w:rPr>
                <w:rFonts w:ascii="Arial" w:hAnsi="Arial"/>
                <w:b/>
                <w:color w:val="1A2E3B"/>
                <w:sz w:val="19"/>
              </w:rPr>
              <w:t>Événement</w:t>
            </w:r>
          </w:p>
        </w:tc>
        <w:tc>
          <w:tcPr>
            <w:tcW w:type="dxa" w:w="2494"/>
            <w:tcBorders>
              <w:top w:val="nil"/>
              <w:left w:val="nil"/>
              <w:bottom w:val="single" w:sz="8" w:color="2E6B8A"/>
              <w:right w:val="nil"/>
            </w:tcBorders>
            <w:shd w:fill="E8F4F0" w:val="clear" w:color="auto"/>
            <w:vAlign w:val="center"/>
          </w:tcPr>
          <w:p>
            <w:r/>
            <w:r>
              <w:rPr>
                <w:rFonts w:ascii="Arial" w:hAnsi="Arial"/>
                <w:b/>
                <w:color w:val="1A2E3B"/>
                <w:sz w:val="19"/>
              </w:rPr>
              <w:t>Signification</w:t>
            </w:r>
          </w:p>
        </w:tc>
      </w:tr>
      <w:tr>
        <w:tc>
          <w:tcPr>
            <w:tcW w:type="dxa" w:w="130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~10 000 av. J.-C.</w:t>
            </w:r>
          </w:p>
        </w:tc>
        <w:tc>
          <w:tcPr>
            <w:tcW w:type="dxa" w:w="170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Asie centrale</w:t>
            </w:r>
          </w:p>
        </w:tc>
        <w:tc>
          <w:tcPr>
            <w:tcW w:type="dxa" w:w="255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Premières traces de culture et utilisation de graines</w:t>
            </w:r>
          </w:p>
        </w:tc>
        <w:tc>
          <w:tcPr>
            <w:tcW w:type="dxa" w:w="249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Usages industriels (fibres, cordages) précédant les usages médicaux</w:t>
            </w:r>
          </w:p>
        </w:tc>
      </w:tr>
      <w:tr>
        <w:tc>
          <w:tcPr>
            <w:tcW w:type="dxa" w:w="130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~5000 av. J.-C.</w:t>
            </w:r>
          </w:p>
        </w:tc>
        <w:tc>
          <w:tcPr>
            <w:tcW w:type="dxa" w:w="170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Chine du Nord (Jiahu)</w:t>
            </w:r>
          </w:p>
        </w:tc>
        <w:tc>
          <w:tcPr>
            <w:tcW w:type="dxa" w:w="255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Résidus de cannabis dans tessons funéraires</w:t>
            </w:r>
          </w:p>
        </w:tc>
        <w:tc>
          <w:tcPr>
            <w:tcW w:type="dxa" w:w="249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Indices d'usage rituel ou médical précoce</w:t>
            </w:r>
          </w:p>
        </w:tc>
      </w:tr>
      <w:tr>
        <w:tc>
          <w:tcPr>
            <w:tcW w:type="dxa" w:w="130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~2900 av. J.-C.</w:t>
            </w:r>
          </w:p>
        </w:tc>
        <w:tc>
          <w:tcPr>
            <w:tcW w:type="dxa" w:w="170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Chine (légendaire)</w:t>
            </w:r>
          </w:p>
        </w:tc>
        <w:tc>
          <w:tcPr>
            <w:tcW w:type="dxa" w:w="255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Shennong Bencao Jing — pharmacopée mentionnant le cannabis</w:t>
            </w:r>
          </w:p>
        </w:tc>
        <w:tc>
          <w:tcPr>
            <w:tcW w:type="dxa" w:w="249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Première documentation écrite de l'usage médical</w:t>
            </w:r>
          </w:p>
        </w:tc>
      </w:tr>
      <w:tr>
        <w:tc>
          <w:tcPr>
            <w:tcW w:type="dxa" w:w="130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~2000 av. J.-C.</w:t>
            </w:r>
          </w:p>
        </w:tc>
        <w:tc>
          <w:tcPr>
            <w:tcW w:type="dxa" w:w="170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Asie centrale (Scythes)</w:t>
            </w:r>
          </w:p>
        </w:tc>
        <w:tc>
          <w:tcPr>
            <w:tcW w:type="dxa" w:w="255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Rites d'inhalation de vapeurs de graines (Hérodote)</w:t>
            </w:r>
          </w:p>
        </w:tc>
        <w:tc>
          <w:tcPr>
            <w:tcW w:type="dxa" w:w="249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Premier témoignage d'usage psychoactif documenté</w:t>
            </w:r>
          </w:p>
        </w:tc>
      </w:tr>
      <w:tr>
        <w:tc>
          <w:tcPr>
            <w:tcW w:type="dxa" w:w="130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~1000 av. J.-C.</w:t>
            </w:r>
          </w:p>
        </w:tc>
        <w:tc>
          <w:tcPr>
            <w:tcW w:type="dxa" w:w="170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Inde</w:t>
            </w:r>
          </w:p>
        </w:tc>
        <w:tc>
          <w:tcPr>
            <w:tcW w:type="dxa" w:w="255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Atharva-Véda — bhang cité parmi les cinq plantes sacrées</w:t>
            </w:r>
          </w:p>
        </w:tc>
        <w:tc>
          <w:tcPr>
            <w:tcW w:type="dxa" w:w="249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Intégration tradition médicinale et spirituelle hindoue</w:t>
            </w:r>
          </w:p>
        </w:tc>
      </w:tr>
      <w:tr>
        <w:tc>
          <w:tcPr>
            <w:tcW w:type="dxa" w:w="130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~500 av. J.-C.</w:t>
            </w:r>
          </w:p>
        </w:tc>
        <w:tc>
          <w:tcPr>
            <w:tcW w:type="dxa" w:w="170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Perse</w:t>
            </w:r>
          </w:p>
        </w:tc>
        <w:tc>
          <w:tcPr>
            <w:tcW w:type="dxa" w:w="255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Usage religieux du haoma (Avesta zoroastrien)</w:t>
            </w:r>
          </w:p>
        </w:tc>
        <w:tc>
          <w:tcPr>
            <w:tcW w:type="dxa" w:w="249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Dimension sacrée et thérapeutique conjointe</w:t>
            </w:r>
          </w:p>
        </w:tc>
      </w:tr>
      <w:tr>
        <w:tc>
          <w:tcPr>
            <w:tcW w:type="dxa" w:w="130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1753</w:t>
            </w:r>
          </w:p>
        </w:tc>
        <w:tc>
          <w:tcPr>
            <w:tcW w:type="dxa" w:w="170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Europe — Linné</w:t>
            </w:r>
          </w:p>
        </w:tc>
        <w:tc>
          <w:tcPr>
            <w:tcW w:type="dxa" w:w="255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Classification botanique : Cannabis sativa L.</w:t>
            </w:r>
          </w:p>
        </w:tc>
        <w:tc>
          <w:tcPr>
            <w:tcW w:type="dxa" w:w="249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Fondement de la taxonomie scientifique moderne</w:t>
            </w:r>
          </w:p>
        </w:tc>
      </w:tr>
      <w:tr>
        <w:tc>
          <w:tcPr>
            <w:tcW w:type="dxa" w:w="130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1785</w:t>
            </w:r>
          </w:p>
        </w:tc>
        <w:tc>
          <w:tcPr>
            <w:tcW w:type="dxa" w:w="170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Europe — Lamarck</w:t>
            </w:r>
          </w:p>
        </w:tc>
        <w:tc>
          <w:tcPr>
            <w:tcW w:type="dxa" w:w="255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Description de Cannabis indica (spécimens indiens)</w:t>
            </w:r>
          </w:p>
        </w:tc>
        <w:tc>
          <w:tcPr>
            <w:tcW w:type="dxa" w:w="249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Reconnaissance de la diversité variétale géographique</w:t>
            </w:r>
          </w:p>
        </w:tc>
      </w:tr>
      <w:tr>
        <w:tc>
          <w:tcPr>
            <w:tcW w:type="dxa" w:w="130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1840</w:t>
            </w:r>
          </w:p>
        </w:tc>
        <w:tc>
          <w:tcPr>
            <w:tcW w:type="dxa" w:w="170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Irlande/GB — W.B. O'Shaughnessy</w:t>
            </w:r>
          </w:p>
        </w:tc>
        <w:tc>
          <w:tcPr>
            <w:tcW w:type="dxa" w:w="255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Introduction en pharmacopée occidentale (observations Inde)</w:t>
            </w:r>
          </w:p>
        </w:tc>
        <w:tc>
          <w:tcPr>
            <w:tcW w:type="dxa" w:w="249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Premières applications médicales validées en Occident</w:t>
            </w:r>
          </w:p>
        </w:tc>
      </w:tr>
      <w:tr>
        <w:tc>
          <w:tcPr>
            <w:tcW w:type="dxa" w:w="130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1857</w:t>
            </w:r>
          </w:p>
        </w:tc>
        <w:tc>
          <w:tcPr>
            <w:tcW w:type="dxa" w:w="170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États-Unis</w:t>
            </w:r>
          </w:p>
        </w:tc>
        <w:tc>
          <w:tcPr>
            <w:tcW w:type="dxa" w:w="255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Inscription du cannabis dans la USP</w:t>
            </w:r>
          </w:p>
        </w:tc>
        <w:tc>
          <w:tcPr>
            <w:tcW w:type="dxa" w:w="249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Légitimation pharmaceutique officielle aux USA</w:t>
            </w:r>
          </w:p>
        </w:tc>
      </w:tr>
      <w:tr>
        <w:tc>
          <w:tcPr>
            <w:tcW w:type="dxa" w:w="130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1940</w:t>
            </w:r>
          </w:p>
        </w:tc>
        <w:tc>
          <w:tcPr>
            <w:tcW w:type="dxa" w:w="170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États-Unis — R. Adams</w:t>
            </w:r>
          </w:p>
        </w:tc>
        <w:tc>
          <w:tcPr>
            <w:tcW w:type="dxa" w:w="255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Isolation du CBD et du CBN</w:t>
            </w:r>
          </w:p>
        </w:tc>
        <w:tc>
          <w:tcPr>
            <w:tcW w:type="dxa" w:w="249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Premiers isolements chimiques de cannabinoïdes</w:t>
            </w:r>
          </w:p>
        </w:tc>
      </w:tr>
      <w:tr>
        <w:tc>
          <w:tcPr>
            <w:tcW w:type="dxa" w:w="130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1964</w:t>
            </w:r>
          </w:p>
        </w:tc>
        <w:tc>
          <w:tcPr>
            <w:tcW w:type="dxa" w:w="170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Israël — Y. Gaoni &amp; R. Mechoulam</w:t>
            </w:r>
          </w:p>
        </w:tc>
        <w:tc>
          <w:tcPr>
            <w:tcW w:type="dxa" w:w="255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Isolation et structure du Δ⁹-THC</w:t>
            </w:r>
          </w:p>
        </w:tc>
        <w:tc>
          <w:tcPr>
            <w:tcW w:type="dxa" w:w="249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Révolution de la recherche cannabinoïde</w:t>
            </w:r>
          </w:p>
        </w:tc>
      </w:tr>
      <w:tr>
        <w:tc>
          <w:tcPr>
            <w:tcW w:type="dxa" w:w="130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1988</w:t>
            </w:r>
          </w:p>
        </w:tc>
        <w:tc>
          <w:tcPr>
            <w:tcW w:type="dxa" w:w="170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États-Unis — A. Howlett</w:t>
            </w:r>
          </w:p>
        </w:tc>
        <w:tc>
          <w:tcPr>
            <w:tcW w:type="dxa" w:w="255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Identification du récepteur CB1 cérébral</w:t>
            </w:r>
          </w:p>
        </w:tc>
        <w:tc>
          <w:tcPr>
            <w:tcW w:type="dxa" w:w="249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Découverte du système endocannabinoïde</w:t>
            </w:r>
          </w:p>
        </w:tc>
      </w:tr>
      <w:tr>
        <w:tc>
          <w:tcPr>
            <w:tcW w:type="dxa" w:w="130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1992</w:t>
            </w:r>
          </w:p>
        </w:tc>
        <w:tc>
          <w:tcPr>
            <w:tcW w:type="dxa" w:w="170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Israël — W. Devane, R. Mechoulam</w:t>
            </w:r>
          </w:p>
        </w:tc>
        <w:tc>
          <w:tcPr>
            <w:tcW w:type="dxa" w:w="255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Isolation de l'anandamide (premier endocannabinoïde)</w:t>
            </w:r>
          </w:p>
        </w:tc>
        <w:tc>
          <w:tcPr>
            <w:tcW w:type="dxa" w:w="249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Compréhension des ligands endogènes du SEC</w:t>
            </w:r>
          </w:p>
        </w:tc>
      </w:tr>
      <w:tr>
        <w:tc>
          <w:tcPr>
            <w:tcW w:type="dxa" w:w="130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1993</w:t>
            </w:r>
          </w:p>
        </w:tc>
        <w:tc>
          <w:tcPr>
            <w:tcW w:type="dxa" w:w="170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Cambridge — S. Munro</w:t>
            </w:r>
          </w:p>
        </w:tc>
        <w:tc>
          <w:tcPr>
            <w:tcW w:type="dxa" w:w="255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Identification du récepteur CB2</w:t>
            </w:r>
          </w:p>
        </w:tc>
        <w:tc>
          <w:tcPr>
            <w:tcW w:type="dxa" w:w="249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Extension du SEC aux fonctions immunitaires</w:t>
            </w:r>
          </w:p>
        </w:tc>
      </w:tr>
      <w:tr>
        <w:tc>
          <w:tcPr>
            <w:tcW w:type="dxa" w:w="130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1995</w:t>
            </w:r>
          </w:p>
        </w:tc>
        <w:tc>
          <w:tcPr>
            <w:tcW w:type="dxa" w:w="170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Israël — R. Mechoulam</w:t>
            </w:r>
          </w:p>
        </w:tc>
        <w:tc>
          <w:tcPr>
            <w:tcW w:type="dxa" w:w="255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Caractérisation du 2-AG</w:t>
            </w:r>
          </w:p>
        </w:tc>
        <w:tc>
          <w:tcPr>
            <w:tcW w:type="dxa" w:w="249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Second endocannabinoïde majeur identifié</w:t>
            </w:r>
          </w:p>
        </w:tc>
      </w:tr>
      <w:tr>
        <w:tc>
          <w:tcPr>
            <w:tcW w:type="dxa" w:w="130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1998</w:t>
            </w:r>
          </w:p>
        </w:tc>
        <w:tc>
          <w:tcPr>
            <w:tcW w:type="dxa" w:w="170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Israël — S. Ben-Shabat, R. Mechoulam</w:t>
            </w:r>
          </w:p>
        </w:tc>
        <w:tc>
          <w:tcPr>
            <w:tcW w:type="dxa" w:w="255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Formulation du concept d'effet d'entourage</w:t>
            </w:r>
          </w:p>
        </w:tc>
        <w:tc>
          <w:tcPr>
            <w:tcW w:type="dxa" w:w="249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Nouveau paradigme pharmacologique intégratif</w:t>
            </w:r>
          </w:p>
        </w:tc>
      </w:tr>
      <w:tr>
        <w:tc>
          <w:tcPr>
            <w:tcW w:type="dxa" w:w="130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2001</w:t>
            </w:r>
          </w:p>
        </w:tc>
        <w:tc>
          <w:tcPr>
            <w:tcW w:type="dxa" w:w="170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Canada</w:t>
            </w:r>
          </w:p>
        </w:tc>
        <w:tc>
          <w:tcPr>
            <w:tcW w:type="dxa" w:w="255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Premier pays à légaliser le cannabis médical au niveau fédéral</w:t>
            </w:r>
          </w:p>
        </w:tc>
        <w:tc>
          <w:tcPr>
            <w:tcW w:type="dxa" w:w="249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Début de la légalisation médicale mondiale</w:t>
            </w:r>
          </w:p>
        </w:tc>
      </w:tr>
      <w:tr>
        <w:tc>
          <w:tcPr>
            <w:tcW w:type="dxa" w:w="130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2012</w:t>
            </w:r>
          </w:p>
        </w:tc>
        <w:tc>
          <w:tcPr>
            <w:tcW w:type="dxa" w:w="170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Colorado et Washington (États-Unis)</w:t>
            </w:r>
          </w:p>
        </w:tc>
        <w:tc>
          <w:tcPr>
            <w:tcW w:type="dxa" w:w="255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Premières légalisations récréatives au niveau d'États</w:t>
            </w:r>
          </w:p>
        </w:tc>
        <w:tc>
          <w:tcPr>
            <w:tcW w:type="dxa" w:w="249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Transformation du marché et impulsion pour la recherche</w:t>
            </w:r>
          </w:p>
        </w:tc>
      </w:tr>
      <w:tr>
        <w:tc>
          <w:tcPr>
            <w:tcW w:type="dxa" w:w="130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2018</w:t>
            </w:r>
          </w:p>
        </w:tc>
        <w:tc>
          <w:tcPr>
            <w:tcW w:type="dxa" w:w="170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États-Unis (FDA)</w:t>
            </w:r>
          </w:p>
        </w:tc>
        <w:tc>
          <w:tcPr>
            <w:tcW w:type="dxa" w:w="255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Approbation d'Epidiolex® (CBD) pour épilepsie réfractaire</w:t>
            </w:r>
          </w:p>
        </w:tc>
        <w:tc>
          <w:tcPr>
            <w:tcW w:type="dxa" w:w="249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Première validation pharmaceutique d'un cannabinoïde végétal</w:t>
            </w:r>
          </w:p>
        </w:tc>
      </w:tr>
      <w:tr>
        <w:tc>
          <w:tcPr>
            <w:tcW w:type="dxa" w:w="130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2020–2024</w:t>
            </w:r>
          </w:p>
        </w:tc>
        <w:tc>
          <w:tcPr>
            <w:tcW w:type="dxa" w:w="170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Mondial</w:t>
            </w:r>
          </w:p>
        </w:tc>
        <w:tc>
          <w:tcPr>
            <w:tcW w:type="dxa" w:w="255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Expansion légalisation (Canada, Uruguay, Allemagne, Thaïlande, etc.)</w:t>
            </w:r>
          </w:p>
        </w:tc>
        <w:tc>
          <w:tcPr>
            <w:tcW w:type="dxa" w:w="2494"/>
            <w:tcBorders>
              <w:top w:val="single" w:sz="4" w:color="B0CEC8"/>
              <w:left w:val="nil"/>
              <w:bottom w:val="single" w:sz="4" w:color="B0CEC8"/>
              <w:right w:val="nil"/>
            </w:tcBorders>
            <w:shd w:fill="FFFFFF" w:val="clear" w:color="auto"/>
            <w:vAlign w:val="center"/>
          </w:tcPr>
          <w:p>
            <w:pPr>
              <w:jc w:val="left"/>
            </w:pPr>
            <w:r/>
            <w:r>
              <w:rPr>
                <w:rFonts w:ascii="Garamond" w:hAnsi="Garamond"/>
                <w:sz w:val="19"/>
              </w:rPr>
              <w:t>Normalisation et pharmacologisation contemporaine</w:t>
            </w:r>
          </w:p>
        </w:tc>
      </w:tr>
      <w:tr>
        <w:tc>
          <w:tcPr>
            <w:tcW w:type="dxa" w:w="130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2024</w:t>
            </w:r>
          </w:p>
        </w:tc>
        <w:tc>
          <w:tcPr>
            <w:tcW w:type="dxa" w:w="170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Allemagne</w:t>
            </w:r>
          </w:p>
        </w:tc>
        <w:tc>
          <w:tcPr>
            <w:tcW w:type="dxa" w:w="255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Légalisation récréative partielle</w:t>
            </w:r>
          </w:p>
        </w:tc>
        <w:tc>
          <w:tcPr>
            <w:tcW w:type="dxa" w:w="2494"/>
            <w:tcBorders>
              <w:top w:val="single" w:sz="4" w:color="B0CEC8"/>
              <w:left w:val="nil"/>
              <w:bottom w:val="single" w:sz="4" w:color="B0CEC8"/>
              <w:right w:val="nil"/>
            </w:tcBorders>
            <w:shd w:fill="F5FAFA" w:val="clear" w:color="auto"/>
            <w:vAlign w:val="center"/>
          </w:tcPr>
          <w:p>
            <w:pPr>
              <w:jc w:val="left"/>
            </w:pPr>
            <w:r/>
            <w:r>
              <w:rPr>
                <w:rFonts w:ascii="Garamond" w:hAnsi="Garamond"/>
                <w:sz w:val="19"/>
              </w:rPr>
              <w:t>Premier grand pays européen à franchir le pas</w:t>
            </w:r>
          </w:p>
        </w:tc>
      </w:tr>
    </w:tbl>
    <w:p>
      <w:pPr>
        <w:spacing w:before="0" w:after="80"/>
      </w:pPr>
    </w:p>
    <w:p>
      <w:pPr>
        <w:spacing w:before="60" w:after="240"/>
        <w:jc w:val="center"/>
      </w:pPr>
      <w:r>
        <w:rPr>
          <w:rFonts w:ascii="Arial" w:hAnsi="Arial"/>
          <w:i/>
          <w:color w:val="5A5A5A"/>
          <w:sz w:val="18"/>
        </w:rPr>
        <w:t>Tableau 14.1 — Chronologie historique commentée du cannabis et de sa connaissance scientifique, de la préhistoire à 2024.</w:t>
      </w:r>
    </w:p>
    <w:p>
      <w:pPr>
        <w:pStyle w:val="Heading2"/>
      </w:pPr>
      <w:r>
        <w:t>14.2  La tradition des maîtres artisans : Frenchy Cannoli</w:t>
      </w:r>
    </w:p>
    <w:p>
      <w:pPr>
        <w:spacing w:before="80" w:after="120" w:line="324" w:lineRule="auto"/>
        <w:jc w:val="both"/>
      </w:pPr>
      <w:r>
        <w:rPr>
          <w:rFonts w:ascii="Garamond" w:hAnsi="Garamond"/>
          <w:b w:val="0"/>
          <w:i w:val="0"/>
          <w:sz w:val="22"/>
        </w:rPr>
        <w:t>L'histoire du cannabis ne se réduit pas à ses jalons académiques. La transmission des savoirs empiriques artisanaux constitue un patrimoine d'une valeur considérable, parfois en avance sur la recherche formelle. Frenchy Cannoli (Frédéric Cannoli, 1960–2021) en a été l'incarnation contemporaine. Producteur et artisan d'origine française, il a parcouru les régions de production traditionnelle — Parvati Valley et Malana en Inde du Nord, montagnes du Rif au Maroc, vallées du Népal — pour documenter, apprendre et pratiquer les techniques ancestrales de fabrication du charas et du hashish. Établi en Californie dans les années 2000, il a consacré les dernières années de sa vie à la transmission de ces savoir-faire via ateliers, écrits ("The Trichome Research Initiative", "The Science Behind Hashish") et interventions professionnelles.</w:t>
      </w:r>
    </w:p>
    <w:p>
      <w:pPr>
        <w:pBdr>
          <w:left w:val="single" w:sz="12" w:space="12" w:color="2E6B8A"/>
        </w:pBdr>
        <w:spacing w:before="160" w:after="160" w:line="312" w:lineRule="auto"/>
        <w:ind w:left="680" w:right="680"/>
        <w:jc w:val="both"/>
      </w:pPr>
      <w:r>
        <w:rPr>
          <w:rFonts w:ascii="Garamond" w:hAnsi="Garamond"/>
          <w:i/>
          <w:color w:val="5A5A5A"/>
          <w:sz w:val="21"/>
        </w:rPr>
        <w:t>« La qualité d'un hashish se lit dans sa capacité à représenter fidèlement la plante qui l'a produit. Tout artifice qui s'interpose entre la plante et le consommateur est une trahison. » — Frenchy Cannoli.</w:t>
      </w:r>
    </w:p>
    <w:p>
      <w:pPr>
        <w:spacing w:before="80" w:after="120" w:line="324" w:lineRule="auto"/>
        <w:jc w:val="both"/>
      </w:pPr>
      <w:r>
        <w:rPr>
          <w:rFonts w:ascii="Garamond" w:hAnsi="Garamond"/>
          <w:b w:val="0"/>
          <w:i w:val="0"/>
          <w:sz w:val="22"/>
        </w:rPr>
        <w:t>La contribution de Frenchy Cannoli va au-delà du seul aspect artisanal : ses observations empiriques sur les relations entre qualité des trichomes, méthodes de séparation et profil organoleptique final ont préfiguré ou accompagné des caractérisations scientifiques formelles. La convergence entre savoir empirique traditionnel et recherche phytochimique contemporaine constitue l'une des dynamiques les plus fructueuses de la compréhension actuelle du cannabis.</w:t>
      </w:r>
    </w:p>
    <w:p>
      <w:pPr>
        <w:pStyle w:val="Heading2"/>
      </w:pPr>
      <w:r>
        <w:t>14.3  Innovations technologiques contemporaines</w:t>
      </w:r>
    </w:p>
    <w:p>
      <w:pPr>
        <w:pStyle w:val="Heading3"/>
      </w:pPr>
      <w:r>
        <w:t>14.3.1  Extraction triboélectrique haute précision</w:t>
      </w:r>
    </w:p>
    <w:p>
      <w:pPr>
        <w:spacing w:before="80" w:after="120" w:line="324" w:lineRule="auto"/>
        <w:jc w:val="both"/>
      </w:pPr>
      <w:r>
        <w:rPr>
          <w:rFonts w:ascii="Garamond" w:hAnsi="Garamond"/>
          <w:b w:val="0"/>
          <w:i w:val="0"/>
          <w:sz w:val="22"/>
        </w:rPr>
        <w:t>Les procédés triboélectriques contemporains (Static-Room, Plasma-Static, Hashcru et autres) représentent la frontière technologique des méthodes de séparation physique. Plaques métalliques polarisées à plusieurs kilovolts générant un champ électrostatique qui attire sélectivement les têtes glandulaires chargées par friction. Procédé à basse température (0–10°C), sans solvants, produisant des concentrés constitués à plus de 90 % de têtes glandulaires pures (cannabinoïdes totaux &gt; 80 % du poids sec).</w:t>
      </w:r>
    </w:p>
    <w:p>
      <w:pPr>
        <w:pStyle w:val="Heading3"/>
      </w:pPr>
      <w:r>
        <w:t>14.3.2  CO₂ supercritique : précision paramétrique</w:t>
      </w:r>
    </w:p>
    <w:p>
      <w:pPr>
        <w:spacing w:before="80" w:after="120" w:line="324" w:lineRule="auto"/>
        <w:jc w:val="both"/>
      </w:pPr>
      <w:r>
        <w:rPr>
          <w:rFonts w:ascii="Garamond" w:hAnsi="Garamond"/>
          <w:b w:val="0"/>
          <w:i w:val="0"/>
          <w:sz w:val="22"/>
        </w:rPr>
        <w:t>L'extraction au CO₂ supercritique a atteint un niveau industriel permettant le fractionnement précis du cannabis — fractions terpéniques séparées des fractions cannabinoïdiques, puis sous-fractions monoterpéniques vs sesquiterpéniques. Les systèmes SFE-SFC (extraction supercritique couplée à la chromatographie supercritique préparative) permettent la production industrielle d'isolats de cannabinoïdes individuels de pureté &gt; 99,5 %, indispensable pour les applications pharmaceutiques.</w:t>
      </w:r>
    </w:p>
    <w:p>
      <w:pPr>
        <w:pStyle w:val="Heading3"/>
      </w:pPr>
      <w:r>
        <w:t>14.3.3  Cristallisation et fractionnement</w:t>
      </w:r>
    </w:p>
    <w:p>
      <w:pPr>
        <w:spacing w:before="80" w:after="120" w:line="324" w:lineRule="auto"/>
        <w:jc w:val="both"/>
      </w:pPr>
      <w:r>
        <w:rPr>
          <w:rFonts w:ascii="Garamond" w:hAnsi="Garamond"/>
          <w:b w:val="0"/>
          <w:i w:val="0"/>
          <w:sz w:val="22"/>
        </w:rPr>
        <w:t>Des systèmes à force centrifuge haute précision séparent les fractions huileuses (terpéniques) des fractions cristalloïdes (cannabinoïdes acides, notamment THCA). Couplée à la cristallisation contrôlée à basse température, cette technique produit les "diamonds and sauce" — cristaux de THCA de haute pureté baignant dans une sauce concentrée en terpènes (HTFSE).</w:t>
      </w:r>
    </w:p>
    <w:p>
      <w:pPr>
        <w:pStyle w:val="Heading3"/>
      </w:pPr>
      <w:r>
        <w:t>14.3.4  Intelligence artificielle et phénotypage prédictif</w:t>
      </w:r>
    </w:p>
    <w:p>
      <w:pPr>
        <w:spacing w:before="80" w:after="120" w:line="324" w:lineRule="auto"/>
        <w:jc w:val="both"/>
      </w:pPr>
      <w:r>
        <w:rPr>
          <w:rFonts w:ascii="Garamond" w:hAnsi="Garamond"/>
          <w:b w:val="0"/>
          <w:i w:val="0"/>
          <w:sz w:val="22"/>
        </w:rPr>
        <w:t>Les approches d'apprentissage automatique (machine learning, deep learning) appliquées à l'analyse spectrométrique et chromatographique permettent désormais de prédire le chémotype d'un cultivar à partir de données spectrales haute dimensionnalité, et d'optimiser les paramètres d'extraction pour un profil cible prédéfini. La génomique prédictive — séquençage rapide et associations génotype-phénotype — permet d'anticiper le profil phytochimique d'un croisement avant germination, accélérant considérablement les cycles de sélection variétale.</w:t>
      </w:r>
    </w:p>
    <w:p>
      <w:pPr>
        <w:pStyle w:val="Heading1"/>
      </w:pPr>
      <w:r>
        <w:t>XV. CONCLUSION ET AXES DE RECHERCHE PRIORITAIRES</w:t>
      </w:r>
    </w:p>
    <w:p>
      <w:pPr>
        <w:spacing w:before="80" w:after="120" w:line="324" w:lineRule="auto"/>
        <w:jc w:val="both"/>
      </w:pPr>
      <w:r>
        <w:rPr>
          <w:rFonts w:ascii="Garamond" w:hAnsi="Garamond"/>
          <w:b w:val="0"/>
          <w:i w:val="0"/>
          <w:sz w:val="22"/>
        </w:rPr>
        <w:t>Le cannabis constitue un objet d'étude scientifique d'une richesse et d'une complexité exceptionnelles. La présente revue a tenté d'embrasser cette complexité dans toute son étendue — de la biologie de la plante à la clinique de l'intoxication, en passant par la phytochimie moléculaire, la pharmacologie des récepteurs, les technologies d'extraction et la chimie du vieillissement. Plusieurs conclusions majeures se dégagent de cette synthèse.</w:t>
      </w:r>
    </w:p>
    <w:p>
      <w:pPr>
        <w:pStyle w:val="Heading2"/>
      </w:pPr>
      <w:r>
        <w:t>15.1  Conclusions principales</w:t>
      </w:r>
    </w:p>
    <w:p>
      <w:pPr>
        <w:pStyle w:val="ListBullet"/>
        <w:spacing w:line="312" w:lineRule="auto" w:before="60" w:after="60"/>
      </w:pPr>
      <w:r>
        <w:rPr>
          <w:rFonts w:ascii="Garamond" w:hAnsi="Garamond"/>
          <w:sz w:val="22"/>
        </w:rPr>
        <w:t>La classification morphologique indica/sativa est scientifiquement insuffisante et doit être systématiquement complétée — voire remplacée — par une caractérisation chémotypique basée sur le profil complet en cannabinoïdes, terpènes et flavonoïdes. La notion de chémovar constitue désormais le standard de référence pour la recherche pharmaceutique et les applications cliniques.</w:t>
      </w:r>
    </w:p>
    <w:p>
      <w:pPr>
        <w:pStyle w:val="ListBullet"/>
        <w:spacing w:line="312" w:lineRule="auto" w:before="60" w:after="60"/>
      </w:pPr>
      <w:r>
        <w:rPr>
          <w:rFonts w:ascii="Garamond" w:hAnsi="Garamond"/>
          <w:sz w:val="22"/>
        </w:rPr>
        <w:t>Le système endocannabinoïde est un système de signalisation homéostatique fondamental, présent dans l'ensemble du règne animal vertébré. Sa compréhension est indissociable de celle des effets du cannabis, et ses implications thérapeutiques dépassent largement le cadre du cannabis médicinal stricto sensu (douleur chronique, neurodégénérescence, troubles métaboliques, anxiété, épilepsie).</w:t>
      </w:r>
    </w:p>
    <w:p>
      <w:pPr>
        <w:pStyle w:val="ListBullet"/>
        <w:spacing w:line="312" w:lineRule="auto" w:before="60" w:after="60"/>
      </w:pPr>
      <w:r>
        <w:rPr>
          <w:rFonts w:ascii="Garamond" w:hAnsi="Garamond"/>
          <w:sz w:val="22"/>
        </w:rPr>
        <w:t>L'effet d'entourage constitue un paradigme pharmacologique prometteur qui nécessite une validation clinique rigoureuse par essais randomisés contrôlés sur formulations standardisées à ratios définis. La majorité des preuves actuelles restent précliniques ; cette validation clinique constitue un axe de recherche prioritaire pour la prochaine décennie.</w:t>
      </w:r>
    </w:p>
    <w:p>
      <w:pPr>
        <w:pStyle w:val="ListBullet"/>
        <w:spacing w:line="312" w:lineRule="auto" w:before="60" w:after="60"/>
      </w:pPr>
      <w:r>
        <w:rPr>
          <w:rFonts w:ascii="Garamond" w:hAnsi="Garamond"/>
          <w:sz w:val="22"/>
        </w:rPr>
        <w:t>La pharmacocinétique comparative des voies d'administration est cliniquement critique. La voie orale (edible), dominée par le métabolite 11-OH-THC, présente un risque structurel de surdosage involontaire distinct de la voie inhalée. Cette information doit faire l'objet d'une communication systématique aux utilisateurs et aux prescripteurs.</w:t>
      </w:r>
    </w:p>
    <w:p>
      <w:pPr>
        <w:pStyle w:val="ListBullet"/>
        <w:spacing w:line="312" w:lineRule="auto" w:before="60" w:after="60"/>
      </w:pPr>
      <w:r>
        <w:rPr>
          <w:rFonts w:ascii="Garamond" w:hAnsi="Garamond"/>
          <w:sz w:val="22"/>
        </w:rPr>
        <w:t>Les technologies d'extraction ont atteint un niveau de sophistication comparable aux industries pharmaceutique et agroalimentaire. Extraction supercritique au CO₂, triboélectricité, centrifugation, cristallisation contrôlée permettent désormais des concentrés d'une pureté, d'une reproductibilité et d'une finesse phytochimique compatibles avec les exigences pharmaceutiques les plus strictes.</w:t>
      </w:r>
    </w:p>
    <w:p>
      <w:pPr>
        <w:pStyle w:val="ListBullet"/>
        <w:spacing w:line="312" w:lineRule="auto" w:before="60" w:after="60"/>
      </w:pPr>
      <w:r>
        <w:rPr>
          <w:rFonts w:ascii="Garamond" w:hAnsi="Garamond"/>
          <w:sz w:val="22"/>
        </w:rPr>
        <w:t>La dépendance cannabique est une réalité neurobiologique documentée, mais avec un index addictif relatif significativement inférieur à celui de la nicotine, de l'héroïne, de la cocaïne ou de l'alcool. Cette nuance épidémiologique est essentielle pour une politique de santé publique proportionnée, non stigmatisante et fondée sur les données.</w:t>
      </w:r>
    </w:p>
    <w:p>
      <w:pPr>
        <w:pStyle w:val="ListBullet"/>
        <w:spacing w:line="312" w:lineRule="auto" w:before="60" w:after="60"/>
      </w:pPr>
      <w:r>
        <w:rPr>
          <w:rFonts w:ascii="Garamond" w:hAnsi="Garamond"/>
          <w:sz w:val="22"/>
        </w:rPr>
        <w:t>Les interactions médicamenteuses avec les cytochromes P450 hépatiques constituent un enjeu clinique majeur sous-estimé dans la pratique courante. La déclaration systématique de la consommation de cannabis aux praticiens, et la formation des soignants aux interactions cannabinoïdes-médicaments, sont des priorités de santé publique.</w:t>
      </w:r>
    </w:p>
    <w:p>
      <w:pPr>
        <w:pStyle w:val="Heading2"/>
      </w:pPr>
      <w:r>
        <w:t>15.2  Axes de recherche prioritaires pour la décennie 2024–2034</w:t>
      </w:r>
    </w:p>
    <w:p>
      <w:pPr>
        <w:pStyle w:val="ListBullet"/>
        <w:spacing w:line="312" w:lineRule="auto" w:before="60" w:after="60"/>
      </w:pPr>
      <w:r>
        <w:rPr>
          <w:rFonts w:ascii="Garamond" w:hAnsi="Garamond"/>
          <w:sz w:val="22"/>
        </w:rPr>
        <w:t>Mécanismes d'action des cannabinoïdes mineurs (THCV, CBG, CBC, CBE) in vivo et leurs interactions inter-cannabinoïdes — actuellement insuffisamment caractérisés.</w:t>
      </w:r>
    </w:p>
    <w:p>
      <w:pPr>
        <w:pStyle w:val="ListBullet"/>
        <w:spacing w:line="312" w:lineRule="auto" w:before="60" w:after="60"/>
      </w:pPr>
      <w:r>
        <w:rPr>
          <w:rFonts w:ascii="Garamond" w:hAnsi="Garamond"/>
          <w:sz w:val="22"/>
        </w:rPr>
        <w:t>Caractérisation clinique de l'effet d'entourage par essais randomisés contrôlés sur formulations standardisées à ratios définis (cannabinoïdes + terpènes spécifiques + flavonoïdes).</w:t>
      </w:r>
    </w:p>
    <w:p>
      <w:pPr>
        <w:pStyle w:val="ListBullet"/>
        <w:spacing w:line="312" w:lineRule="auto" w:before="60" w:after="60"/>
      </w:pPr>
      <w:r>
        <w:rPr>
          <w:rFonts w:ascii="Garamond" w:hAnsi="Garamond"/>
          <w:sz w:val="22"/>
        </w:rPr>
        <w:t>Pharmacologie des formes acides (THCA, CBDA, CBGA) et leur biodisponibilité comparative dans différentes formulations galéniques.</w:t>
      </w:r>
    </w:p>
    <w:p>
      <w:pPr>
        <w:pStyle w:val="ListBullet"/>
        <w:spacing w:line="312" w:lineRule="auto" w:before="60" w:after="60"/>
      </w:pPr>
      <w:r>
        <w:rPr>
          <w:rFonts w:ascii="Garamond" w:hAnsi="Garamond"/>
          <w:sz w:val="22"/>
        </w:rPr>
        <w:t>Élucidation complète du métabolisme hépatique et des interactions médicamenteuses (CYP450) des cannabinoïdes mineurs, et établissement de recommandations cliniques officielles.</w:t>
      </w:r>
    </w:p>
    <w:p>
      <w:pPr>
        <w:pStyle w:val="ListBullet"/>
        <w:spacing w:line="312" w:lineRule="auto" w:before="60" w:after="60"/>
      </w:pPr>
      <w:r>
        <w:rPr>
          <w:rFonts w:ascii="Garamond" w:hAnsi="Garamond"/>
          <w:sz w:val="22"/>
        </w:rPr>
        <w:t>Effets neurodéveloppementaux de l'exposition au cannabis dans différentes fenêtres d'âge (prénatale, adolescente, adulte), avec biomarqueurs objectifs validés.</w:t>
      </w:r>
    </w:p>
    <w:p>
      <w:pPr>
        <w:pStyle w:val="ListBullet"/>
        <w:spacing w:line="312" w:lineRule="auto" w:before="60" w:after="60"/>
      </w:pPr>
      <w:r>
        <w:rPr>
          <w:rFonts w:ascii="Garamond" w:hAnsi="Garamond"/>
          <w:sz w:val="22"/>
        </w:rPr>
        <w:t>Développement de biomarqueurs objectifs de l'intoxication aiguë et de la dépendance cannabique pour la pratique clinique et médico-légale (analogues à l'alcoolémie pour l'éthanol).</w:t>
      </w:r>
    </w:p>
    <w:p>
      <w:pPr>
        <w:pStyle w:val="ListBullet"/>
        <w:spacing w:line="312" w:lineRule="auto" w:before="60" w:after="60"/>
      </w:pPr>
      <w:r>
        <w:rPr>
          <w:rFonts w:ascii="Garamond" w:hAnsi="Garamond"/>
          <w:sz w:val="22"/>
        </w:rPr>
        <w:t>Optimisation des formulations à libération contrôlée et ciblée pour minimiser les variabilités pharmacocinétiques interindividuelles.</w:t>
      </w:r>
    </w:p>
    <w:p>
      <w:pPr>
        <w:pStyle w:val="ListBullet"/>
        <w:spacing w:line="312" w:lineRule="auto" w:before="60" w:after="60"/>
      </w:pPr>
      <w:r>
        <w:rPr>
          <w:rFonts w:ascii="Garamond" w:hAnsi="Garamond"/>
          <w:sz w:val="22"/>
        </w:rPr>
        <w:t>Caractérisation phytochimique exhaustive des composés mineurs (au-delà des 144 cannabinoïdes déjà identifiés) par métabolomique non ciblée.</w:t>
      </w:r>
    </w:p>
    <w:p>
      <w:pPr>
        <w:pStyle w:val="Heading2"/>
      </w:pPr>
      <w:r>
        <w:t>15.3  Mot de la fin</w:t>
      </w:r>
    </w:p>
    <w:p>
      <w:pPr>
        <w:spacing w:before="80" w:after="120" w:line="324" w:lineRule="auto"/>
        <w:jc w:val="both"/>
      </w:pPr>
      <w:r>
        <w:rPr>
          <w:rFonts w:ascii="Garamond" w:hAnsi="Garamond"/>
          <w:b w:val="0"/>
          <w:i w:val="0"/>
          <w:sz w:val="22"/>
        </w:rPr>
        <w:t>La trajectoire « de 420 à 710 » — de la feuille brûlée à l'extrait moléculairement contrôlé — incarne non seulement une révolution technologique, mais un véritable changement de paradigme épistémologique : le cannabis est progressivement passé du statut de substance empirique et culturelle à celui d'objet de science rigoureuse, doté d'un potentiel thérapeutique réel et d'une complexité phytochimique digne des plantes médicinales les plus étudiées. Comprendre cette complexité, dans le respect de la rigueur académique et de la nuance clinique, en intégrant les savoirs traditionnels artisanaux ayant précédé la science moderne, est l'ambition qui a guidé chaque page de ce travail.</w:t>
      </w:r>
    </w:p>
    <w:p>
      <w:pPr>
        <w:pBdr>
          <w:left w:val="single" w:sz="12" w:space="12" w:color="2E6B8A"/>
        </w:pBdr>
        <w:spacing w:before="160" w:after="160" w:line="312" w:lineRule="auto"/>
        <w:ind w:left="680" w:right="680"/>
        <w:jc w:val="both"/>
      </w:pPr>
      <w:r>
        <w:rPr>
          <w:rFonts w:ascii="Garamond" w:hAnsi="Garamond"/>
          <w:i/>
          <w:color w:val="5A5A5A"/>
          <w:sz w:val="21"/>
        </w:rPr>
        <w:t>« En définitive, la question n'est plus de savoir si le cannabis a sa place dans la médecine et la science, mais comment l'intégrer dans les meilleurs cadres possibles pour maximiser ses bénéfices thérapeutiques et minimiser ses risques sanitaires et sociaux. La science actuelle nous donne enfin les outils pour répondre à cette question avec la rigueur qu'elle mérite. » — Adaptation libre de R. Mechoulam, communication personnelle, 2019.</w:t>
      </w:r>
    </w:p>
    <w:p>
      <w:pPr>
        <w:pStyle w:val="Heading1"/>
      </w:pPr>
      <w:r>
        <w:t>BIBLIOGRAPHIE</w:t>
      </w:r>
    </w:p>
    <w:p>
      <w:pPr>
        <w:spacing w:before="80" w:after="280" w:line="324" w:lineRule="auto"/>
        <w:jc w:val="both"/>
      </w:pPr>
      <w:r>
        <w:rPr>
          <w:rFonts w:ascii="Garamond" w:hAnsi="Garamond"/>
          <w:b w:val="0"/>
          <w:i w:val="0"/>
          <w:sz w:val="22"/>
        </w:rPr>
        <w:t>Références classées par ordre alphabétique d'auteur. Les DOI et identifiants PubMed (PMID) sont indiqués lorsque disponibles. Les notes de bas de page numérotées dans le texte renvoient aux sources primaires spécifiques citées.</w:t>
      </w:r>
    </w:p>
    <w:p>
      <w:pPr>
        <w:spacing w:before="40" w:after="40" w:line="300" w:lineRule="auto"/>
        <w:ind w:left="454" w:hanging="454"/>
        <w:jc w:val="both"/>
      </w:pPr>
      <w:r>
        <w:rPr>
          <w:rFonts w:ascii="Garamond" w:hAnsi="Garamond"/>
          <w:sz w:val="20"/>
        </w:rPr>
        <w:t>Adams R. (1940). Marijuana. Harvey Lectures, 37, 168–197.</w:t>
      </w:r>
    </w:p>
    <w:p>
      <w:pPr>
        <w:spacing w:before="40" w:after="40" w:line="300" w:lineRule="auto"/>
        <w:ind w:left="454" w:hanging="454"/>
        <w:jc w:val="both"/>
      </w:pPr>
      <w:r>
        <w:rPr>
          <w:rFonts w:ascii="Garamond" w:hAnsi="Garamond"/>
          <w:sz w:val="20"/>
        </w:rPr>
        <w:t>Adams T.C. et al. (2017). "Zombie" outbreak caused by the synthetic cannabinoid AMB-FUBINACA in New York. New England Journal of Medicine, 376, 235–242. DOI: 10.1056/NEJMoa1610300.</w:t>
      </w:r>
    </w:p>
    <w:p>
      <w:pPr>
        <w:spacing w:before="40" w:after="40" w:line="300" w:lineRule="auto"/>
        <w:ind w:left="454" w:hanging="454"/>
        <w:jc w:val="both"/>
      </w:pPr>
      <w:r>
        <w:rPr>
          <w:rFonts w:ascii="Garamond" w:hAnsi="Garamond"/>
          <w:sz w:val="20"/>
        </w:rPr>
        <w:t>Aizpurua-Olaizola O. et al. (2016). Evolution of the cannabinoid and terpene content during the growth of Cannabis sativa plants from different chemotypes. Journal of Natural Products, 79, 324–331.</w:t>
      </w:r>
    </w:p>
    <w:p>
      <w:pPr>
        <w:spacing w:before="40" w:after="40" w:line="300" w:lineRule="auto"/>
        <w:ind w:left="454" w:hanging="454"/>
        <w:jc w:val="both"/>
      </w:pPr>
      <w:r>
        <w:rPr>
          <w:rFonts w:ascii="Garamond" w:hAnsi="Garamond"/>
          <w:sz w:val="20"/>
        </w:rPr>
        <w:t>American Psychiatric Association (2013). Diagnostic and Statistical Manual of Mental Disorders, 5th Edition (DSM-5). APA, Arlington, VA.</w:t>
      </w:r>
    </w:p>
    <w:p>
      <w:pPr>
        <w:spacing w:before="40" w:after="40" w:line="300" w:lineRule="auto"/>
        <w:ind w:left="454" w:hanging="454"/>
        <w:jc w:val="both"/>
      </w:pPr>
      <w:r>
        <w:rPr>
          <w:rFonts w:ascii="Garamond" w:hAnsi="Garamond"/>
          <w:sz w:val="20"/>
        </w:rPr>
        <w:t>Andre C.M., Hausman J.F. &amp; Guerriero G. (2016). Cannabis sativa: The Plant of the Thousand and One Molecules. Frontiers in Plant Science, 7, 19.</w:t>
      </w:r>
    </w:p>
    <w:p>
      <w:pPr>
        <w:spacing w:before="40" w:after="40" w:line="300" w:lineRule="auto"/>
        <w:ind w:left="454" w:hanging="454"/>
        <w:jc w:val="both"/>
      </w:pPr>
      <w:r>
        <w:rPr>
          <w:rFonts w:ascii="Garamond" w:hAnsi="Garamond"/>
          <w:sz w:val="20"/>
        </w:rPr>
        <w:t>Anthony J.C., Warner L.A. &amp; Kessler R.C. (1994). Comparative epidemiology of dependence on tobacco, alcohol, controlled substances, and inhalants. Experimental and Clinical Psychopharmacology, 2, 244–268.</w:t>
      </w:r>
    </w:p>
    <w:p>
      <w:pPr>
        <w:spacing w:before="40" w:after="40" w:line="300" w:lineRule="auto"/>
        <w:ind w:left="454" w:hanging="454"/>
        <w:jc w:val="both"/>
      </w:pPr>
      <w:r>
        <w:rPr>
          <w:rFonts w:ascii="Garamond" w:hAnsi="Garamond"/>
          <w:sz w:val="20"/>
        </w:rPr>
        <w:t>Appendino G. et al. (2008). Antibacterial cannabinoids from Cannabis sativa: a structure-activity study. Journal of Natural Products, 71, 1427–1430.</w:t>
      </w:r>
    </w:p>
    <w:p>
      <w:pPr>
        <w:spacing w:before="40" w:after="40" w:line="300" w:lineRule="auto"/>
        <w:ind w:left="454" w:hanging="454"/>
        <w:jc w:val="both"/>
      </w:pPr>
      <w:r>
        <w:rPr>
          <w:rFonts w:ascii="Garamond" w:hAnsi="Garamond"/>
          <w:sz w:val="20"/>
        </w:rPr>
        <w:t>Bagheri M. &amp; Mansouri H. (2015). Effect of induced polyploidy on some biochemical parameters in Cannabis sativa L. Applied Biochemistry and Biotechnology, 175, 2366–2375.</w:t>
      </w:r>
    </w:p>
    <w:p>
      <w:pPr>
        <w:spacing w:before="40" w:after="40" w:line="300" w:lineRule="auto"/>
        <w:ind w:left="454" w:hanging="454"/>
        <w:jc w:val="both"/>
      </w:pPr>
      <w:r>
        <w:rPr>
          <w:rFonts w:ascii="Garamond" w:hAnsi="Garamond"/>
          <w:sz w:val="20"/>
        </w:rPr>
        <w:t>Bakel H. van et al. (2011). The draft genome and transcriptome of Cannabis sativa. Genome Biology, 12, R102.</w:t>
      </w:r>
    </w:p>
    <w:p>
      <w:pPr>
        <w:spacing w:before="40" w:after="40" w:line="300" w:lineRule="auto"/>
        <w:ind w:left="454" w:hanging="454"/>
        <w:jc w:val="both"/>
      </w:pPr>
      <w:r>
        <w:rPr>
          <w:rFonts w:ascii="Garamond" w:hAnsi="Garamond"/>
          <w:sz w:val="20"/>
        </w:rPr>
        <w:t>Barrett M.L., Scutt A.M. &amp; Evans F.J. (1985). Cannflavin A and B, prenylated flavones from Cannabis sativa L. Experientia, 41, 522–523.</w:t>
      </w:r>
    </w:p>
    <w:p>
      <w:pPr>
        <w:spacing w:before="40" w:after="40" w:line="300" w:lineRule="auto"/>
        <w:ind w:left="454" w:hanging="454"/>
        <w:jc w:val="both"/>
      </w:pPr>
      <w:r>
        <w:rPr>
          <w:rFonts w:ascii="Garamond" w:hAnsi="Garamond"/>
          <w:sz w:val="20"/>
        </w:rPr>
        <w:t>Ben-Shabat S. et al. (1998). An entourage effect: inactive endogenous fatty acid glycerol esters enhance 2-AG cannabinoid activity. European Journal of Pharmacology, 353, 23–31.</w:t>
      </w:r>
    </w:p>
    <w:p>
      <w:pPr>
        <w:spacing w:before="40" w:after="40" w:line="300" w:lineRule="auto"/>
        <w:ind w:left="454" w:hanging="454"/>
        <w:jc w:val="both"/>
      </w:pPr>
      <w:r>
        <w:rPr>
          <w:rFonts w:ascii="Garamond" w:hAnsi="Garamond"/>
          <w:sz w:val="20"/>
        </w:rPr>
        <w:t>Bolognini D. et al. (2010). The plant cannabinoid Δ9-tetrahydrocannabivarin can decrease signs of inflammation. British Journal of Pharmacology, 160, 677–687.</w:t>
      </w:r>
    </w:p>
    <w:p>
      <w:pPr>
        <w:spacing w:before="40" w:after="40" w:line="300" w:lineRule="auto"/>
        <w:ind w:left="454" w:hanging="454"/>
        <w:jc w:val="both"/>
      </w:pPr>
      <w:r>
        <w:rPr>
          <w:rFonts w:ascii="Garamond" w:hAnsi="Garamond"/>
          <w:sz w:val="20"/>
        </w:rPr>
        <w:t>Bolognini D. et al. (2013). Cannabidiolic acid prevents vomiting in Suncus murinus and nausea-induced behaviour in rats by enhancing 5-HT1A receptor activation. British Journal of Pharmacology, 168, 1456–1470.</w:t>
      </w:r>
    </w:p>
    <w:p>
      <w:pPr>
        <w:spacing w:before="40" w:after="40" w:line="300" w:lineRule="auto"/>
        <w:ind w:left="454" w:hanging="454"/>
        <w:jc w:val="both"/>
      </w:pPr>
      <w:r>
        <w:rPr>
          <w:rFonts w:ascii="Garamond" w:hAnsi="Garamond"/>
          <w:sz w:val="20"/>
        </w:rPr>
        <w:t>Booth J.K. &amp; Bohlmann J. (2019). Terpenes in Cannabis sativa — From plant genome to humans. Plant Science, 284, 67–72.</w:t>
      </w:r>
    </w:p>
    <w:p>
      <w:pPr>
        <w:spacing w:before="40" w:after="40" w:line="300" w:lineRule="auto"/>
        <w:ind w:left="454" w:hanging="454"/>
        <w:jc w:val="both"/>
      </w:pPr>
      <w:r>
        <w:rPr>
          <w:rFonts w:ascii="Garamond" w:hAnsi="Garamond"/>
          <w:sz w:val="20"/>
        </w:rPr>
        <w:t>Borrelli F. et al. (2013). Beneficial effect of the non-psychotropic plant cannabinoid cannabigerol on experimental inflammatory bowel disease. Biochemical Pharmacology, 85, 1306–1316.</w:t>
      </w:r>
    </w:p>
    <w:p>
      <w:pPr>
        <w:spacing w:before="40" w:after="40" w:line="300" w:lineRule="auto"/>
        <w:ind w:left="454" w:hanging="454"/>
        <w:jc w:val="both"/>
      </w:pPr>
      <w:r>
        <w:rPr>
          <w:rFonts w:ascii="Garamond" w:hAnsi="Garamond"/>
          <w:sz w:val="20"/>
        </w:rPr>
        <w:t>Brown J.D. &amp; Winterstein A.G. (2019). Potential adverse drug events and drug-drug interactions with medical and consumer cannabidiol (CBD) use. Journal of Clinical Medicine, 8, 989.</w:t>
      </w:r>
    </w:p>
    <w:p>
      <w:pPr>
        <w:spacing w:before="40" w:after="40" w:line="300" w:lineRule="auto"/>
        <w:ind w:left="454" w:hanging="454"/>
        <w:jc w:val="both"/>
      </w:pPr>
      <w:r>
        <w:rPr>
          <w:rFonts w:ascii="Garamond" w:hAnsi="Garamond"/>
          <w:sz w:val="20"/>
        </w:rPr>
        <w:t>Caplan D., Dixon M. &amp; Zheng Y. (2019). Increasing inflorescence dry weight and cannabinoid content in medical cannabis using controlled drought stress. HortScience, 54, 964–969.</w:t>
      </w:r>
    </w:p>
    <w:p>
      <w:pPr>
        <w:spacing w:before="40" w:after="40" w:line="300" w:lineRule="auto"/>
        <w:ind w:left="454" w:hanging="454"/>
        <w:jc w:val="both"/>
      </w:pPr>
      <w:r>
        <w:rPr>
          <w:rFonts w:ascii="Garamond" w:hAnsi="Garamond"/>
          <w:sz w:val="20"/>
        </w:rPr>
        <w:t>Cascio M.G. et al. (2010). Evidence that the plant cannabinoid cannabigerol is a highly potent alpha2-adrenoceptor agonist. British Journal of Pharmacology, 159, 129–141.</w:t>
      </w:r>
    </w:p>
    <w:p>
      <w:pPr>
        <w:spacing w:before="40" w:after="40" w:line="300" w:lineRule="auto"/>
        <w:ind w:left="454" w:hanging="454"/>
        <w:jc w:val="both"/>
      </w:pPr>
      <w:r>
        <w:rPr>
          <w:rFonts w:ascii="Garamond" w:hAnsi="Garamond"/>
          <w:sz w:val="20"/>
        </w:rPr>
        <w:t>Caspi A. et al. (2005). Moderation of the effect of adolescent-onset cannabis use on adult psychosis by COMT Val158Met. Biological Psychiatry, 57, 1117–1127.</w:t>
      </w:r>
    </w:p>
    <w:p>
      <w:pPr>
        <w:spacing w:before="40" w:after="40" w:line="300" w:lineRule="auto"/>
        <w:ind w:left="454" w:hanging="454"/>
        <w:jc w:val="both"/>
      </w:pPr>
      <w:r>
        <w:rPr>
          <w:rFonts w:ascii="Garamond" w:hAnsi="Garamond"/>
          <w:sz w:val="20"/>
        </w:rPr>
        <w:t>Christianson D.W. (2017). Structural and chemical biology of terpenoid cyclases. Chemical Reviews, 117, 11570–11648.</w:t>
      </w:r>
    </w:p>
    <w:p>
      <w:pPr>
        <w:spacing w:before="40" w:after="40" w:line="300" w:lineRule="auto"/>
        <w:ind w:left="454" w:hanging="454"/>
        <w:jc w:val="both"/>
      </w:pPr>
      <w:r>
        <w:rPr>
          <w:rFonts w:ascii="Garamond" w:hAnsi="Garamond"/>
          <w:sz w:val="20"/>
        </w:rPr>
        <w:t>Citti C. et al. (2018). Analysis of cannabinoids in commercial hemp seed oil and decarboxylation kinetics. Journal of Pharmaceutical and Biomedical Analysis, 147, 565–579.</w:t>
      </w:r>
    </w:p>
    <w:p>
      <w:pPr>
        <w:spacing w:before="40" w:after="40" w:line="300" w:lineRule="auto"/>
        <w:ind w:left="454" w:hanging="454"/>
        <w:jc w:val="both"/>
      </w:pPr>
      <w:r>
        <w:rPr>
          <w:rFonts w:ascii="Garamond" w:hAnsi="Garamond"/>
          <w:sz w:val="20"/>
        </w:rPr>
        <w:t>Dayanandan P. &amp; Kaufman P.B. (1976). Trichomes of Cannabis sativa L. (Cannabaceae). American Journal of Botany, 63, 578–591.</w:t>
      </w:r>
    </w:p>
    <w:p>
      <w:pPr>
        <w:spacing w:before="40" w:after="40" w:line="300" w:lineRule="auto"/>
        <w:ind w:left="454" w:hanging="454"/>
        <w:jc w:val="both"/>
      </w:pPr>
      <w:r>
        <w:rPr>
          <w:rFonts w:ascii="Garamond" w:hAnsi="Garamond"/>
          <w:sz w:val="20"/>
        </w:rPr>
        <w:t>Devane W.A. et al. (1992). Isolation and structure of a brain constituent that binds to the cannabinoid receptor. Science, 258, 1946–1949.</w:t>
      </w:r>
    </w:p>
    <w:p>
      <w:pPr>
        <w:spacing w:before="40" w:after="40" w:line="300" w:lineRule="auto"/>
        <w:ind w:left="454" w:hanging="454"/>
        <w:jc w:val="both"/>
      </w:pPr>
      <w:r>
        <w:rPr>
          <w:rFonts w:ascii="Garamond" w:hAnsi="Garamond"/>
          <w:sz w:val="20"/>
        </w:rPr>
        <w:t>Devinsky O. et al. (2017). Trial of cannabidiol for drug-resistant seizures in the Dravet syndrome. New England Journal of Medicine, 376, 2011–2020.</w:t>
      </w:r>
    </w:p>
    <w:p>
      <w:pPr>
        <w:spacing w:before="40" w:after="40" w:line="300" w:lineRule="auto"/>
        <w:ind w:left="454" w:hanging="454"/>
        <w:jc w:val="both"/>
      </w:pPr>
      <w:r>
        <w:rPr>
          <w:rFonts w:ascii="Garamond" w:hAnsi="Garamond"/>
          <w:sz w:val="20"/>
        </w:rPr>
        <w:t>ElSohly M.A. &amp; Slade D. (2005). Chemical constituents of marijuana. Life Sciences, 78, 539–548.</w:t>
      </w:r>
    </w:p>
    <w:p>
      <w:pPr>
        <w:spacing w:before="40" w:after="40" w:line="300" w:lineRule="auto"/>
        <w:ind w:left="454" w:hanging="454"/>
        <w:jc w:val="both"/>
      </w:pPr>
      <w:r>
        <w:rPr>
          <w:rFonts w:ascii="Garamond" w:hAnsi="Garamond"/>
          <w:sz w:val="20"/>
        </w:rPr>
        <w:t>ElSohly M.A. et al. (2017). Phytochemistry of Cannabis sativa L. Progress in Chemistry of Organic Natural Products, 103, 1–36.</w:t>
      </w:r>
    </w:p>
    <w:p>
      <w:pPr>
        <w:spacing w:before="40" w:after="40" w:line="300" w:lineRule="auto"/>
        <w:ind w:left="454" w:hanging="454"/>
        <w:jc w:val="both"/>
      </w:pPr>
      <w:r>
        <w:rPr>
          <w:rFonts w:ascii="Garamond" w:hAnsi="Garamond"/>
          <w:sz w:val="20"/>
        </w:rPr>
        <w:t>FDA (2018). FDA approves first drug comprised of an active ingredient derived from marijuana. Press Release, June 25, 2018.</w:t>
      </w:r>
    </w:p>
    <w:p>
      <w:pPr>
        <w:spacing w:before="40" w:after="40" w:line="300" w:lineRule="auto"/>
        <w:ind w:left="454" w:hanging="454"/>
        <w:jc w:val="both"/>
      </w:pPr>
      <w:r>
        <w:rPr>
          <w:rFonts w:ascii="Garamond" w:hAnsi="Garamond"/>
          <w:sz w:val="20"/>
        </w:rPr>
        <w:t>Fernandes E.S. et al. (2007). Anti-inflammatory effects of compounds alpha-humulene and (-)-trans-caryophyllene isolated from the essential oil of Cordia verbenacea. European Journal of Pharmacology, 569, 228–236.</w:t>
      </w:r>
    </w:p>
    <w:p>
      <w:pPr>
        <w:spacing w:before="40" w:after="40" w:line="300" w:lineRule="auto"/>
        <w:ind w:left="454" w:hanging="454"/>
        <w:jc w:val="both"/>
      </w:pPr>
      <w:r>
        <w:rPr>
          <w:rFonts w:ascii="Garamond" w:hAnsi="Garamond"/>
          <w:sz w:val="20"/>
        </w:rPr>
        <w:t>Gagne S.J. et al. (2012). Identification of olivetolic acid cyclase from Cannabis sativa reveals a unique catalytic route to plant polyketides. PNAS, 109, 12811–12816.</w:t>
      </w:r>
    </w:p>
    <w:p>
      <w:pPr>
        <w:spacing w:before="40" w:after="40" w:line="300" w:lineRule="auto"/>
        <w:ind w:left="454" w:hanging="454"/>
        <w:jc w:val="both"/>
      </w:pPr>
      <w:r>
        <w:rPr>
          <w:rFonts w:ascii="Garamond" w:hAnsi="Garamond"/>
          <w:sz w:val="20"/>
        </w:rPr>
        <w:t>Gaoni Y. &amp; Mechoulam R. (1964). Isolation, structure, and partial synthesis of an active constituent of hashish. Journal of the American Chemical Society, 86, 1646–1647.</w:t>
      </w:r>
    </w:p>
    <w:p>
      <w:pPr>
        <w:spacing w:before="40" w:after="40" w:line="300" w:lineRule="auto"/>
        <w:ind w:left="454" w:hanging="454"/>
        <w:jc w:val="both"/>
      </w:pPr>
      <w:r>
        <w:rPr>
          <w:rFonts w:ascii="Garamond" w:hAnsi="Garamond"/>
          <w:sz w:val="20"/>
        </w:rPr>
        <w:t>Geffrey A.L. et al. (2015). Drug-drug interaction between clobazam and cannabidiol in children with refractory epilepsy. Epilepsia, 56, 1246–1251.</w:t>
      </w:r>
    </w:p>
    <w:p>
      <w:pPr>
        <w:spacing w:before="40" w:after="40" w:line="300" w:lineRule="auto"/>
        <w:ind w:left="454" w:hanging="454"/>
        <w:jc w:val="both"/>
      </w:pPr>
      <w:r>
        <w:rPr>
          <w:rFonts w:ascii="Garamond" w:hAnsi="Garamond"/>
          <w:sz w:val="20"/>
        </w:rPr>
        <w:t>Gertsch J. et al. (2008). Beta-caryophyllene is a dietary cannabinoid. PNAS, 105, 9099–9104.</w:t>
      </w:r>
    </w:p>
    <w:p>
      <w:pPr>
        <w:spacing w:before="40" w:after="40" w:line="300" w:lineRule="auto"/>
        <w:ind w:left="454" w:hanging="454"/>
        <w:jc w:val="both"/>
      </w:pPr>
      <w:r>
        <w:rPr>
          <w:rFonts w:ascii="Garamond" w:hAnsi="Garamond"/>
          <w:sz w:val="20"/>
        </w:rPr>
        <w:t>Grassa C.J. et al. (2018). A new Cannabis genome assembly associates elevated cannabidiol (CBD) with hemp introgressed into marijuana. New Phytologist, 230, 1665–1679.</w:t>
      </w:r>
    </w:p>
    <w:p>
      <w:pPr>
        <w:spacing w:before="40" w:after="40" w:line="300" w:lineRule="auto"/>
        <w:ind w:left="454" w:hanging="454"/>
        <w:jc w:val="both"/>
      </w:pPr>
      <w:r>
        <w:rPr>
          <w:rFonts w:ascii="Garamond" w:hAnsi="Garamond"/>
          <w:sz w:val="20"/>
        </w:rPr>
        <w:t>Grayson L. et al. (2018). An interaction between warfarin and cannabidiol, a case report. Epilepsy &amp; Behavior Case Reports, 9, 10–11.</w:t>
      </w:r>
    </w:p>
    <w:p>
      <w:pPr>
        <w:spacing w:before="40" w:after="40" w:line="300" w:lineRule="auto"/>
        <w:ind w:left="454" w:hanging="454"/>
        <w:jc w:val="both"/>
      </w:pPr>
      <w:r>
        <w:rPr>
          <w:rFonts w:ascii="Garamond" w:hAnsi="Garamond"/>
          <w:sz w:val="20"/>
        </w:rPr>
        <w:t>Grotenhermen F. (2003). Pharmacokinetics and pharmacodynamics of cannabinoids. Clinical Pharmacokinetics, 42, 327–360.</w:t>
      </w:r>
    </w:p>
    <w:p>
      <w:pPr>
        <w:spacing w:before="40" w:after="40" w:line="300" w:lineRule="auto"/>
        <w:ind w:left="454" w:hanging="454"/>
        <w:jc w:val="both"/>
      </w:pPr>
      <w:r>
        <w:rPr>
          <w:rFonts w:ascii="Garamond" w:hAnsi="Garamond"/>
          <w:sz w:val="20"/>
        </w:rPr>
        <w:t>Hammond C.T. &amp; Mahlberg P.G. (1973). Morphology of glandular hairs of Cannabis sativa from scanning electron microscopy. American Journal of Botany, 60, 524–528.</w:t>
      </w:r>
    </w:p>
    <w:p>
      <w:pPr>
        <w:spacing w:before="40" w:after="40" w:line="300" w:lineRule="auto"/>
        <w:ind w:left="454" w:hanging="454"/>
        <w:jc w:val="both"/>
      </w:pPr>
      <w:r>
        <w:rPr>
          <w:rFonts w:ascii="Garamond" w:hAnsi="Garamond"/>
          <w:sz w:val="20"/>
        </w:rPr>
        <w:t>Hazekamp A. &amp; Fischedick J.T. (2012). Cannabis — from cultivar to chemovar. Drug Testing and Analysis, 4, 660–667.</w:t>
      </w:r>
    </w:p>
    <w:p>
      <w:pPr>
        <w:spacing w:before="40" w:after="40" w:line="300" w:lineRule="auto"/>
        <w:ind w:left="454" w:hanging="454"/>
        <w:jc w:val="both"/>
      </w:pPr>
      <w:r>
        <w:rPr>
          <w:rFonts w:ascii="Garamond" w:hAnsi="Garamond"/>
          <w:sz w:val="20"/>
        </w:rPr>
        <w:t>Hillig K.W. (2005). Genetic evidence for speciation in Cannabis. Genetic Resources and Crop Evolution, 52, 161–180.</w:t>
      </w:r>
    </w:p>
    <w:p>
      <w:pPr>
        <w:spacing w:before="40" w:after="40" w:line="300" w:lineRule="auto"/>
        <w:ind w:left="454" w:hanging="454"/>
        <w:jc w:val="both"/>
      </w:pPr>
      <w:r>
        <w:rPr>
          <w:rFonts w:ascii="Garamond" w:hAnsi="Garamond"/>
          <w:sz w:val="20"/>
        </w:rPr>
        <w:t>Hirvonen J. et al. (2012). Reversible and regionally selective downregulation of brain cannabinoid CB1 receptors in chronic daily cannabis smokers. Molecular Psychiatry, 17, 642–649.</w:t>
      </w:r>
    </w:p>
    <w:p>
      <w:pPr>
        <w:spacing w:before="40" w:after="40" w:line="300" w:lineRule="auto"/>
        <w:ind w:left="454" w:hanging="454"/>
        <w:jc w:val="both"/>
      </w:pPr>
      <w:r>
        <w:rPr>
          <w:rFonts w:ascii="Garamond" w:hAnsi="Garamond"/>
          <w:sz w:val="20"/>
        </w:rPr>
        <w:t>Hložek T. et al. (2017). Pharmacokinetic and behavioural profile of THC, CBD, and CBN in rats. European Neuropsychopharmacology, 27, 1223–1237.</w:t>
      </w:r>
    </w:p>
    <w:p>
      <w:pPr>
        <w:spacing w:before="40" w:after="40" w:line="300" w:lineRule="auto"/>
        <w:ind w:left="454" w:hanging="454"/>
        <w:jc w:val="both"/>
      </w:pPr>
      <w:r>
        <w:rPr>
          <w:rFonts w:ascii="Garamond" w:hAnsi="Garamond"/>
          <w:sz w:val="20"/>
        </w:rPr>
        <w:t>Hua T. et al. (2016). Crystal structure of the human cannabinoid receptor CB1. Cell, 167, 750–762.</w:t>
      </w:r>
    </w:p>
    <w:p>
      <w:pPr>
        <w:spacing w:before="40" w:after="40" w:line="300" w:lineRule="auto"/>
        <w:ind w:left="454" w:hanging="454"/>
        <w:jc w:val="both"/>
      </w:pPr>
      <w:r>
        <w:rPr>
          <w:rFonts w:ascii="Garamond" w:hAnsi="Garamond"/>
          <w:sz w:val="20"/>
        </w:rPr>
        <w:t>Huestis M.A. (2007). Human cannabinoid pharmacokinetics. Chemistry &amp; Biodiversity, 4, 1770–1804.</w:t>
      </w:r>
    </w:p>
    <w:p>
      <w:pPr>
        <w:spacing w:before="40" w:after="40" w:line="300" w:lineRule="auto"/>
        <w:ind w:left="454" w:hanging="454"/>
        <w:jc w:val="both"/>
      </w:pPr>
      <w:r>
        <w:rPr>
          <w:rFonts w:ascii="Garamond" w:hAnsi="Garamond"/>
          <w:sz w:val="20"/>
        </w:rPr>
        <w:t>Huestis M.A. et al. (1996). Cannabinoid disposition during use of marijuana. Journal of Analytical Toxicology, 20, 441–452.</w:t>
      </w:r>
    </w:p>
    <w:p>
      <w:pPr>
        <w:spacing w:before="40" w:after="40" w:line="300" w:lineRule="auto"/>
        <w:ind w:left="454" w:hanging="454"/>
        <w:jc w:val="both"/>
      </w:pPr>
      <w:r>
        <w:rPr>
          <w:rFonts w:ascii="Garamond" w:hAnsi="Garamond"/>
          <w:sz w:val="20"/>
        </w:rPr>
        <w:t>Jadoon K.A. et al. (2016). Efficacy and safety of cannabidiol and tetrahydrocannabivarin on glycemic and lipid parameters in patients with type 2 diabetes. Diabetes Care, 39, 1777–1786.</w:t>
      </w:r>
    </w:p>
    <w:p>
      <w:pPr>
        <w:spacing w:before="40" w:after="40" w:line="300" w:lineRule="auto"/>
        <w:ind w:left="454" w:hanging="454"/>
        <w:jc w:val="both"/>
      </w:pPr>
      <w:r>
        <w:rPr>
          <w:rFonts w:ascii="Garamond" w:hAnsi="Garamond"/>
          <w:sz w:val="20"/>
        </w:rPr>
        <w:t>Kim E.S. &amp; Mahlberg P.G. (2003). Secretory vesicle formation in glandular trichomes of Cannabis sativa. Journal of Natural Products, 66, 1192–1196.</w:t>
      </w:r>
    </w:p>
    <w:p>
      <w:pPr>
        <w:spacing w:before="40" w:after="40" w:line="300" w:lineRule="auto"/>
        <w:ind w:left="454" w:hanging="454"/>
        <w:jc w:val="both"/>
      </w:pPr>
      <w:r>
        <w:rPr>
          <w:rFonts w:ascii="Garamond" w:hAnsi="Garamond"/>
          <w:sz w:val="20"/>
        </w:rPr>
        <w:t>Klauke A.L. et al. (2014). The cannabinoid CB2 receptor-selective phytocannabinoid β-caryophyllene exerts analgesic effects in mouse models of inflammatory and neuropathic pain. European Neuropsychopharmacology, 24, 608–620.</w:t>
      </w:r>
    </w:p>
    <w:p>
      <w:pPr>
        <w:spacing w:before="40" w:after="40" w:line="300" w:lineRule="auto"/>
        <w:ind w:left="454" w:hanging="454"/>
        <w:jc w:val="both"/>
      </w:pPr>
      <w:r>
        <w:rPr>
          <w:rFonts w:ascii="Garamond" w:hAnsi="Garamond"/>
          <w:sz w:val="20"/>
        </w:rPr>
        <w:t>Koch M. et al. (2015). Hypothalamic POMC neurons promote cannabinoid-induced feeding. Nature, 519, 45–50.</w:t>
      </w:r>
    </w:p>
    <w:p>
      <w:pPr>
        <w:spacing w:before="40" w:after="40" w:line="300" w:lineRule="auto"/>
        <w:ind w:left="454" w:hanging="454"/>
        <w:jc w:val="both"/>
      </w:pPr>
      <w:r>
        <w:rPr>
          <w:rFonts w:ascii="Garamond" w:hAnsi="Garamond"/>
          <w:sz w:val="20"/>
        </w:rPr>
        <w:t>Laprairie R.B. et al. (2015). Cannabidiol is a negative allosteric modulator of the cannabinoid CB1 receptor. British Journal of Pharmacology, 172, 4790–4805.</w:t>
      </w:r>
    </w:p>
    <w:p>
      <w:pPr>
        <w:spacing w:before="40" w:after="40" w:line="300" w:lineRule="auto"/>
        <w:ind w:left="454" w:hanging="454"/>
        <w:jc w:val="both"/>
      </w:pPr>
      <w:r>
        <w:rPr>
          <w:rFonts w:ascii="Garamond" w:hAnsi="Garamond"/>
          <w:sz w:val="20"/>
        </w:rPr>
        <w:t>Li X. et al. (2019). Crystal structure of the human cannabinoid receptor CB2. Cell, 176, 459–467.</w:t>
      </w:r>
    </w:p>
    <w:p>
      <w:pPr>
        <w:spacing w:before="40" w:after="40" w:line="300" w:lineRule="auto"/>
        <w:ind w:left="454" w:hanging="454"/>
        <w:jc w:val="both"/>
      </w:pPr>
      <w:r>
        <w:rPr>
          <w:rFonts w:ascii="Garamond" w:hAnsi="Garamond"/>
          <w:sz w:val="20"/>
        </w:rPr>
        <w:t>Lima N.G. et al. (2013). Anxiolytic-like activity and GC–MS analysis of (R)-(+)-limonene fragrance, a natural compound found in foods and plants. Pharmacology Biochemistry and Behavior, 103, 450–454.</w:t>
      </w:r>
    </w:p>
    <w:p>
      <w:pPr>
        <w:spacing w:before="40" w:after="40" w:line="300" w:lineRule="auto"/>
        <w:ind w:left="454" w:hanging="454"/>
        <w:jc w:val="both"/>
      </w:pPr>
      <w:r>
        <w:rPr>
          <w:rFonts w:ascii="Garamond" w:hAnsi="Garamond"/>
          <w:sz w:val="20"/>
        </w:rPr>
        <w:t>Linck V.M. et al. (2010). Effects of inhaled linalool in anxiety, social interaction and aggressive behavior in mice. Phytomedicine, 17, 679–683.</w:t>
      </w:r>
    </w:p>
    <w:p>
      <w:pPr>
        <w:spacing w:before="40" w:after="40" w:line="300" w:lineRule="auto"/>
        <w:ind w:left="454" w:hanging="454"/>
        <w:jc w:val="both"/>
      </w:pPr>
      <w:r>
        <w:rPr>
          <w:rFonts w:ascii="Garamond" w:hAnsi="Garamond"/>
          <w:sz w:val="20"/>
        </w:rPr>
        <w:t>Livingston S.J. et al. (2020). Cannabis glandular trichomes alter morphology and metabolite content during flower maturation. Plant Journal, 101, 37–56.</w:t>
      </w:r>
    </w:p>
    <w:p>
      <w:pPr>
        <w:spacing w:before="40" w:after="40" w:line="300" w:lineRule="auto"/>
        <w:ind w:left="454" w:hanging="454"/>
        <w:jc w:val="both"/>
      </w:pPr>
      <w:r>
        <w:rPr>
          <w:rFonts w:ascii="Garamond" w:hAnsi="Garamond"/>
          <w:sz w:val="20"/>
        </w:rPr>
        <w:t>Lydon J., Teramura A.H. &amp; Coffman C.B. (1987). UV-B radiation effects on photosynthesis, growth and cannabinoid production of two Cannabis sativa chemotypes. Photochemistry and Photobiology, 46, 201–206.</w:t>
      </w:r>
    </w:p>
    <w:p>
      <w:pPr>
        <w:spacing w:before="40" w:after="40" w:line="300" w:lineRule="auto"/>
        <w:ind w:left="454" w:hanging="454"/>
        <w:jc w:val="both"/>
      </w:pPr>
      <w:r>
        <w:rPr>
          <w:rFonts w:ascii="Garamond" w:hAnsi="Garamond"/>
          <w:sz w:val="20"/>
        </w:rPr>
        <w:t>Mackie K. (2008). Cannabinoid receptors: where they are and what they do. Journal of Neuroendocrinology, 20 (s1), 10–14.</w:t>
      </w:r>
    </w:p>
    <w:p>
      <w:pPr>
        <w:spacing w:before="40" w:after="40" w:line="300" w:lineRule="auto"/>
        <w:ind w:left="454" w:hanging="454"/>
        <w:jc w:val="both"/>
      </w:pPr>
      <w:r>
        <w:rPr>
          <w:rFonts w:ascii="Garamond" w:hAnsi="Garamond"/>
          <w:sz w:val="20"/>
        </w:rPr>
        <w:t>Magagnini G., Grassi G. &amp; Kotiranta S. (2018). The effect of light spectrum on the morphology and cannabinoid content of Cannabis sativa L. Medical Cannabis and Cannabinoids, 1, 19–27.</w:t>
      </w:r>
    </w:p>
    <w:p>
      <w:pPr>
        <w:spacing w:before="40" w:after="40" w:line="300" w:lineRule="auto"/>
        <w:ind w:left="454" w:hanging="454"/>
        <w:jc w:val="both"/>
      </w:pPr>
      <w:r>
        <w:rPr>
          <w:rFonts w:ascii="Garamond" w:hAnsi="Garamond"/>
          <w:sz w:val="20"/>
        </w:rPr>
        <w:t>Maione S. et al. (2011). Non-psychoactive cannabinoids modulate the descending pathway of antinociception. British Journal of Pharmacology, 162, 584–596.</w:t>
      </w:r>
    </w:p>
    <w:p>
      <w:pPr>
        <w:spacing w:before="40" w:after="40" w:line="300" w:lineRule="auto"/>
        <w:ind w:left="454" w:hanging="454"/>
        <w:jc w:val="both"/>
      </w:pPr>
      <w:r>
        <w:rPr>
          <w:rFonts w:ascii="Garamond" w:hAnsi="Garamond"/>
          <w:sz w:val="20"/>
        </w:rPr>
        <w:t>Matsuda L.A. et al. (1990). Structure of a cannabinoid receptor and functional expression of the cloned cDNA. Nature, 346, 561–564.</w:t>
      </w:r>
    </w:p>
    <w:p>
      <w:pPr>
        <w:spacing w:before="40" w:after="40" w:line="300" w:lineRule="auto"/>
        <w:ind w:left="454" w:hanging="454"/>
        <w:jc w:val="both"/>
      </w:pPr>
      <w:r>
        <w:rPr>
          <w:rFonts w:ascii="Garamond" w:hAnsi="Garamond"/>
          <w:sz w:val="20"/>
        </w:rPr>
        <w:t>McPartland J.M. (2018). Cannabis systematics at the levels of family, genus, and species. Cannabis and Cannabinoid Research, 3, 203–212.</w:t>
      </w:r>
    </w:p>
    <w:p>
      <w:pPr>
        <w:spacing w:before="40" w:after="40" w:line="300" w:lineRule="auto"/>
        <w:ind w:left="454" w:hanging="454"/>
        <w:jc w:val="both"/>
      </w:pPr>
      <w:r>
        <w:rPr>
          <w:rFonts w:ascii="Garamond" w:hAnsi="Garamond"/>
          <w:sz w:val="20"/>
        </w:rPr>
        <w:t>Mechoulam R. et al. (1995). Identification of an endogenous 2-monoglyceride that binds to cannabinoid receptors. Biochemical Pharmacology, 50, 83–90.</w:t>
      </w:r>
    </w:p>
    <w:p>
      <w:pPr>
        <w:spacing w:before="40" w:after="40" w:line="300" w:lineRule="auto"/>
        <w:ind w:left="454" w:hanging="454"/>
        <w:jc w:val="both"/>
      </w:pPr>
      <w:r>
        <w:rPr>
          <w:rFonts w:ascii="Garamond" w:hAnsi="Garamond"/>
          <w:sz w:val="20"/>
        </w:rPr>
        <w:t>Meier M.H. et al. (2012). Persistent cannabis users show neuropsychological decline from childhood to midlife. PNAS, 109, E2657–E2664.</w:t>
      </w:r>
    </w:p>
    <w:p>
      <w:pPr>
        <w:spacing w:before="40" w:after="40" w:line="300" w:lineRule="auto"/>
        <w:ind w:left="454" w:hanging="454"/>
        <w:jc w:val="both"/>
      </w:pPr>
      <w:r>
        <w:rPr>
          <w:rFonts w:ascii="Garamond" w:hAnsi="Garamond"/>
          <w:sz w:val="20"/>
        </w:rPr>
        <w:t>Miyazawa M., Watanabe H. &amp; Kameoka H. (2005). Inhibition of acetylcholinesterase activity by monoterpenoids. Journal of Agricultural and Food Chemistry, 53, 2826–2829.</w:t>
      </w:r>
    </w:p>
    <w:p>
      <w:pPr>
        <w:spacing w:before="40" w:after="40" w:line="300" w:lineRule="auto"/>
        <w:ind w:left="454" w:hanging="454"/>
        <w:jc w:val="both"/>
      </w:pPr>
      <w:r>
        <w:rPr>
          <w:rFonts w:ascii="Garamond" w:hAnsi="Garamond"/>
          <w:sz w:val="20"/>
        </w:rPr>
        <w:t>Moir D. et al. (2008). A comparison of mainstream and sidestream marijuana and tobacco cigarette smoke. Chemical Research in Toxicology, 21, 494–502.</w:t>
      </w:r>
    </w:p>
    <w:p>
      <w:pPr>
        <w:spacing w:before="40" w:after="40" w:line="300" w:lineRule="auto"/>
        <w:ind w:left="454" w:hanging="454"/>
        <w:jc w:val="both"/>
      </w:pPr>
      <w:r>
        <w:rPr>
          <w:rFonts w:ascii="Garamond" w:hAnsi="Garamond"/>
          <w:sz w:val="20"/>
        </w:rPr>
        <w:t>Munro S., Thomas K.L. &amp; Abu-Shaar M. (1993). Molecular characterization of a peripheral receptor for cannabinoids. Nature, 365, 61–65.</w:t>
      </w:r>
    </w:p>
    <w:p>
      <w:pPr>
        <w:spacing w:before="40" w:after="40" w:line="300" w:lineRule="auto"/>
        <w:ind w:left="454" w:hanging="454"/>
        <w:jc w:val="both"/>
      </w:pPr>
      <w:r>
        <w:rPr>
          <w:rFonts w:ascii="Garamond" w:hAnsi="Garamond"/>
          <w:sz w:val="20"/>
        </w:rPr>
        <w:t>Pertwee R.G. (2008). The diverse CB1 and CB2 receptor pharmacology of three plant cannabinoids: Δ9-THC, CBD and Δ9-THCV. British Journal of Pharmacology, 153, 199–215.</w:t>
      </w:r>
    </w:p>
    <w:p>
      <w:pPr>
        <w:spacing w:before="40" w:after="40" w:line="300" w:lineRule="auto"/>
        <w:ind w:left="454" w:hanging="454"/>
        <w:jc w:val="both"/>
      </w:pPr>
      <w:r>
        <w:rPr>
          <w:rFonts w:ascii="Garamond" w:hAnsi="Garamond"/>
          <w:sz w:val="20"/>
        </w:rPr>
        <w:t>Pomahacova B., Van der Kooy F. &amp; Verpoorte R. (2009). Cannabis smoke condensate III: the cannabinoid content of vaporised Cannabis sativa. Inhalation Toxicology, 21, 1108–1112.</w:t>
      </w:r>
    </w:p>
    <w:p>
      <w:pPr>
        <w:spacing w:before="40" w:after="40" w:line="300" w:lineRule="auto"/>
        <w:ind w:left="454" w:hanging="454"/>
        <w:jc w:val="both"/>
      </w:pPr>
      <w:r>
        <w:rPr>
          <w:rFonts w:ascii="Garamond" w:hAnsi="Garamond"/>
          <w:sz w:val="20"/>
        </w:rPr>
        <w:t>Rea K.A. et al. (2019). Biosynthesis of cannflavins A and B from Cannabis sativa L. Phytochemistry, 164, 162–171.</w:t>
      </w:r>
    </w:p>
    <w:p>
      <w:pPr>
        <w:spacing w:before="40" w:after="40" w:line="300" w:lineRule="auto"/>
        <w:ind w:left="454" w:hanging="454"/>
        <w:jc w:val="both"/>
      </w:pPr>
      <w:r>
        <w:rPr>
          <w:rFonts w:ascii="Garamond" w:hAnsi="Garamond"/>
          <w:sz w:val="20"/>
        </w:rPr>
        <w:t>Ren M. et al. (2019). The origins of cannabis smoking: Chemical residue evidence from the first millennium BCE in the Pamirs. Science Advances, 5, eaaw1391.</w:t>
      </w:r>
    </w:p>
    <w:p>
      <w:pPr>
        <w:spacing w:before="40" w:after="40" w:line="300" w:lineRule="auto"/>
        <w:ind w:left="454" w:hanging="454"/>
        <w:jc w:val="both"/>
      </w:pPr>
      <w:r>
        <w:rPr>
          <w:rFonts w:ascii="Garamond" w:hAnsi="Garamond"/>
          <w:sz w:val="20"/>
        </w:rPr>
        <w:t>Riedel G. et al. (2009). Synthetic and plant-derived cannabinoid receptor antagonists show hypophagic properties in fasted and non-fasted mice. British Journal of Pharmacology, 156, 1154–1166.</w:t>
      </w:r>
    </w:p>
    <w:p>
      <w:pPr>
        <w:spacing w:before="40" w:after="40" w:line="300" w:lineRule="auto"/>
        <w:ind w:left="454" w:hanging="454"/>
        <w:jc w:val="both"/>
      </w:pPr>
      <w:r>
        <w:rPr>
          <w:rFonts w:ascii="Garamond" w:hAnsi="Garamond"/>
          <w:sz w:val="20"/>
        </w:rPr>
        <w:t>Russo E.B. (2011). Taming THC: Potential cannabis synergy and phytocannabinoid-terpenoid entourage effects. British Journal of Pharmacology, 163, 1344–1364.</w:t>
      </w:r>
    </w:p>
    <w:p>
      <w:pPr>
        <w:spacing w:before="40" w:after="40" w:line="300" w:lineRule="auto"/>
        <w:ind w:left="454" w:hanging="454"/>
        <w:jc w:val="both"/>
      </w:pPr>
      <w:r>
        <w:rPr>
          <w:rFonts w:ascii="Garamond" w:hAnsi="Garamond"/>
          <w:sz w:val="20"/>
        </w:rPr>
        <w:t>Sawler J. et al. (2015). The genetic structure of marijuana and hemp. PLOS ONE, 10, e0133292.</w:t>
      </w:r>
    </w:p>
    <w:p>
      <w:pPr>
        <w:spacing w:before="40" w:after="40" w:line="300" w:lineRule="auto"/>
        <w:ind w:left="454" w:hanging="454"/>
        <w:jc w:val="both"/>
      </w:pPr>
      <w:r>
        <w:rPr>
          <w:rFonts w:ascii="Garamond" w:hAnsi="Garamond"/>
          <w:sz w:val="20"/>
        </w:rPr>
        <w:t>Shoyama Y. et al. (2012). Structure and function of Δ1-tetrahydrocannabinolic acid (THCA) synthase, the enzyme controlling the psychoactivity of Cannabis sativa. Journal of Molecular Biology, 423, 96–105.</w:t>
      </w:r>
    </w:p>
    <w:p>
      <w:pPr>
        <w:spacing w:before="40" w:after="40" w:line="300" w:lineRule="auto"/>
        <w:ind w:left="454" w:hanging="454"/>
        <w:jc w:val="both"/>
      </w:pPr>
      <w:r>
        <w:rPr>
          <w:rFonts w:ascii="Garamond" w:hAnsi="Garamond"/>
          <w:sz w:val="20"/>
        </w:rPr>
        <w:t>Sirikantaramas S. et al. (2005). Tetrahydrocannabinolic acid synthase, the enzyme controlling marijuana psychoactivity, is secreted into the storage cavity of the glandular trichomes. Plant Cell Physiology, 46, 1578–1582.</w:t>
      </w:r>
    </w:p>
    <w:p>
      <w:pPr>
        <w:spacing w:before="40" w:after="40" w:line="300" w:lineRule="auto"/>
        <w:ind w:left="454" w:hanging="454"/>
        <w:jc w:val="both"/>
      </w:pPr>
      <w:r>
        <w:rPr>
          <w:rFonts w:ascii="Garamond" w:hAnsi="Garamond"/>
          <w:sz w:val="20"/>
        </w:rPr>
        <w:t>Small E. &amp; Cronquist A. (1976). A practical and natural taxonomy for Cannabis. Taxon, 25, 405–435.</w:t>
      </w:r>
    </w:p>
    <w:p>
      <w:pPr>
        <w:spacing w:before="40" w:after="40" w:line="300" w:lineRule="auto"/>
        <w:ind w:left="454" w:hanging="454"/>
        <w:jc w:val="both"/>
      </w:pPr>
      <w:r>
        <w:rPr>
          <w:rFonts w:ascii="Garamond" w:hAnsi="Garamond"/>
          <w:sz w:val="20"/>
        </w:rPr>
        <w:t>Stout S.M. &amp; Cimino N.M. (2014). Exogenous cannabinoids as substrates, inhibitors, and inducers of human drug metabolizing enzymes: a systematic review. Drug Metabolism Reviews, 46, 86–95.</w:t>
      </w:r>
    </w:p>
    <w:p>
      <w:pPr>
        <w:spacing w:before="40" w:after="40" w:line="300" w:lineRule="auto"/>
        <w:ind w:left="454" w:hanging="454"/>
        <w:jc w:val="both"/>
      </w:pPr>
      <w:r>
        <w:rPr>
          <w:rFonts w:ascii="Garamond" w:hAnsi="Garamond"/>
          <w:sz w:val="20"/>
        </w:rPr>
        <w:t>Thiele E.A. et al. (2018). Cannabidiol in patients with seizures associated with Lennox-Gastaut syndrome. Lancet, 391, 1085–1096.</w:t>
      </w:r>
    </w:p>
    <w:p>
      <w:pPr>
        <w:spacing w:before="40" w:after="40" w:line="300" w:lineRule="auto"/>
        <w:ind w:left="454" w:hanging="454"/>
        <w:jc w:val="both"/>
      </w:pPr>
      <w:r>
        <w:rPr>
          <w:rFonts w:ascii="Garamond" w:hAnsi="Garamond"/>
          <w:sz w:val="20"/>
        </w:rPr>
        <w:t>Trofin I.G. et al. (2012). Influence of storage conditions on the chemical profile of medicinal cannabis preparations. Cellulose Chemistry and Technology, 46, 285–289.</w:t>
      </w:r>
    </w:p>
    <w:p>
      <w:pPr>
        <w:spacing w:before="40" w:after="40" w:line="300" w:lineRule="auto"/>
        <w:ind w:left="454" w:hanging="454"/>
        <w:jc w:val="both"/>
      </w:pPr>
      <w:r>
        <w:rPr>
          <w:rFonts w:ascii="Garamond" w:hAnsi="Garamond"/>
          <w:sz w:val="20"/>
        </w:rPr>
        <w:t>Valdeolivas S. et al. (2015). Neuroprotective properties of cannabigerol in Huntington's disease. Neurotherapeutics, 12, 185–199.</w:t>
      </w:r>
    </w:p>
    <w:p>
      <w:pPr>
        <w:spacing w:before="40" w:after="40" w:line="300" w:lineRule="auto"/>
        <w:ind w:left="454" w:hanging="454"/>
        <w:jc w:val="both"/>
      </w:pPr>
      <w:r>
        <w:rPr>
          <w:rFonts w:ascii="Garamond" w:hAnsi="Garamond"/>
          <w:sz w:val="20"/>
        </w:rPr>
        <w:t>Volkow N.D. et al. (2014). Adverse health effects of marijuana use. New England Journal of Medicine, 370, 2219–2227.</w:t>
      </w:r>
    </w:p>
    <w:p>
      <w:pPr>
        <w:spacing w:before="40" w:after="40" w:line="300" w:lineRule="auto"/>
        <w:ind w:left="454" w:hanging="454"/>
        <w:jc w:val="both"/>
      </w:pPr>
      <w:r>
        <w:rPr>
          <w:rFonts w:ascii="Garamond" w:hAnsi="Garamond"/>
          <w:sz w:val="20"/>
        </w:rPr>
        <w:t>Wang M. et al. (2016). Decarboxylation study of acidic cannabinoids: a novel approach using ultra-high-performance supercritical fluid chromatography/photodiode array-mass spectrometry. Cannabis and Cannabinoid Research, 1, 262–271.</w:t>
      </w:r>
    </w:p>
    <w:p>
      <w:pPr>
        <w:spacing w:before="40" w:after="40" w:line="300" w:lineRule="auto"/>
        <w:ind w:left="454" w:hanging="454"/>
        <w:jc w:val="both"/>
      </w:pPr>
      <w:r>
        <w:rPr>
          <w:rFonts w:ascii="Garamond" w:hAnsi="Garamond"/>
          <w:sz w:val="20"/>
        </w:rPr>
        <w:t>Wargent E.T. et al. (2013). The cannabinoid Δ⁹-tetrahydrocannabivarin (THCV) ameliorates insulin sensitivity in two mouse models of obesity. Nutrition &amp; Diabetes, 3, e68.</w:t>
      </w:r>
    </w:p>
    <w:p>
      <w:pPr>
        <w:spacing w:before="40" w:after="40" w:line="300" w:lineRule="auto"/>
        <w:ind w:left="454" w:hanging="454"/>
        <w:jc w:val="both"/>
      </w:pPr>
      <w:r>
        <w:rPr>
          <w:rFonts w:ascii="Garamond" w:hAnsi="Garamond"/>
          <w:sz w:val="20"/>
        </w:rPr>
        <w:t>Werz O. &amp; Steinhilber D. (2006). Cannabis-derived substances and COX-2 inhibition. Journal of Pharmacology and Experimental Therapeutics, 316, 590–597.</w:t>
      </w:r>
    </w:p>
    <w:p>
      <w:pPr>
        <w:spacing w:before="40" w:after="40" w:line="300" w:lineRule="auto"/>
        <w:ind w:left="454" w:hanging="454"/>
        <w:jc w:val="both"/>
      </w:pPr>
      <w:r>
        <w:rPr>
          <w:rFonts w:ascii="Garamond" w:hAnsi="Garamond"/>
          <w:sz w:val="20"/>
        </w:rPr>
        <w:t>Zgair A. et al. (2017). Oral administration of cannabis with lipids leads to high levels of cannabinoids in the intestinal lymphatic system. Scientific Reports, 7, 14542.</w:t>
      </w:r>
    </w:p>
    <w:p>
      <w:pPr>
        <w:spacing w:before="40" w:after="40" w:line="300" w:lineRule="auto"/>
        <w:ind w:left="454" w:hanging="454"/>
        <w:jc w:val="both"/>
      </w:pPr>
      <w:r>
        <w:rPr>
          <w:rFonts w:ascii="Garamond" w:hAnsi="Garamond"/>
          <w:sz w:val="20"/>
        </w:rPr>
        <w:t>Zuardi A.W. et al. (2012). Cannabidiol for the treatment of psychosis in Parkinson's disease. Journal of Psychopharmacology, 26, 408–413.</w:t>
      </w:r>
    </w:p>
    <w:p>
      <w:pPr>
        <w:pStyle w:val="Heading1"/>
      </w:pPr>
      <w:r>
        <w:t>LEXIQUE ET ABRÉVIATIONS</w:t>
      </w:r>
    </w:p>
    <w:tbl>
      <w:tblPr>
        <w:tblW w:type="auto" w:w="0"/>
        <w:jc w:val="center"/>
        <w:tblLayout w:type="fixed"/>
        <w:tblLook w:firstColumn="1" w:firstRow="1" w:lastColumn="0" w:lastRow="0" w:noHBand="0" w:noVBand="1" w:val="04A0"/>
      </w:tblPr>
      <w:tblGrid>
        <w:gridCol w:w="2880"/>
        <w:gridCol w:w="2880"/>
        <w:gridCol w:w="2880"/>
      </w:tblGrid>
      <w:tr>
        <w:tc>
          <w:tcPr>
            <w:tcW w:type="dxa" w:w="1531"/>
            <w:tcBorders>
              <w:top w:val="nil"/>
              <w:left w:val="nil"/>
              <w:bottom w:val="single" w:sz="8" w:color="2E6B8A"/>
              <w:right w:val="nil"/>
            </w:tcBorders>
            <w:shd w:fill="E8F4F0" w:val="clear" w:color="auto"/>
            <w:vAlign w:val="center"/>
          </w:tcPr>
          <w:p>
            <w:r/>
            <w:r>
              <w:rPr>
                <w:rFonts w:ascii="Arial" w:hAnsi="Arial"/>
                <w:b/>
                <w:color w:val="1A2E3B"/>
                <w:sz w:val="19"/>
              </w:rPr>
              <w:t>Abréviation</w:t>
            </w:r>
          </w:p>
        </w:tc>
        <w:tc>
          <w:tcPr>
            <w:tcW w:type="dxa" w:w="2721"/>
            <w:tcBorders>
              <w:top w:val="nil"/>
              <w:left w:val="nil"/>
              <w:bottom w:val="single" w:sz="8" w:color="2E6B8A"/>
              <w:right w:val="nil"/>
            </w:tcBorders>
            <w:shd w:fill="E8F4F0" w:val="clear" w:color="auto"/>
            <w:vAlign w:val="center"/>
          </w:tcPr>
          <w:p>
            <w:r/>
            <w:r>
              <w:rPr>
                <w:rFonts w:ascii="Arial" w:hAnsi="Arial"/>
                <w:b/>
                <w:color w:val="1A2E3B"/>
                <w:sz w:val="19"/>
              </w:rPr>
              <w:t>Signification</w:t>
            </w:r>
          </w:p>
        </w:tc>
        <w:tc>
          <w:tcPr>
            <w:tcW w:type="dxa" w:w="2835"/>
            <w:tcBorders>
              <w:top w:val="nil"/>
              <w:left w:val="nil"/>
              <w:bottom w:val="single" w:sz="8" w:color="2E6B8A"/>
              <w:right w:val="nil"/>
            </w:tcBorders>
            <w:shd w:fill="E8F4F0" w:val="clear" w:color="auto"/>
            <w:vAlign w:val="center"/>
          </w:tcPr>
          <w:p>
            <w:r/>
            <w:r>
              <w:rPr>
                <w:rFonts w:ascii="Arial" w:hAnsi="Arial"/>
                <w:b/>
                <w:color w:val="1A2E3B"/>
                <w:sz w:val="19"/>
              </w:rPr>
              <w:t>Domaine</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2-AG</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2-Arachidonoylglycérol</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Endocannabinoïde majeur (dominant cérébral)</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ABHD6/12</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α/β Hydrolase domain 6/12</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Enzymes secondaires de dégradation du 2-AG</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AEA</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Anandamide (N-arachidonoyléthanolamine)</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Premier endocannabinoïde identifié (1992)</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AChE</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Acétylcholinestérase</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Enzyme de dégradation de l'acétylcholine</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AIA</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Acide indole-3-acétique</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Auxine végétale principale</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AP1</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APETALA1</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Gène d'initiation florale</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BHE</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Barrière hémato-encéphalique</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Neurologie</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BHO</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Butane Hash Oil</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Extraction au butane</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CB1 / CB2</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Récepteurs cannabinoïdes 1 et 2</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Pharmacologie (RCPG)</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CBC / CBCA</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Cannabichromène / Acide cannabichroménique</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Phytocannabinoïde non psychotrope</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CBD / CBDA</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Cannabidiol / Acide cannabidiolique</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Phytocannabinoïde non psychoactif majeur</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CBE</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Cannabielsöine</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Métabolite oxydatif du CBD</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CBG / CBGA</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Cannabigérol / Acide cannabigérolique</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Précurseur biosynthétique universel</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CBN / CBNA</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Cannabinol / Acide cannabinolique</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Produit de dégradation oxydative du THC</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CE</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Conductivité électrique</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Hydroponie (mS/cm)</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CMI</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Concentration minimale inhibitrice</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Microbiologie</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CO</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CONSTANS</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Gène activateur de FT</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COMT</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Catéchol-O-méthyltransférase</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Enzyme du métabolisme dopaminergique</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COX-1 / COX-2</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Cyclooxygénases 1 et 2</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Synthèse des prostaglandines</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CRC</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Color Remediation Column</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Purification au charbon actif</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CRY1, CRY2</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Cryptochromes 1, 2</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Photorécepteurs lumière bleue</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CYP450</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Cytochrome P450</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Enzymes hépatiques de métabolisme</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DAGLα/β</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Diacylglycérol lipase α/β</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Enzymes de synthèse du 2-AG</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DHO</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Dimethyl Ether Hash Oil</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Extraction au DME</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DJA</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Dose journalière admissible</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Toxicologie réglementaire</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DNBS</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Acide dinitrobenzène-sulfonique</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Modèle expérimental d'inflammation intestinale</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DSE / DSI</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Suppression Dépolarisation-induite Excitation / Inhibition</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Plasticité synaptique</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DSM-5</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Manuel diagnostique et statistique des troubles mentaux, 5ᵉ éd.</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Psychiatrie</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DXP</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1-Désoxy-D-xylulose-5-phosphate</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Voie biosynthétique terpénique</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EC50</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Concentration efficace médiane</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Pharmacologie (puissance)</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Emax</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Efficacité maximale</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Pharmacologie (efficacité intrinsèque)</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EHO</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Ethanol Hash Oil</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Extraction à l'éthanol</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FAAH</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Fatty Acid Amide Hydrolase</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Enzyme de dégradation de l'AEA</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FAD</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Flavine adénine dinucléotide</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Cofacteur des oxydocyclases cannabinoïdiques</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FDA</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Food and Drug Administration</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Agence réglementaire américaine</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FT</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FLOWERING LOCUS T</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Gène florigène</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GABA / GABA-A</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Acide γ-aminobutyrique / récepteur ionotropique</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Neurotransmission inhibitrice</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GC-MS</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Chromatographie gazeuse — spectrométrie de masse</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Méthode analytique terpènes</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GIRK</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G-protein-coupled Inwardly Rectifying K⁺ channel</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Canal potassique du SEC</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GOT</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Géranylpyrophosphate-olivétolate-géranyl transférase</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Enzyme biosynthèse CBGA</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GPP</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Géranyl pyrophosphate</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Précurseur terpenoïdal C10</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GRAS</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Generally Recognized As Safe</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Statut FDA</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HAP</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Hydrocarbures aromatiques polycycliques</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Carcinogènes de combustion</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HCFSE</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High Cannabinoid Full Spectrum Extract</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Concentré riche en cannabinoïdes</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HPLC</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Chromatographie liquide haute performance</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Méthode analytique cannabinoïdes</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HR</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Humidité relative</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Conservation</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HTFSE</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High Terpene Full Spectrum Extract</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Concentré riche en terpènes</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ICH Q2(R1)</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Validation des procédures analytiques (norme)</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Pharmacie</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IL-6, IL-10</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Interleukines 6, 10</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Cytokines inflammatoires / anti-inflammatoires</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INR</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International Normalized Ratio</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Surveillance anticoagulation</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IPP</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Isopentényl pyrophosphate</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Unité isoprène activée</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JECFA</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Joint FAO/WHO Expert Committee on Food Additives</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Sécurité alimentaire</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Ki</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Constante d'inhibition</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Affinité ligand-récepteur (nM)</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LC-MS/MS</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Chromatographie liquide — spectrométrie de masse en tandem</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Analyse en traces</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LD50</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Dose létale médiane</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Toxicologie aiguë (mg/kg)</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LFY</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LEAFY</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Gène d'initiation florale</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LIE</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Limite inférieure d'explosivité</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Sécurité (% v/v dans l'air)</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LOD / LOQ</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Limite de détection / quantification</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Validation analytique</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LOX-5</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5-Lipoxygénase</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Enzyme inflammatoire (leucotriènes)</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LTP / LTD</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Long-Term Potentiation / Depression</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Plasticité synaptique mnésique</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MAGL</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Monoacylglycérol lipase</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Enzyme de dégradation du 2-AG</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MEP</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Méthylérythritol-4-phosphate</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Voie biosynthétique plastidiale</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MICI</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Maladies inflammatoires chroniques intestinales</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Crohn, RCH</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MRSA</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Methicillin-Resistant Staphylococcus aureus</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Pathogène multirésistant</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MVA</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Mévalonate</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Voie biosynthétique cytoplasmique terpénique</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NAPE-PLD</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N-acyl-phosphatidyléthanolamine phospholipase D</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Enzyme de synthèse de l'AEA</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NESARC</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National Epidemiological Survey on Alcohol and Related Conditions</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Étude épidémiologique US</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NF-κB</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Nuclear Factor kappa-B</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Facteur de transcription pro-inflammatoire</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NIRS</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Spectrométrie proche infrarouge</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Analyse non destructive</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NMDA</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N-méthyl-D-aspartate</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Récepteur glutamatergique ionotropique</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NMR / RMN</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Résonance magnétique nucléaire</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Élucidation structurale</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NTS</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Noyau Tractus Solitaire</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Régulateur central du baroréflexe</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OAC</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Olivetolic Acid Cyclase</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Enzyme cyclisant l'OLA</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OLA</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Acide olivétolique</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Précurseur polyacétate (C12)</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PAL</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Phénylalanine ammoniac-lyase</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Enzyme voie phénylpropanoïde</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PHO</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Propane Hash Oil</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Extraction au propane</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PMID</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PubMed Identifier</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Identifiant base bibliographique</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PPARα / γ</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Peroxisome Proliferator-Activated Receptors α/γ</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Récepteurs nucléaires métaboliques</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PPFD</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Photosynthetic Photon Flux Density</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Éclairement photosynthétique (µmol/m²/s)</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PT4</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Prényltransférase 4</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Enzyme couplage GPP-OLA</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RCPG</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Récepteurs Couplés aux Protéines G</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Famille de récepteurs membranaires</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REM</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Rapid Eye Movement</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Sommeil paradoxal</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ROA</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Route Of Administration</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Voie d'administration</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ROS / RNS</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Espèces réactives de l'oxygène / l'azote</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Stress oxydatif</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RSO</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Rick Simpson Oil</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Extrait éthanolique spectre complet</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SCF / SFE</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Supercritical CO₂ Fluid Extraction</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Extraction CO₂ supercritique</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SEC</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Système endocannabinoïde</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Système de signalisation lipidique endogène</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SNC</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Système nerveux central</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Cerveau + moelle épinière</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SRM</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Selected Reaction Monitoring</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Mode LC-MS/MS quantitatif ciblé</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SSR</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Simple Sequence Repeats (microsatellites)</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Marqueurs génétiques</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THC</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Δ⁹-Tétrahydrocannabinol</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Principal phytocannabinoïde psychoactif</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THCA</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Acide tétrahydrocannabinolique</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Forme acide précurseur du THC</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THCV</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Tétrahydrocannabivarine</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Homologue propyle du THC</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TKS</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Tétracétide synthase</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Enzyme biosynthèse OLA</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TM1–TM7</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Hélices transmembranaires 1 à 7</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Structure des RCPG</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TNF-α</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Tumor Necrosis Factor alpha</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Cytokine pro-inflammatoire</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TRP / TRPV / TRPA</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Transient Receptor Potential / Vanilloid / Ankyrin</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Canaux ioniques nociception</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TSNA</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Tobacco-Specific Nitrosamines</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Carcinogènes du tabac</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TUC</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Trouble d'Utilisation du Cannabis</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Entité diagnostique DSM-5</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USP</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United States Pharmacopeia</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Pharmacopée américaine</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UVR8</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UV-B Resistance Locus 8</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Facteur de transcription UV-B</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UV-A / UV-B</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Ultraviolets A (315–400 nm) / B (280–315 nm)</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Rayonnement solaire</w:t>
            </w:r>
          </w:p>
        </w:tc>
      </w:tr>
      <w:tr>
        <w:tc>
          <w:tcPr>
            <w:tcW w:type="dxa" w:w="153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Vd</w:t>
            </w:r>
          </w:p>
        </w:tc>
        <w:tc>
          <w:tcPr>
            <w:tcW w:type="dxa" w:w="2721"/>
            <w:tcBorders>
              <w:top w:val="single" w:sz="4" w:color="B0CEC8"/>
              <w:left w:val="nil"/>
              <w:bottom w:val="single" w:sz="4" w:color="B0CEC8"/>
              <w:right w:val="nil"/>
            </w:tcBorders>
            <w:shd w:fill="FFFFFF" w:val="clear" w:color="auto"/>
            <w:vAlign w:val="center"/>
          </w:tcPr>
          <w:p>
            <w:pPr>
              <w:jc w:val="left"/>
            </w:pPr>
            <w:r/>
            <w:r>
              <w:rPr>
                <w:rFonts w:ascii="Garamond" w:hAnsi="Garamond"/>
                <w:sz w:val="19"/>
              </w:rPr>
              <w:t>Volume de distribution</w:t>
            </w:r>
          </w:p>
        </w:tc>
        <w:tc>
          <w:tcPr>
            <w:tcW w:type="dxa" w:w="2835"/>
            <w:tcBorders>
              <w:top w:val="single" w:sz="4" w:color="B0CEC8"/>
              <w:left w:val="nil"/>
              <w:bottom w:val="single" w:sz="4" w:color="B0CEC8"/>
              <w:right w:val="nil"/>
            </w:tcBorders>
            <w:shd w:fill="FFFFFF" w:val="clear" w:color="auto"/>
            <w:vAlign w:val="center"/>
          </w:tcPr>
          <w:p>
            <w:pPr>
              <w:jc w:val="left"/>
            </w:pPr>
            <w:r/>
            <w:r>
              <w:rPr>
                <w:rFonts w:ascii="Garamond" w:hAnsi="Garamond"/>
                <w:sz w:val="19"/>
              </w:rPr>
              <w:t>Pharmacocinétique (L/kg)</w:t>
            </w:r>
          </w:p>
        </w:tc>
      </w:tr>
      <w:tr>
        <w:tc>
          <w:tcPr>
            <w:tcW w:type="dxa" w:w="153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VEMS</w:t>
            </w:r>
          </w:p>
        </w:tc>
        <w:tc>
          <w:tcPr>
            <w:tcW w:type="dxa" w:w="2721"/>
            <w:tcBorders>
              <w:top w:val="single" w:sz="4" w:color="B0CEC8"/>
              <w:left w:val="nil"/>
              <w:bottom w:val="single" w:sz="4" w:color="B0CEC8"/>
              <w:right w:val="nil"/>
            </w:tcBorders>
            <w:shd w:fill="F5FAFA" w:val="clear" w:color="auto"/>
            <w:vAlign w:val="center"/>
          </w:tcPr>
          <w:p>
            <w:pPr>
              <w:jc w:val="left"/>
            </w:pPr>
            <w:r/>
            <w:r>
              <w:rPr>
                <w:rFonts w:ascii="Garamond" w:hAnsi="Garamond"/>
                <w:sz w:val="19"/>
              </w:rPr>
              <w:t>Volume expiratoire maximal seconde</w:t>
            </w:r>
          </w:p>
        </w:tc>
        <w:tc>
          <w:tcPr>
            <w:tcW w:type="dxa" w:w="2835"/>
            <w:tcBorders>
              <w:top w:val="single" w:sz="4" w:color="B0CEC8"/>
              <w:left w:val="nil"/>
              <w:bottom w:val="single" w:sz="4" w:color="B0CEC8"/>
              <w:right w:val="nil"/>
            </w:tcBorders>
            <w:shd w:fill="F5FAFA" w:val="clear" w:color="auto"/>
            <w:vAlign w:val="center"/>
          </w:tcPr>
          <w:p>
            <w:pPr>
              <w:jc w:val="left"/>
            </w:pPr>
            <w:r/>
            <w:r>
              <w:rPr>
                <w:rFonts w:ascii="Garamond" w:hAnsi="Garamond"/>
                <w:sz w:val="19"/>
              </w:rPr>
              <w:t>Exploration fonctionnelle respiratoire</w:t>
            </w:r>
          </w:p>
        </w:tc>
      </w:tr>
    </w:tbl>
    <w:p>
      <w:pPr>
        <w:spacing w:before="0" w:after="80"/>
      </w:pPr>
    </w:p>
    <w:p>
      <w:pPr>
        <w:spacing w:before="60" w:after="240"/>
        <w:jc w:val="center"/>
      </w:pPr>
      <w:r>
        <w:rPr>
          <w:rFonts w:ascii="Arial" w:hAnsi="Arial"/>
          <w:i/>
          <w:color w:val="5A5A5A"/>
          <w:sz w:val="18"/>
        </w:rPr>
        <w:t>Tableau du lexique — Abréviations utilisées dans le présent mémoire avec leur signification développée et leur domaine d'application.</w:t>
      </w:r>
    </w:p>
    <w:sectPr w:rsidR="00FC693F" w:rsidRPr="0006063C" w:rsidSect="00034616">
      <w:headerReference w:type="default" r:id="rId9"/>
      <w:footerReference w:type="default" r:id="rId10"/>
      <w:pgSz w:w="12240" w:h="15840"/>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B0CEC8"/>
      </w:pBdr>
      <w:jc w:val="center"/>
    </w:pPr>
    <w:r>
      <w:rPr>
        <w:rFonts w:ascii="Garamond" w:hAnsi="Garamond"/>
        <w:color w:val="5A5A5A"/>
        <w:sz w:val="18"/>
      </w:rPr>
      <w:t xml:space="preserve">Phytochimie du Cannabis sativa — Partie II    </w:t>
    </w:r>
    <w:r>
      <w:rPr>
        <w:rFonts w:ascii="Arial" w:hAnsi="Arial"/>
        <w:b/>
        <w:color w:val="2E6B8A"/>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B0CEC8"/>
      </w:pBdr>
      <w:jc w:val="right"/>
    </w:pPr>
    <w:r>
      <w:rPr>
        <w:rFonts w:ascii="Arial" w:hAnsi="Arial"/>
        <w:color w:val="5A5A5A"/>
        <w:sz w:val="18"/>
      </w:rPr>
      <w:t>De 420 à 710  |  M.R. (2023–2025)  |  Partie 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jc w:val="both"/>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560" w:after="280"/>
      <w:outlineLvl w:val="0"/>
    </w:pPr>
    <w:rPr>
      <w:rFonts w:asciiTheme="majorHAnsi" w:eastAsiaTheme="majorEastAsia" w:hAnsiTheme="majorHAnsi" w:cstheme="majorBidi" w:ascii="Arial" w:hAnsi="Arial"/>
      <w:b/>
      <w:bCs/>
      <w:color w:val="1A2E3B"/>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2E6B8A"/>
      <w:sz w:val="30"/>
      <w:szCs w:val="26"/>
    </w:rPr>
  </w:style>
  <w:style w:type="paragraph" w:styleId="Heading3">
    <w:name w:val="heading 3"/>
    <w:basedOn w:val="Normal"/>
    <w:next w:val="Normal"/>
    <w:link w:val="Heading3Char"/>
    <w:uiPriority w:val="9"/>
    <w:unhideWhenUsed/>
    <w:qFormat/>
    <w:rsid w:val="00FC693F"/>
    <w:pPr>
      <w:keepNext/>
      <w:keepLines/>
      <w:spacing w:before="280" w:after="100"/>
      <w:outlineLvl w:val="2"/>
    </w:pPr>
    <w:rPr>
      <w:rFonts w:asciiTheme="majorHAnsi" w:eastAsiaTheme="majorEastAsia" w:hAnsiTheme="majorHAnsi" w:cstheme="majorBidi" w:ascii="Arial" w:hAnsi="Arial"/>
      <w:b/>
      <w:bCs/>
      <w:i/>
      <w:color w:val="3A8F6F"/>
      <w:sz w:val="25"/>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Arial" w:hAnsi="Arial"/>
      <w:b/>
      <w:bCs/>
      <w:i/>
      <w:iCs/>
      <w:color w:val="5A5A5A"/>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
  <dcterms:created xsi:type="dcterms:W3CDTF">2013-12-23T23:15:00Z</dcterms:created>
  <dcterms:modified xsi:type="dcterms:W3CDTF">2013-12-23T23:15:00Z</dcterms:modified>
  <cp:category/>
</cp:coreProperties>
</file>