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7BB0" w14:textId="24858C1C" w:rsidR="00B31E92" w:rsidRPr="00B31E92" w:rsidRDefault="00B31E92" w:rsidP="00B31E92">
      <w:pPr>
        <w:rPr>
          <w:lang w:val="en-GB"/>
        </w:rPr>
      </w:pPr>
      <w:r w:rsidRPr="00B31E92">
        <w:rPr>
          <w:lang w:val="en-GB"/>
        </w:rPr>
        <w:t xml:space="preserve">Fluorometer-based nucleic acid quantification is a commonly used method in molecular biology and biotechnology laboratories for measuring the concentration of DNA, RNA, or other nucleic acids in a sample. </w:t>
      </w:r>
    </w:p>
    <w:p w14:paraId="46E2C88F" w14:textId="77777777" w:rsidR="00B31E92" w:rsidRDefault="00B31E92" w:rsidP="00B31E92">
      <w:pPr>
        <w:rPr>
          <w:lang w:val="en-GB"/>
        </w:rPr>
      </w:pPr>
    </w:p>
    <w:p w14:paraId="2CCDC5ED" w14:textId="18B25D41" w:rsidR="00284FB3" w:rsidRDefault="00B31E92" w:rsidP="00B31E92">
      <w:pPr>
        <w:rPr>
          <w:lang w:val="en-GB"/>
        </w:rPr>
      </w:pPr>
      <w:r w:rsidRPr="00B31E92">
        <w:rPr>
          <w:b/>
          <w:bCs/>
          <w:lang w:val="en-GB"/>
        </w:rPr>
        <w:t>Principle:</w:t>
      </w:r>
      <w:r w:rsidRPr="00B31E92">
        <w:rPr>
          <w:lang w:val="en-GB"/>
        </w:rPr>
        <w:t xml:space="preserve"> </w:t>
      </w:r>
      <w:r w:rsidR="00284FB3" w:rsidRPr="00284FB3">
        <w:rPr>
          <w:lang w:val="en-GB"/>
        </w:rPr>
        <w:t>Fluorometer-based nucleic acid quantification works by mixing a sample containing DNA or RNA with a fluorescent dye that specifically binds to nucleic acids. When excited by light of a specific wavelength, the dye emits fluorescence, and its intensity is directly proportional to the concentration of nucleic acids in the sample. A fluorometer detects this fluorescence and calculates the nucleic acid concentration. It's a rapid and sensitive method used widely in molecular biology research and diagnostics.</w:t>
      </w:r>
    </w:p>
    <w:p w14:paraId="2513159A" w14:textId="77777777" w:rsidR="00B31E92" w:rsidRDefault="00B31E92" w:rsidP="00B31E92">
      <w:pPr>
        <w:rPr>
          <w:lang w:val="en-GB"/>
        </w:rPr>
      </w:pPr>
    </w:p>
    <w:p w14:paraId="7F61503F" w14:textId="332D7F56" w:rsidR="00B31E92" w:rsidRDefault="00B31E92" w:rsidP="00B31E92">
      <w:pPr>
        <w:rPr>
          <w:lang w:val="en-GB"/>
        </w:rPr>
      </w:pPr>
      <w:r w:rsidRPr="00B31E92">
        <w:rPr>
          <w:b/>
          <w:bCs/>
          <w:lang w:val="en-GB"/>
        </w:rPr>
        <w:t>Examples of Fluorometers:</w:t>
      </w:r>
      <w:r>
        <w:rPr>
          <w:lang w:val="en-GB"/>
        </w:rPr>
        <w:t xml:space="preserve"> </w:t>
      </w:r>
      <w:proofErr w:type="spellStart"/>
      <w:r w:rsidRPr="00B31E92">
        <w:rPr>
          <w:lang w:val="en-GB"/>
        </w:rPr>
        <w:t>Quantus</w:t>
      </w:r>
      <w:proofErr w:type="spellEnd"/>
      <w:r w:rsidRPr="00B31E92">
        <w:rPr>
          <w:lang w:val="en-GB"/>
        </w:rPr>
        <w:t>™ Fluorometer</w:t>
      </w:r>
      <w:r>
        <w:rPr>
          <w:lang w:val="en-GB"/>
        </w:rPr>
        <w:t xml:space="preserve"> (Promega); Qubit Fluorometer (</w:t>
      </w:r>
      <w:proofErr w:type="spellStart"/>
      <w:r>
        <w:rPr>
          <w:lang w:val="en-GB"/>
        </w:rPr>
        <w:t>Thermo</w:t>
      </w:r>
      <w:proofErr w:type="spellEnd"/>
      <w:r>
        <w:rPr>
          <w:lang w:val="en-GB"/>
        </w:rPr>
        <w:t xml:space="preserve"> Fisher Scientific)</w:t>
      </w:r>
      <w:r w:rsidR="001E7D4F">
        <w:rPr>
          <w:lang w:val="en-GB"/>
        </w:rPr>
        <w:t xml:space="preserve"> [tube or multi-tube readers]. </w:t>
      </w:r>
      <w:r w:rsidR="001E7D4F" w:rsidRPr="001E7D4F">
        <w:rPr>
          <w:lang w:val="en-GB"/>
        </w:rPr>
        <w:t xml:space="preserve">Promega </w:t>
      </w:r>
      <w:proofErr w:type="spellStart"/>
      <w:r w:rsidR="001E7D4F" w:rsidRPr="001E7D4F">
        <w:rPr>
          <w:lang w:val="en-GB"/>
        </w:rPr>
        <w:t>GloMax</w:t>
      </w:r>
      <w:proofErr w:type="spellEnd"/>
      <w:r w:rsidR="001E7D4F">
        <w:rPr>
          <w:lang w:val="en-GB"/>
        </w:rPr>
        <w:t xml:space="preserve">; </w:t>
      </w:r>
      <w:r w:rsidR="001E7D4F" w:rsidRPr="001E7D4F">
        <w:rPr>
          <w:lang w:val="en-GB"/>
        </w:rPr>
        <w:t>Tecan Infinite Series</w:t>
      </w:r>
      <w:r w:rsidR="001E7D4F">
        <w:rPr>
          <w:lang w:val="en-GB"/>
        </w:rPr>
        <w:t xml:space="preserve"> [plate readers] etc</w:t>
      </w:r>
    </w:p>
    <w:p w14:paraId="590B5F22" w14:textId="77777777" w:rsidR="00B31E92" w:rsidRPr="00B31E92" w:rsidRDefault="00B31E92" w:rsidP="00B31E92">
      <w:pPr>
        <w:rPr>
          <w:lang w:val="en-GB"/>
        </w:rPr>
      </w:pPr>
    </w:p>
    <w:p w14:paraId="244D884D" w14:textId="50844EAE" w:rsidR="00B31E92" w:rsidRPr="00B31E92" w:rsidRDefault="00B31E92" w:rsidP="00B31E92">
      <w:pPr>
        <w:rPr>
          <w:lang w:val="en-GB"/>
        </w:rPr>
      </w:pPr>
      <w:r w:rsidRPr="00B31E92">
        <w:rPr>
          <w:b/>
          <w:bCs/>
          <w:lang w:val="en-GB"/>
        </w:rPr>
        <w:t>Specificity:</w:t>
      </w:r>
      <w:r w:rsidRPr="00B31E92">
        <w:rPr>
          <w:lang w:val="en-GB"/>
        </w:rPr>
        <w:t xml:space="preserve"> Different fluorometric assays use specific dyes that bind to nucleic acids, such as SYBR Green, </w:t>
      </w:r>
      <w:proofErr w:type="spellStart"/>
      <w:r w:rsidRPr="00B31E92">
        <w:rPr>
          <w:lang w:val="en-GB"/>
        </w:rPr>
        <w:t>PicoGreen</w:t>
      </w:r>
      <w:proofErr w:type="spellEnd"/>
      <w:r w:rsidRPr="00B31E92">
        <w:rPr>
          <w:lang w:val="en-GB"/>
        </w:rPr>
        <w:t>, or Hoechst dyes. These dyes are chosen based on their specificity for DNA or RNA and their ability to emit fluorescence upon binding.</w:t>
      </w:r>
      <w:r w:rsidR="00C960D7">
        <w:rPr>
          <w:lang w:val="en-GB"/>
        </w:rPr>
        <w:t xml:space="preserve"> </w:t>
      </w:r>
      <w:r w:rsidR="00284FB3" w:rsidRPr="00284FB3">
        <w:rPr>
          <w:lang w:val="en-GB"/>
        </w:rPr>
        <w:t>Fluorometers are generally less susceptible to interference, as the specific binding of fluorophores to nucleic acids minimizes the impact of contaminants.</w:t>
      </w:r>
      <w:r w:rsidR="00284FB3">
        <w:rPr>
          <w:lang w:val="en-GB"/>
        </w:rPr>
        <w:t xml:space="preserve"> </w:t>
      </w:r>
      <w:r w:rsidR="00C960D7">
        <w:rPr>
          <w:lang w:val="en-GB"/>
        </w:rPr>
        <w:t>This makes them more accurate than nanodrop for targeted quantification of specific nucleic acids.</w:t>
      </w:r>
      <w:r w:rsidR="00284FB3" w:rsidRPr="00284FB3">
        <w:t xml:space="preserve"> </w:t>
      </w:r>
    </w:p>
    <w:p w14:paraId="4D72A97E" w14:textId="77777777" w:rsidR="00B31E92" w:rsidRPr="00B31E92" w:rsidRDefault="00B31E92" w:rsidP="00B31E92">
      <w:pPr>
        <w:rPr>
          <w:lang w:val="en-GB"/>
        </w:rPr>
      </w:pPr>
    </w:p>
    <w:p w14:paraId="42DD3777" w14:textId="791648CE" w:rsidR="00B31E92" w:rsidRPr="00B31E92" w:rsidRDefault="00B31E92" w:rsidP="00B31E92">
      <w:pPr>
        <w:rPr>
          <w:lang w:val="en-GB"/>
        </w:rPr>
      </w:pPr>
      <w:r w:rsidRPr="00B31E92">
        <w:rPr>
          <w:b/>
          <w:bCs/>
          <w:lang w:val="en-GB"/>
        </w:rPr>
        <w:t>Sensitivity:</w:t>
      </w:r>
      <w:r w:rsidRPr="00B31E92">
        <w:rPr>
          <w:lang w:val="en-GB"/>
        </w:rPr>
        <w:t xml:space="preserve"> Fluorometric assays offer high sensitivity, allowing the detection of low concentrations of nucleic acids in samples. This makes them suitable for applications where accurate quantification of nucleic acids is required, such as PCR, qPCR, sequencing, and cloning.</w:t>
      </w:r>
      <w:r w:rsidR="00C960D7">
        <w:rPr>
          <w:lang w:val="en-GB"/>
        </w:rPr>
        <w:t xml:space="preserve"> </w:t>
      </w:r>
    </w:p>
    <w:p w14:paraId="3BA5B143" w14:textId="77777777" w:rsidR="00B31E92" w:rsidRPr="00B31E92" w:rsidRDefault="00B31E92" w:rsidP="00B31E92">
      <w:pPr>
        <w:rPr>
          <w:lang w:val="en-GB"/>
        </w:rPr>
      </w:pPr>
    </w:p>
    <w:p w14:paraId="5E8E39CB" w14:textId="5EA59909" w:rsidR="00B31E92" w:rsidRPr="00B31E92" w:rsidRDefault="00B31E92" w:rsidP="00B31E92">
      <w:pPr>
        <w:rPr>
          <w:lang w:val="en-GB"/>
        </w:rPr>
      </w:pPr>
      <w:r w:rsidRPr="00B31E92">
        <w:rPr>
          <w:b/>
          <w:bCs/>
          <w:lang w:val="en-GB"/>
        </w:rPr>
        <w:t>Dynamic Range:</w:t>
      </w:r>
      <w:r w:rsidRPr="00B31E92">
        <w:rPr>
          <w:lang w:val="en-GB"/>
        </w:rPr>
        <w:t xml:space="preserve"> Fluorometer-based assays typically have a wide dynamic range, allowing for the quantification of nucleic acids across a broad concentration range. This enables the measurement of both high and low concentrations of nucleic acids in a single assay.</w:t>
      </w:r>
      <w:r w:rsidR="00C960D7">
        <w:rPr>
          <w:lang w:val="en-GB"/>
        </w:rPr>
        <w:t xml:space="preserve"> For example, the Qubit machine has both high sensitivity and broad range dsDNA dyes. </w:t>
      </w:r>
    </w:p>
    <w:p w14:paraId="114C1483" w14:textId="77777777" w:rsidR="00B31E92" w:rsidRPr="00B31E92" w:rsidRDefault="00B31E92" w:rsidP="00B31E92">
      <w:pPr>
        <w:rPr>
          <w:lang w:val="en-GB"/>
        </w:rPr>
      </w:pPr>
    </w:p>
    <w:p w14:paraId="2EBBB16B" w14:textId="570EF9CD" w:rsidR="00B31E92" w:rsidRPr="00B31E92" w:rsidRDefault="00B31E92" w:rsidP="00B31E92">
      <w:pPr>
        <w:rPr>
          <w:lang w:val="en-GB"/>
        </w:rPr>
      </w:pPr>
      <w:r w:rsidRPr="00B31E92">
        <w:rPr>
          <w:b/>
          <w:bCs/>
          <w:lang w:val="en-GB"/>
        </w:rPr>
        <w:t>Accuracy and Precision:</w:t>
      </w:r>
      <w:r w:rsidRPr="00B31E92">
        <w:rPr>
          <w:lang w:val="en-GB"/>
        </w:rPr>
        <w:t xml:space="preserve"> Proper calibration and optimization of fluorometer settings are essential to ensure accurate and precise quantification of nucleic acids. Standard curves generated using known concentrations of DNA or RNA standards </w:t>
      </w:r>
      <w:r w:rsidR="0082490D">
        <w:rPr>
          <w:lang w:val="en-GB"/>
        </w:rPr>
        <w:t>are used to</w:t>
      </w:r>
      <w:r w:rsidRPr="00B31E92">
        <w:rPr>
          <w:lang w:val="en-GB"/>
        </w:rPr>
        <w:t xml:space="preserve"> calibrate the fluorometer and establish the linear range of detection.</w:t>
      </w:r>
    </w:p>
    <w:p w14:paraId="719228D0" w14:textId="77777777" w:rsidR="00B31E92" w:rsidRPr="00B31E92" w:rsidRDefault="00B31E92" w:rsidP="00B31E92">
      <w:pPr>
        <w:rPr>
          <w:lang w:val="en-GB"/>
        </w:rPr>
      </w:pPr>
    </w:p>
    <w:p w14:paraId="0F34B6B1" w14:textId="4B8AD910" w:rsidR="00B31E92" w:rsidRPr="00B31E92" w:rsidRDefault="00B31E92" w:rsidP="00B31E92">
      <w:pPr>
        <w:rPr>
          <w:lang w:val="en-GB"/>
        </w:rPr>
      </w:pPr>
      <w:r w:rsidRPr="00B31E92">
        <w:rPr>
          <w:b/>
          <w:bCs/>
          <w:lang w:val="en-GB"/>
        </w:rPr>
        <w:t>Sample Handling:</w:t>
      </w:r>
      <w:r w:rsidRPr="00B31E92">
        <w:rPr>
          <w:lang w:val="en-GB"/>
        </w:rPr>
        <w:t xml:space="preserve"> Careful sample handling and preparation are critical for accurate nucleic acid quantification. </w:t>
      </w:r>
      <w:r w:rsidR="001E7D4F">
        <w:rPr>
          <w:lang w:val="en-GB"/>
        </w:rPr>
        <w:t xml:space="preserve">It is important to take care when pipetting volumes (usually working with small volumes, a few </w:t>
      </w:r>
      <w:proofErr w:type="spellStart"/>
      <w:r w:rsidR="001E7D4F">
        <w:rPr>
          <w:lang w:val="en-GB"/>
        </w:rPr>
        <w:t>uLs</w:t>
      </w:r>
      <w:proofErr w:type="spellEnd"/>
      <w:r w:rsidR="001E7D4F">
        <w:rPr>
          <w:lang w:val="en-GB"/>
        </w:rPr>
        <w:t>)</w:t>
      </w:r>
      <w:r w:rsidR="00C960D7">
        <w:rPr>
          <w:lang w:val="en-GB"/>
        </w:rPr>
        <w:t xml:space="preserve"> for quantification. Sloppy pipetting will result in inaccurate quantification.</w:t>
      </w:r>
      <w:r w:rsidR="001E7D4F">
        <w:rPr>
          <w:lang w:val="en-GB"/>
        </w:rPr>
        <w:t xml:space="preserve"> </w:t>
      </w:r>
    </w:p>
    <w:p w14:paraId="745152D4" w14:textId="77777777" w:rsidR="00B31E92" w:rsidRPr="00B31E92" w:rsidRDefault="00B31E92" w:rsidP="00B31E92">
      <w:pPr>
        <w:rPr>
          <w:lang w:val="en-GB"/>
        </w:rPr>
      </w:pPr>
    </w:p>
    <w:p w14:paraId="6EE3877F" w14:textId="124FFBEC" w:rsidR="00B31E92" w:rsidRPr="00B31E92" w:rsidRDefault="00B31E92" w:rsidP="00B31E92">
      <w:pPr>
        <w:rPr>
          <w:lang w:val="en-GB"/>
        </w:rPr>
      </w:pPr>
      <w:r w:rsidRPr="00B31E92">
        <w:rPr>
          <w:b/>
          <w:bCs/>
          <w:lang w:val="en-GB"/>
        </w:rPr>
        <w:t>Quality Control:</w:t>
      </w:r>
      <w:r w:rsidRPr="00B31E92">
        <w:rPr>
          <w:lang w:val="en-GB"/>
        </w:rPr>
        <w:t xml:space="preserve"> </w:t>
      </w:r>
      <w:r w:rsidR="00C960D7" w:rsidRPr="00C960D7">
        <w:rPr>
          <w:lang w:val="en-GB"/>
        </w:rPr>
        <w:t xml:space="preserve">While fluorometers provide accurate measurements of nucleic acid concentration, they do not directly assess the quality or purity of the nucleic acid sample. </w:t>
      </w:r>
      <w:r w:rsidR="00C960D7">
        <w:rPr>
          <w:lang w:val="en-GB"/>
        </w:rPr>
        <w:t>This must be done by other methods such as</w:t>
      </w:r>
      <w:r w:rsidRPr="00B31E92">
        <w:rPr>
          <w:lang w:val="en-GB"/>
        </w:rPr>
        <w:t xml:space="preserve"> spectrophotometry</w:t>
      </w:r>
      <w:r w:rsidR="00C960D7">
        <w:rPr>
          <w:lang w:val="en-GB"/>
        </w:rPr>
        <w:t xml:space="preserve"> (e.g. nanodrop)</w:t>
      </w:r>
      <w:r w:rsidRPr="00B31E92">
        <w:rPr>
          <w:lang w:val="en-GB"/>
        </w:rPr>
        <w:t xml:space="preserve"> or gel electrophoresis</w:t>
      </w:r>
      <w:r w:rsidR="00C960D7">
        <w:rPr>
          <w:lang w:val="en-GB"/>
        </w:rPr>
        <w:t xml:space="preserve"> (to see the size and integrity of nucleic acid)</w:t>
      </w:r>
      <w:r w:rsidRPr="00B31E92">
        <w:rPr>
          <w:lang w:val="en-GB"/>
        </w:rPr>
        <w:t>.</w:t>
      </w:r>
    </w:p>
    <w:p w14:paraId="29D21656" w14:textId="77777777" w:rsidR="00B31E92" w:rsidRPr="00B31E92" w:rsidRDefault="00B31E92" w:rsidP="00B31E92">
      <w:pPr>
        <w:rPr>
          <w:lang w:val="en-GB"/>
        </w:rPr>
      </w:pPr>
    </w:p>
    <w:p w14:paraId="7BAFBD2D" w14:textId="77777777" w:rsidR="00B31E92" w:rsidRPr="00B31E92" w:rsidRDefault="00B31E92" w:rsidP="00B31E92">
      <w:pPr>
        <w:rPr>
          <w:lang w:val="en-GB"/>
        </w:rPr>
      </w:pPr>
      <w:r w:rsidRPr="00B31E92">
        <w:rPr>
          <w:b/>
          <w:bCs/>
          <w:lang w:val="en-GB"/>
        </w:rPr>
        <w:t>Data Interpretation:</w:t>
      </w:r>
      <w:r w:rsidRPr="00B31E92">
        <w:rPr>
          <w:lang w:val="en-GB"/>
        </w:rPr>
        <w:t xml:space="preserve"> Proper data interpretation involves understanding the limitations of fluorometric assays and considering factors that may influence the accuracy of measurements, such as sample volume, assay conditions, and instrument settings.</w:t>
      </w:r>
    </w:p>
    <w:p w14:paraId="1FF962AF" w14:textId="77777777" w:rsidR="00B31E92" w:rsidRPr="00B31E92" w:rsidRDefault="00B31E92" w:rsidP="00B31E92">
      <w:pPr>
        <w:rPr>
          <w:lang w:val="en-GB"/>
        </w:rPr>
      </w:pPr>
    </w:p>
    <w:p w14:paraId="3D4B864D" w14:textId="7F34F43B" w:rsidR="00B31E92" w:rsidRPr="00B31E92" w:rsidRDefault="00B31E92" w:rsidP="00B31E92">
      <w:pPr>
        <w:rPr>
          <w:lang w:val="en-GB"/>
        </w:rPr>
      </w:pPr>
      <w:r w:rsidRPr="00B31E92">
        <w:rPr>
          <w:b/>
          <w:bCs/>
          <w:lang w:val="en-GB"/>
        </w:rPr>
        <w:t>Normalization:</w:t>
      </w:r>
      <w:r w:rsidRPr="00B31E92">
        <w:rPr>
          <w:lang w:val="en-GB"/>
        </w:rPr>
        <w:t xml:space="preserve"> </w:t>
      </w:r>
      <w:r w:rsidR="0032305A">
        <w:rPr>
          <w:lang w:val="en-GB"/>
        </w:rPr>
        <w:t>Quantification is important is to allow for the n</w:t>
      </w:r>
      <w:r w:rsidRPr="00B31E92">
        <w:rPr>
          <w:lang w:val="en-GB"/>
        </w:rPr>
        <w:t>ormalization of nucleic acid concentrations to account for variations in sample volume, input material, or extraction efficiency</w:t>
      </w:r>
      <w:r w:rsidR="00001230">
        <w:rPr>
          <w:lang w:val="en-GB"/>
        </w:rPr>
        <w:t xml:space="preserve"> and it</w:t>
      </w:r>
      <w:r w:rsidRPr="00B31E92">
        <w:rPr>
          <w:lang w:val="en-GB"/>
        </w:rPr>
        <w:t xml:space="preserve"> is important for comparing data across different samples or experiments.</w:t>
      </w:r>
    </w:p>
    <w:p w14:paraId="156C10B1" w14:textId="77777777" w:rsidR="00B31E92" w:rsidRPr="00B31E92" w:rsidRDefault="00B31E92" w:rsidP="00B31E92">
      <w:pPr>
        <w:rPr>
          <w:lang w:val="en-GB"/>
        </w:rPr>
      </w:pPr>
    </w:p>
    <w:p w14:paraId="6DC90C2C" w14:textId="77777777" w:rsidR="00B31E92" w:rsidRPr="00B31E92" w:rsidRDefault="00B31E92" w:rsidP="00B31E92">
      <w:pPr>
        <w:rPr>
          <w:lang w:val="en-GB"/>
        </w:rPr>
      </w:pPr>
      <w:r w:rsidRPr="00B31E92">
        <w:rPr>
          <w:b/>
          <w:bCs/>
          <w:lang w:val="en-GB"/>
        </w:rPr>
        <w:t>Applications:</w:t>
      </w:r>
      <w:r w:rsidRPr="00B31E92">
        <w:rPr>
          <w:lang w:val="en-GB"/>
        </w:rPr>
        <w:t xml:space="preserve"> Fluorometer-based nucleic acid quantification is widely used in molecular biology research, diagnostics, and biotechnology applications, including gene expression analysis, nucleic acid quantification for PCR and qPCR, next-generation sequencing library preparation, and RNA interference studies.</w:t>
      </w:r>
    </w:p>
    <w:p w14:paraId="54E4E4D3" w14:textId="77777777" w:rsidR="00B31E92" w:rsidRPr="00B31E92" w:rsidRDefault="00B31E92" w:rsidP="00B31E92">
      <w:pPr>
        <w:rPr>
          <w:lang w:val="en-GB"/>
        </w:rPr>
      </w:pPr>
    </w:p>
    <w:p w14:paraId="12CC26BF" w14:textId="0DACD194" w:rsidR="00213523" w:rsidRDefault="004620A2" w:rsidP="004620A2">
      <w:r w:rsidRPr="004620A2">
        <w:rPr>
          <w:b/>
          <w:bCs/>
        </w:rPr>
        <w:t xml:space="preserve">Key differences between </w:t>
      </w:r>
      <w:r w:rsidR="007D0EC9">
        <w:rPr>
          <w:b/>
          <w:bCs/>
        </w:rPr>
        <w:t>N</w:t>
      </w:r>
      <w:r w:rsidRPr="004620A2">
        <w:rPr>
          <w:b/>
          <w:bCs/>
        </w:rPr>
        <w:t>anodrop and Fluorometer:</w:t>
      </w:r>
      <w:r>
        <w:t xml:space="preserve"> </w:t>
      </w:r>
      <w:proofErr w:type="spellStart"/>
      <w:r>
        <w:t>NanoDrop</w:t>
      </w:r>
      <w:proofErr w:type="spellEnd"/>
      <w:r>
        <w:t xml:space="preserve"> measures absorbance, while fluorometers detect fluorescence. Fluorometers offer higher specificity, wider quantification range, and lower interference sensitivity compared to </w:t>
      </w:r>
      <w:proofErr w:type="spellStart"/>
      <w:r>
        <w:t>NanoDrop</w:t>
      </w:r>
      <w:proofErr w:type="spellEnd"/>
      <w:r>
        <w:t xml:space="preserve">. </w:t>
      </w:r>
      <w:proofErr w:type="spellStart"/>
      <w:r>
        <w:t>NanoDrop</w:t>
      </w:r>
      <w:proofErr w:type="spellEnd"/>
      <w:r>
        <w:t xml:space="preserve"> requires small sample volumes, while fluorometers can accommodate larger volumes. </w:t>
      </w:r>
      <w:proofErr w:type="spellStart"/>
      <w:r>
        <w:t>NanoDrop</w:t>
      </w:r>
      <w:proofErr w:type="spellEnd"/>
      <w:r>
        <w:t xml:space="preserve"> is more affordable and versatile, while fluorometers are specialized for fluorescence-based assays.</w:t>
      </w:r>
    </w:p>
    <w:p w14:paraId="785F3935" w14:textId="77777777" w:rsidR="00767330" w:rsidRDefault="00767330" w:rsidP="004620A2"/>
    <w:p w14:paraId="60ACB277" w14:textId="72F39144" w:rsidR="00767330" w:rsidRDefault="00767330" w:rsidP="004620A2">
      <w:pPr>
        <w:rPr>
          <w:b/>
          <w:bCs/>
        </w:rPr>
      </w:pPr>
      <w:r w:rsidRPr="00767330">
        <w:rPr>
          <w:b/>
          <w:bCs/>
        </w:rPr>
        <w:t>Activity</w:t>
      </w:r>
    </w:p>
    <w:p w14:paraId="75DF4BF7" w14:textId="77777777" w:rsidR="008F5658" w:rsidRDefault="008F5658" w:rsidP="00C8757B"/>
    <w:p w14:paraId="404115E0" w14:textId="3DDB6267" w:rsidR="0047377D" w:rsidRDefault="0047377D" w:rsidP="0047377D">
      <w:pPr>
        <w:pStyle w:val="ListParagraph"/>
        <w:numPr>
          <w:ilvl w:val="0"/>
          <w:numId w:val="1"/>
        </w:numPr>
      </w:pPr>
      <w:r>
        <w:t xml:space="preserve">Each group will measure </w:t>
      </w:r>
      <w:r w:rsidR="00261484">
        <w:t>the DNA concentrations of a set of “samples”</w:t>
      </w:r>
      <w:r w:rsidR="004B3CF4">
        <w:t xml:space="preserve"> (each person should just 2 samples</w:t>
      </w:r>
      <w:r w:rsidR="00AF12BE">
        <w:t xml:space="preserve"> + negative RABV08</w:t>
      </w:r>
      <w:r w:rsidR="004B3CF4">
        <w:t xml:space="preserve"> from their set, otherwise will take too long!)</w:t>
      </w:r>
    </w:p>
    <w:p w14:paraId="25240DFA" w14:textId="76689334" w:rsidR="00261484" w:rsidRDefault="00261484" w:rsidP="00261484">
      <w:pPr>
        <w:pStyle w:val="ListParagraph"/>
        <w:numPr>
          <w:ilvl w:val="1"/>
          <w:numId w:val="1"/>
        </w:numPr>
      </w:pPr>
      <w:r>
        <w:t xml:space="preserve">Group 1: use provided </w:t>
      </w:r>
      <w:r w:rsidR="001C7392">
        <w:t xml:space="preserve">PCR </w:t>
      </w:r>
      <w:proofErr w:type="gramStart"/>
      <w:r w:rsidR="001C7392">
        <w:t>products</w:t>
      </w:r>
      <w:proofErr w:type="gramEnd"/>
    </w:p>
    <w:p w14:paraId="56A53D04" w14:textId="2740D14E" w:rsidR="001C7392" w:rsidRDefault="001C7392" w:rsidP="00261484">
      <w:pPr>
        <w:pStyle w:val="ListParagraph"/>
        <w:numPr>
          <w:ilvl w:val="1"/>
          <w:numId w:val="1"/>
        </w:numPr>
      </w:pPr>
      <w:r>
        <w:t>Groups 2-5: will use the PCR products</w:t>
      </w:r>
      <w:r w:rsidR="00896BF0">
        <w:t xml:space="preserve"> they</w:t>
      </w:r>
      <w:r>
        <w:t xml:space="preserve"> prepared at the </w:t>
      </w:r>
      <w:proofErr w:type="spellStart"/>
      <w:r>
        <w:t>mPCR</w:t>
      </w:r>
      <w:proofErr w:type="spellEnd"/>
      <w:r>
        <w:t xml:space="preserve"> </w:t>
      </w:r>
      <w:proofErr w:type="gramStart"/>
      <w:r>
        <w:t>station</w:t>
      </w:r>
      <w:proofErr w:type="gramEnd"/>
    </w:p>
    <w:p w14:paraId="7036A807" w14:textId="1E337BCE" w:rsidR="004B3CF4" w:rsidRPr="005211A3" w:rsidRDefault="004B3CF4" w:rsidP="004B3CF4">
      <w:pPr>
        <w:rPr>
          <w:b/>
          <w:bCs/>
        </w:rPr>
      </w:pPr>
      <w:r w:rsidRPr="005211A3">
        <w:rPr>
          <w:b/>
          <w:bCs/>
        </w:rPr>
        <w:t>Instruction:</w:t>
      </w:r>
    </w:p>
    <w:p w14:paraId="4F536767" w14:textId="4D9DE002" w:rsidR="0069009D" w:rsidRDefault="0069009D" w:rsidP="004B3CF4">
      <w:pPr>
        <w:pStyle w:val="ListParagraph"/>
        <w:numPr>
          <w:ilvl w:val="0"/>
          <w:numId w:val="1"/>
        </w:numPr>
      </w:pPr>
      <w:r>
        <w:t xml:space="preserve">Instructor will show how to calibrate </w:t>
      </w:r>
      <w:proofErr w:type="gramStart"/>
      <w:r>
        <w:t>machine</w:t>
      </w:r>
      <w:proofErr w:type="gramEnd"/>
    </w:p>
    <w:p w14:paraId="17A3B433" w14:textId="740838F0" w:rsidR="00AF12BE" w:rsidRDefault="0069009D" w:rsidP="004B3CF4">
      <w:pPr>
        <w:pStyle w:val="ListParagraph"/>
        <w:numPr>
          <w:ilvl w:val="0"/>
          <w:numId w:val="1"/>
        </w:numPr>
      </w:pPr>
      <w:r>
        <w:t>Participants will p</w:t>
      </w:r>
      <w:r w:rsidR="004B3CF4">
        <w:t xml:space="preserve">repare </w:t>
      </w:r>
      <w:r w:rsidR="00AF12BE">
        <w:t xml:space="preserve">tubes for </w:t>
      </w:r>
      <w:proofErr w:type="gramStart"/>
      <w:r w:rsidR="00AF12BE">
        <w:t>measurement</w:t>
      </w:r>
      <w:proofErr w:type="gramEnd"/>
    </w:p>
    <w:p w14:paraId="7028DE42" w14:textId="77777777" w:rsidR="000C329E" w:rsidRDefault="004B3CF4" w:rsidP="00AF12BE">
      <w:pPr>
        <w:pStyle w:val="ListParagraph"/>
        <w:numPr>
          <w:ilvl w:val="1"/>
          <w:numId w:val="1"/>
        </w:numPr>
      </w:pPr>
      <w:r>
        <w:t xml:space="preserve">Add 200µl of </w:t>
      </w:r>
      <w:proofErr w:type="spellStart"/>
      <w:r>
        <w:t>QuantiFluor</w:t>
      </w:r>
      <w:proofErr w:type="spellEnd"/>
      <w:r>
        <w:t xml:space="preserve">® dsDNA Dye working solution </w:t>
      </w:r>
      <w:r w:rsidR="001A138A">
        <w:t>to</w:t>
      </w:r>
      <w:r>
        <w:t xml:space="preserve"> 0.5ml PCR </w:t>
      </w:r>
      <w:proofErr w:type="gramStart"/>
      <w:r>
        <w:t>tubes</w:t>
      </w:r>
      <w:proofErr w:type="gramEnd"/>
    </w:p>
    <w:p w14:paraId="21DA7500" w14:textId="77777777" w:rsidR="000C329E" w:rsidRDefault="000C329E" w:rsidP="00AF12BE">
      <w:pPr>
        <w:pStyle w:val="ListParagraph"/>
        <w:numPr>
          <w:ilvl w:val="1"/>
          <w:numId w:val="1"/>
        </w:numPr>
      </w:pPr>
      <w:r>
        <w:t>Add 1</w:t>
      </w:r>
      <w:r w:rsidRPr="000C329E">
        <w:t xml:space="preserve"> </w:t>
      </w:r>
      <w:r>
        <w:t>µl</w:t>
      </w:r>
      <w:r>
        <w:t xml:space="preserve"> of </w:t>
      </w:r>
      <w:proofErr w:type="gramStart"/>
      <w:r>
        <w:t>sample</w:t>
      </w:r>
      <w:proofErr w:type="gramEnd"/>
    </w:p>
    <w:p w14:paraId="6F74647D" w14:textId="0CF5DF2A" w:rsidR="004B3CF4" w:rsidRDefault="004B3CF4" w:rsidP="00AF12BE">
      <w:pPr>
        <w:pStyle w:val="ListParagraph"/>
        <w:numPr>
          <w:ilvl w:val="1"/>
          <w:numId w:val="1"/>
        </w:numPr>
      </w:pPr>
      <w:r>
        <w:t>Vortex well, and</w:t>
      </w:r>
      <w:r w:rsidR="000C329E">
        <w:t xml:space="preserve"> incubate for 5mins</w:t>
      </w:r>
      <w:r>
        <w:t xml:space="preserve"> </w:t>
      </w:r>
      <w:r w:rsidR="000C329E">
        <w:t>(</w:t>
      </w:r>
      <w:r>
        <w:t>protect tube from light</w:t>
      </w:r>
      <w:r w:rsidR="000C329E">
        <w:t>)</w:t>
      </w:r>
    </w:p>
    <w:p w14:paraId="36863708" w14:textId="3157D656" w:rsidR="004B3CF4" w:rsidRDefault="0069009D" w:rsidP="003344D5">
      <w:pPr>
        <w:pStyle w:val="ListParagraph"/>
        <w:numPr>
          <w:ilvl w:val="0"/>
          <w:numId w:val="1"/>
        </w:numPr>
      </w:pPr>
      <w:r>
        <w:t xml:space="preserve">Measure each sample on the </w:t>
      </w:r>
      <w:proofErr w:type="spellStart"/>
      <w:r>
        <w:t>Quantus</w:t>
      </w:r>
      <w:proofErr w:type="spellEnd"/>
      <w:r>
        <w:t xml:space="preserve"> and record values</w:t>
      </w:r>
      <w:r w:rsidR="005211A3">
        <w:t>. Compare to expected values and discuss results.</w:t>
      </w:r>
    </w:p>
    <w:p w14:paraId="2F3572DA" w14:textId="53A17A74" w:rsidR="00896BF0" w:rsidRDefault="00896BF0" w:rsidP="00896BF0">
      <w:pPr>
        <w:pStyle w:val="ListParagraph"/>
        <w:numPr>
          <w:ilvl w:val="0"/>
          <w:numId w:val="1"/>
        </w:numPr>
      </w:pPr>
      <w:r>
        <w:t>Expected concentrations:</w:t>
      </w:r>
    </w:p>
    <w:tbl>
      <w:tblPr>
        <w:tblStyle w:val="TableGrid"/>
        <w:tblpPr w:leftFromText="180" w:rightFromText="180" w:vertAnchor="page" w:horzAnchor="margin" w:tblpY="11891"/>
        <w:tblW w:w="4241" w:type="dxa"/>
        <w:tblLook w:val="04A0" w:firstRow="1" w:lastRow="0" w:firstColumn="1" w:lastColumn="0" w:noHBand="0" w:noVBand="1"/>
      </w:tblPr>
      <w:tblGrid>
        <w:gridCol w:w="1176"/>
        <w:gridCol w:w="3065"/>
      </w:tblGrid>
      <w:tr w:rsidR="0069009D" w:rsidRPr="00F66EE1" w14:paraId="7000E0A2" w14:textId="77777777" w:rsidTr="005637BF">
        <w:tc>
          <w:tcPr>
            <w:tcW w:w="0" w:type="auto"/>
          </w:tcPr>
          <w:p w14:paraId="5D169429" w14:textId="77777777" w:rsidR="0069009D" w:rsidRPr="00F66EE1" w:rsidRDefault="0069009D" w:rsidP="005637BF">
            <w:pPr>
              <w:jc w:val="center"/>
              <w:rPr>
                <w:rFonts w:cstheme="minorHAnsi"/>
                <w:b/>
                <w:bCs/>
                <w:sz w:val="21"/>
                <w:szCs w:val="21"/>
              </w:rPr>
            </w:pPr>
            <w:r>
              <w:rPr>
                <w:rFonts w:cstheme="minorHAnsi"/>
                <w:b/>
                <w:bCs/>
                <w:sz w:val="21"/>
                <w:szCs w:val="21"/>
              </w:rPr>
              <w:t>Sample ID</w:t>
            </w:r>
          </w:p>
        </w:tc>
        <w:tc>
          <w:tcPr>
            <w:tcW w:w="0" w:type="auto"/>
            <w:hideMark/>
          </w:tcPr>
          <w:p w14:paraId="463EBDB7" w14:textId="77777777" w:rsidR="0069009D" w:rsidRPr="00BE6097" w:rsidRDefault="0069009D" w:rsidP="005637BF">
            <w:pPr>
              <w:jc w:val="center"/>
              <w:rPr>
                <w:rFonts w:eastAsia="Times New Roman" w:cstheme="minorHAnsi"/>
                <w:b/>
                <w:bCs/>
                <w:kern w:val="0"/>
                <w:sz w:val="21"/>
                <w:szCs w:val="21"/>
                <w14:ligatures w14:val="none"/>
              </w:rPr>
            </w:pPr>
            <w:r w:rsidRPr="00F66EE1">
              <w:rPr>
                <w:rFonts w:cstheme="minorHAnsi"/>
                <w:b/>
                <w:bCs/>
                <w:sz w:val="21"/>
                <w:szCs w:val="21"/>
              </w:rPr>
              <w:t>Desired Concentration (ng/µL)</w:t>
            </w:r>
          </w:p>
        </w:tc>
      </w:tr>
      <w:tr w:rsidR="0069009D" w:rsidRPr="00F66EE1" w14:paraId="53529089" w14:textId="77777777" w:rsidTr="005637BF">
        <w:tc>
          <w:tcPr>
            <w:tcW w:w="0" w:type="auto"/>
          </w:tcPr>
          <w:p w14:paraId="6CB687CE" w14:textId="77777777" w:rsidR="0069009D" w:rsidRPr="00F66EE1" w:rsidRDefault="0069009D" w:rsidP="005637BF">
            <w:pPr>
              <w:rPr>
                <w:sz w:val="21"/>
                <w:szCs w:val="21"/>
              </w:rPr>
            </w:pPr>
            <w:r>
              <w:rPr>
                <w:sz w:val="21"/>
                <w:szCs w:val="21"/>
              </w:rPr>
              <w:t>RABV01</w:t>
            </w:r>
          </w:p>
        </w:tc>
        <w:tc>
          <w:tcPr>
            <w:tcW w:w="0" w:type="auto"/>
          </w:tcPr>
          <w:p w14:paraId="3184EBB0" w14:textId="77777777" w:rsidR="0069009D" w:rsidRPr="00F66EE1" w:rsidRDefault="0069009D" w:rsidP="005637BF">
            <w:pPr>
              <w:rPr>
                <w:rFonts w:cstheme="minorHAnsi"/>
                <w:sz w:val="21"/>
                <w:szCs w:val="21"/>
              </w:rPr>
            </w:pPr>
            <w:r w:rsidRPr="00F66EE1">
              <w:rPr>
                <w:sz w:val="21"/>
                <w:szCs w:val="21"/>
              </w:rPr>
              <w:t>100</w:t>
            </w:r>
          </w:p>
        </w:tc>
      </w:tr>
      <w:tr w:rsidR="0069009D" w:rsidRPr="00F66EE1" w14:paraId="5360392F" w14:textId="77777777" w:rsidTr="005637BF">
        <w:tc>
          <w:tcPr>
            <w:tcW w:w="0" w:type="auto"/>
          </w:tcPr>
          <w:p w14:paraId="217FAA31" w14:textId="77777777" w:rsidR="0069009D" w:rsidRPr="00F66EE1" w:rsidRDefault="0069009D" w:rsidP="005637BF">
            <w:pPr>
              <w:rPr>
                <w:sz w:val="21"/>
                <w:szCs w:val="21"/>
              </w:rPr>
            </w:pPr>
            <w:r>
              <w:rPr>
                <w:sz w:val="21"/>
                <w:szCs w:val="21"/>
              </w:rPr>
              <w:t>RABV02</w:t>
            </w:r>
          </w:p>
        </w:tc>
        <w:tc>
          <w:tcPr>
            <w:tcW w:w="0" w:type="auto"/>
            <w:hideMark/>
          </w:tcPr>
          <w:p w14:paraId="39B0EC26" w14:textId="77777777" w:rsidR="0069009D" w:rsidRPr="00BE6097" w:rsidRDefault="0069009D" w:rsidP="005637BF">
            <w:pPr>
              <w:rPr>
                <w:rFonts w:eastAsia="Times New Roman" w:cstheme="minorHAnsi"/>
                <w:kern w:val="0"/>
                <w:sz w:val="21"/>
                <w:szCs w:val="21"/>
                <w14:ligatures w14:val="none"/>
              </w:rPr>
            </w:pPr>
            <w:r w:rsidRPr="00F66EE1">
              <w:rPr>
                <w:sz w:val="21"/>
                <w:szCs w:val="21"/>
              </w:rPr>
              <w:t>65</w:t>
            </w:r>
          </w:p>
        </w:tc>
      </w:tr>
      <w:tr w:rsidR="0069009D" w:rsidRPr="00F66EE1" w14:paraId="7B7E12B0" w14:textId="77777777" w:rsidTr="005637BF">
        <w:tc>
          <w:tcPr>
            <w:tcW w:w="0" w:type="auto"/>
          </w:tcPr>
          <w:p w14:paraId="2D7E8F93" w14:textId="77777777" w:rsidR="0069009D" w:rsidRPr="00F66EE1" w:rsidRDefault="0069009D" w:rsidP="005637BF">
            <w:pPr>
              <w:rPr>
                <w:sz w:val="21"/>
                <w:szCs w:val="21"/>
              </w:rPr>
            </w:pPr>
            <w:r>
              <w:rPr>
                <w:sz w:val="21"/>
                <w:szCs w:val="21"/>
              </w:rPr>
              <w:t>RABV03</w:t>
            </w:r>
          </w:p>
        </w:tc>
        <w:tc>
          <w:tcPr>
            <w:tcW w:w="0" w:type="auto"/>
            <w:hideMark/>
          </w:tcPr>
          <w:p w14:paraId="6B56C986" w14:textId="77777777" w:rsidR="0069009D" w:rsidRPr="00BE6097" w:rsidRDefault="0069009D" w:rsidP="005637BF">
            <w:pPr>
              <w:rPr>
                <w:rFonts w:eastAsia="Times New Roman" w:cstheme="minorHAnsi"/>
                <w:kern w:val="0"/>
                <w:sz w:val="21"/>
                <w:szCs w:val="21"/>
                <w14:ligatures w14:val="none"/>
              </w:rPr>
            </w:pPr>
            <w:r w:rsidRPr="00F66EE1">
              <w:rPr>
                <w:sz w:val="21"/>
                <w:szCs w:val="21"/>
              </w:rPr>
              <w:t>45</w:t>
            </w:r>
          </w:p>
        </w:tc>
      </w:tr>
      <w:tr w:rsidR="0069009D" w:rsidRPr="00F66EE1" w14:paraId="62CD834F" w14:textId="77777777" w:rsidTr="005637BF">
        <w:tc>
          <w:tcPr>
            <w:tcW w:w="0" w:type="auto"/>
          </w:tcPr>
          <w:p w14:paraId="2E9FD144" w14:textId="77777777" w:rsidR="0069009D" w:rsidRPr="00F66EE1" w:rsidRDefault="0069009D" w:rsidP="005637BF">
            <w:pPr>
              <w:rPr>
                <w:sz w:val="21"/>
                <w:szCs w:val="21"/>
              </w:rPr>
            </w:pPr>
            <w:r>
              <w:rPr>
                <w:sz w:val="21"/>
                <w:szCs w:val="21"/>
              </w:rPr>
              <w:t>RABV04</w:t>
            </w:r>
          </w:p>
        </w:tc>
        <w:tc>
          <w:tcPr>
            <w:tcW w:w="0" w:type="auto"/>
            <w:hideMark/>
          </w:tcPr>
          <w:p w14:paraId="442BE3C3" w14:textId="77777777" w:rsidR="0069009D" w:rsidRPr="00BE6097" w:rsidRDefault="0069009D" w:rsidP="005637BF">
            <w:pPr>
              <w:rPr>
                <w:rFonts w:eastAsia="Times New Roman" w:cstheme="minorHAnsi"/>
                <w:kern w:val="0"/>
                <w:sz w:val="21"/>
                <w:szCs w:val="21"/>
                <w14:ligatures w14:val="none"/>
              </w:rPr>
            </w:pPr>
            <w:r w:rsidRPr="00F66EE1">
              <w:rPr>
                <w:sz w:val="21"/>
                <w:szCs w:val="21"/>
              </w:rPr>
              <w:t>35</w:t>
            </w:r>
          </w:p>
        </w:tc>
      </w:tr>
      <w:tr w:rsidR="0069009D" w:rsidRPr="00F66EE1" w14:paraId="61D43AC3" w14:textId="77777777" w:rsidTr="005637BF">
        <w:tc>
          <w:tcPr>
            <w:tcW w:w="0" w:type="auto"/>
          </w:tcPr>
          <w:p w14:paraId="013354E1" w14:textId="77777777" w:rsidR="0069009D" w:rsidRPr="00F66EE1" w:rsidRDefault="0069009D" w:rsidP="005637BF">
            <w:pPr>
              <w:rPr>
                <w:sz w:val="21"/>
                <w:szCs w:val="21"/>
              </w:rPr>
            </w:pPr>
            <w:r>
              <w:rPr>
                <w:sz w:val="21"/>
                <w:szCs w:val="21"/>
              </w:rPr>
              <w:t>RABV05</w:t>
            </w:r>
          </w:p>
        </w:tc>
        <w:tc>
          <w:tcPr>
            <w:tcW w:w="0" w:type="auto"/>
            <w:hideMark/>
          </w:tcPr>
          <w:p w14:paraId="294BF3C9" w14:textId="77777777" w:rsidR="0069009D" w:rsidRPr="00BE6097" w:rsidRDefault="0069009D" w:rsidP="005637BF">
            <w:pPr>
              <w:rPr>
                <w:rFonts w:eastAsia="Times New Roman" w:cstheme="minorHAnsi"/>
                <w:kern w:val="0"/>
                <w:sz w:val="21"/>
                <w:szCs w:val="21"/>
                <w14:ligatures w14:val="none"/>
              </w:rPr>
            </w:pPr>
            <w:r w:rsidRPr="00F66EE1">
              <w:rPr>
                <w:sz w:val="21"/>
                <w:szCs w:val="21"/>
              </w:rPr>
              <w:t>25</w:t>
            </w:r>
          </w:p>
        </w:tc>
      </w:tr>
      <w:tr w:rsidR="0069009D" w:rsidRPr="00F66EE1" w14:paraId="427EFB43" w14:textId="77777777" w:rsidTr="005637BF">
        <w:tc>
          <w:tcPr>
            <w:tcW w:w="0" w:type="auto"/>
          </w:tcPr>
          <w:p w14:paraId="25DF40E4" w14:textId="77777777" w:rsidR="0069009D" w:rsidRPr="00F66EE1" w:rsidRDefault="0069009D" w:rsidP="005637BF">
            <w:pPr>
              <w:rPr>
                <w:sz w:val="21"/>
                <w:szCs w:val="21"/>
              </w:rPr>
            </w:pPr>
            <w:r>
              <w:rPr>
                <w:sz w:val="21"/>
                <w:szCs w:val="21"/>
              </w:rPr>
              <w:t>RABV06</w:t>
            </w:r>
          </w:p>
        </w:tc>
        <w:tc>
          <w:tcPr>
            <w:tcW w:w="0" w:type="auto"/>
            <w:hideMark/>
          </w:tcPr>
          <w:p w14:paraId="00C9383C" w14:textId="77777777" w:rsidR="0069009D" w:rsidRPr="00BE6097" w:rsidRDefault="0069009D" w:rsidP="005637BF">
            <w:pPr>
              <w:rPr>
                <w:rFonts w:eastAsia="Times New Roman" w:cstheme="minorHAnsi"/>
                <w:kern w:val="0"/>
                <w:sz w:val="21"/>
                <w:szCs w:val="21"/>
                <w14:ligatures w14:val="none"/>
              </w:rPr>
            </w:pPr>
            <w:r w:rsidRPr="00F66EE1">
              <w:rPr>
                <w:sz w:val="21"/>
                <w:szCs w:val="21"/>
              </w:rPr>
              <w:t>15</w:t>
            </w:r>
          </w:p>
        </w:tc>
      </w:tr>
      <w:tr w:rsidR="0069009D" w:rsidRPr="00F66EE1" w14:paraId="67925043" w14:textId="77777777" w:rsidTr="005637BF">
        <w:tc>
          <w:tcPr>
            <w:tcW w:w="0" w:type="auto"/>
          </w:tcPr>
          <w:p w14:paraId="1C7A0C4A" w14:textId="77777777" w:rsidR="0069009D" w:rsidRPr="00F66EE1" w:rsidRDefault="0069009D" w:rsidP="005637BF">
            <w:pPr>
              <w:rPr>
                <w:sz w:val="21"/>
                <w:szCs w:val="21"/>
              </w:rPr>
            </w:pPr>
            <w:r>
              <w:rPr>
                <w:sz w:val="21"/>
                <w:szCs w:val="21"/>
              </w:rPr>
              <w:t>RABV07</w:t>
            </w:r>
          </w:p>
        </w:tc>
        <w:tc>
          <w:tcPr>
            <w:tcW w:w="0" w:type="auto"/>
            <w:hideMark/>
          </w:tcPr>
          <w:p w14:paraId="113634BF" w14:textId="77777777" w:rsidR="0069009D" w:rsidRPr="00BE6097" w:rsidRDefault="0069009D" w:rsidP="005637BF">
            <w:pPr>
              <w:rPr>
                <w:rFonts w:eastAsia="Times New Roman" w:cstheme="minorHAnsi"/>
                <w:kern w:val="0"/>
                <w:sz w:val="21"/>
                <w:szCs w:val="21"/>
                <w14:ligatures w14:val="none"/>
              </w:rPr>
            </w:pPr>
            <w:r w:rsidRPr="00F66EE1">
              <w:rPr>
                <w:sz w:val="21"/>
                <w:szCs w:val="21"/>
              </w:rPr>
              <w:t>5</w:t>
            </w:r>
          </w:p>
        </w:tc>
      </w:tr>
      <w:tr w:rsidR="0069009D" w:rsidRPr="00F66EE1" w14:paraId="091A2AA8" w14:textId="77777777" w:rsidTr="005637BF">
        <w:tc>
          <w:tcPr>
            <w:tcW w:w="0" w:type="auto"/>
          </w:tcPr>
          <w:p w14:paraId="731E021D" w14:textId="77777777" w:rsidR="0069009D" w:rsidRPr="00F66EE1" w:rsidRDefault="0069009D" w:rsidP="005637BF">
            <w:pPr>
              <w:rPr>
                <w:sz w:val="21"/>
                <w:szCs w:val="21"/>
              </w:rPr>
            </w:pPr>
            <w:r>
              <w:rPr>
                <w:sz w:val="21"/>
                <w:szCs w:val="21"/>
              </w:rPr>
              <w:t>RABV08</w:t>
            </w:r>
          </w:p>
        </w:tc>
        <w:tc>
          <w:tcPr>
            <w:tcW w:w="0" w:type="auto"/>
            <w:hideMark/>
          </w:tcPr>
          <w:p w14:paraId="61440254" w14:textId="77777777" w:rsidR="0069009D" w:rsidRPr="00BE6097" w:rsidRDefault="0069009D" w:rsidP="005637BF">
            <w:pPr>
              <w:rPr>
                <w:rFonts w:eastAsia="Times New Roman" w:cstheme="minorHAnsi"/>
                <w:kern w:val="0"/>
                <w:sz w:val="21"/>
                <w:szCs w:val="21"/>
                <w14:ligatures w14:val="none"/>
              </w:rPr>
            </w:pPr>
            <w:r w:rsidRPr="00F66EE1">
              <w:rPr>
                <w:sz w:val="21"/>
                <w:szCs w:val="21"/>
              </w:rPr>
              <w:t>0</w:t>
            </w:r>
          </w:p>
        </w:tc>
      </w:tr>
    </w:tbl>
    <w:p w14:paraId="02089839" w14:textId="77777777" w:rsidR="008F5658" w:rsidRDefault="008F5658" w:rsidP="008F5658">
      <w:pPr>
        <w:pStyle w:val="ListParagraph"/>
      </w:pPr>
    </w:p>
    <w:p w14:paraId="7559B0BF" w14:textId="77777777" w:rsidR="008F5658" w:rsidRDefault="008F5658" w:rsidP="008F5658">
      <w:pPr>
        <w:pStyle w:val="ListParagraph"/>
      </w:pPr>
    </w:p>
    <w:p w14:paraId="510F2769" w14:textId="77777777" w:rsidR="008F5658" w:rsidRDefault="008F5658" w:rsidP="008F5658">
      <w:pPr>
        <w:pStyle w:val="ListParagraph"/>
      </w:pPr>
    </w:p>
    <w:p w14:paraId="2443089A" w14:textId="77777777" w:rsidR="008F5658" w:rsidRDefault="008F5658" w:rsidP="008F5658">
      <w:pPr>
        <w:pStyle w:val="ListParagraph"/>
      </w:pPr>
    </w:p>
    <w:p w14:paraId="3984F67A" w14:textId="77777777" w:rsidR="008F5658" w:rsidRDefault="008F5658" w:rsidP="008F5658">
      <w:pPr>
        <w:pStyle w:val="ListParagraph"/>
      </w:pPr>
    </w:p>
    <w:p w14:paraId="713AD905" w14:textId="77777777" w:rsidR="008F5658" w:rsidRDefault="008F5658" w:rsidP="008F5658">
      <w:pPr>
        <w:pStyle w:val="ListParagraph"/>
      </w:pPr>
    </w:p>
    <w:p w14:paraId="3A20D08D" w14:textId="77777777" w:rsidR="008F5658" w:rsidRDefault="008F5658" w:rsidP="008F5658">
      <w:pPr>
        <w:pStyle w:val="ListParagraph"/>
      </w:pPr>
    </w:p>
    <w:p w14:paraId="0B6A9F9D" w14:textId="77777777" w:rsidR="008F5658" w:rsidRDefault="008F5658" w:rsidP="008F5658">
      <w:pPr>
        <w:pStyle w:val="ListParagraph"/>
      </w:pPr>
    </w:p>
    <w:p w14:paraId="27D9D26F" w14:textId="77777777" w:rsidR="008F5658" w:rsidRDefault="008F5658" w:rsidP="008F5658">
      <w:pPr>
        <w:pStyle w:val="ListParagraph"/>
      </w:pPr>
    </w:p>
    <w:p w14:paraId="73730244" w14:textId="77777777" w:rsidR="00C10026" w:rsidRPr="00314423" w:rsidRDefault="00C10026" w:rsidP="00C10026">
      <w:pPr>
        <w:rPr>
          <w:b/>
          <w:bCs/>
          <w:lang w:val="en-GB"/>
        </w:rPr>
      </w:pPr>
      <w:r>
        <w:rPr>
          <w:b/>
          <w:bCs/>
          <w:lang w:val="en-GB"/>
        </w:rPr>
        <w:lastRenderedPageBreak/>
        <w:t>Expected results/Learning outcomes</w:t>
      </w:r>
      <w:r w:rsidRPr="00314423">
        <w:rPr>
          <w:b/>
          <w:bCs/>
          <w:lang w:val="en-GB"/>
        </w:rPr>
        <w:t>:</w:t>
      </w:r>
    </w:p>
    <w:p w14:paraId="78DDB82B" w14:textId="23C58DBF" w:rsidR="008F5658" w:rsidRDefault="00E26069" w:rsidP="00C10026">
      <w:pPr>
        <w:pStyle w:val="ListParagraph"/>
        <w:numPr>
          <w:ilvl w:val="0"/>
          <w:numId w:val="2"/>
        </w:numPr>
      </w:pPr>
      <w:r>
        <w:t>An understanding of quantification</w:t>
      </w:r>
      <w:r w:rsidR="00251FEC">
        <w:t xml:space="preserve">- how it works and </w:t>
      </w:r>
      <w:proofErr w:type="gramStart"/>
      <w:r w:rsidR="00251FEC">
        <w:t>importance</w:t>
      </w:r>
      <w:proofErr w:type="gramEnd"/>
    </w:p>
    <w:p w14:paraId="1D7A86AD" w14:textId="6B5D87A0" w:rsidR="00E26069" w:rsidRPr="0047377D" w:rsidRDefault="00E26069" w:rsidP="00C10026">
      <w:pPr>
        <w:pStyle w:val="ListParagraph"/>
        <w:numPr>
          <w:ilvl w:val="0"/>
          <w:numId w:val="2"/>
        </w:numPr>
      </w:pPr>
      <w:r>
        <w:t xml:space="preserve">Emphasis of good practice and </w:t>
      </w:r>
      <w:r w:rsidR="00251FEC">
        <w:t>quality control</w:t>
      </w:r>
    </w:p>
    <w:sectPr w:rsidR="00E26069" w:rsidRPr="0047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142AE"/>
    <w:multiLevelType w:val="hybridMultilevel"/>
    <w:tmpl w:val="B388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E4CD1"/>
    <w:multiLevelType w:val="hybridMultilevel"/>
    <w:tmpl w:val="B49A2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716099">
    <w:abstractNumId w:val="1"/>
  </w:num>
  <w:num w:numId="2" w16cid:durableId="207901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92"/>
    <w:rsid w:val="00001230"/>
    <w:rsid w:val="000C329E"/>
    <w:rsid w:val="001A138A"/>
    <w:rsid w:val="001C7392"/>
    <w:rsid w:val="001E7D4F"/>
    <w:rsid w:val="00213523"/>
    <w:rsid w:val="00251FEC"/>
    <w:rsid w:val="00261484"/>
    <w:rsid w:val="00284FB3"/>
    <w:rsid w:val="0032305A"/>
    <w:rsid w:val="0033178F"/>
    <w:rsid w:val="003344D5"/>
    <w:rsid w:val="004620A2"/>
    <w:rsid w:val="0047377D"/>
    <w:rsid w:val="004B3CF4"/>
    <w:rsid w:val="005211A3"/>
    <w:rsid w:val="0069009D"/>
    <w:rsid w:val="00767330"/>
    <w:rsid w:val="007D0EC9"/>
    <w:rsid w:val="0082490D"/>
    <w:rsid w:val="00896BF0"/>
    <w:rsid w:val="008F5658"/>
    <w:rsid w:val="00AF12BE"/>
    <w:rsid w:val="00B31E92"/>
    <w:rsid w:val="00C10026"/>
    <w:rsid w:val="00C8757B"/>
    <w:rsid w:val="00C960D7"/>
    <w:rsid w:val="00E2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E651"/>
  <w15:chartTrackingRefBased/>
  <w15:docId w15:val="{7EFC14C2-463C-8D46-B94C-2634EBCD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77D"/>
    <w:pPr>
      <w:ind w:left="720"/>
      <w:contextualSpacing/>
    </w:pPr>
  </w:style>
  <w:style w:type="table" w:styleId="TableGrid">
    <w:name w:val="Table Grid"/>
    <w:basedOn w:val="TableNormal"/>
    <w:uiPriority w:val="39"/>
    <w:rsid w:val="008F5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2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Kirstyn Brunker</dc:creator>
  <cp:keywords/>
  <dc:description/>
  <cp:lastModifiedBy>Kirstyn Brunker</cp:lastModifiedBy>
  <cp:revision>25</cp:revision>
  <dcterms:created xsi:type="dcterms:W3CDTF">2024-02-07T08:44:00Z</dcterms:created>
  <dcterms:modified xsi:type="dcterms:W3CDTF">2024-02-07T13:46:00Z</dcterms:modified>
</cp:coreProperties>
</file>