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Force and VIP Movement Coordination Note (Fictional)</w:t>
      </w:r>
    </w:p>
    <w:p>
      <w:r>
        <w:t>Document Number: FCT-2026-106AB3</w:t>
      </w:r>
    </w:p>
    <w:p>
      <w:r>
        <w:t>Classification: Top Secret</w:t>
      </w:r>
    </w:p>
    <w:p>
      <w:r>
        <w:t>Prepared By: Compliance &amp; Governance Unit</w:t>
      </w:r>
    </w:p>
    <w:p>
      <w:r>
        <w:t>Date: 20 June 2026</w:t>
      </w:r>
    </w:p>
    <w:p>
      <w:r>
        <w:t>Executive Summary</w:t>
      </w:r>
    </w:p>
    <w:p>
      <w:r>
        <w:t>This report summarizes simulated activity related to armed forces and VIP movement across fictional administrative regions in the Kingdom for classification testing. Key indicators intentionally present include: VIP movement, military exercise, mobilization, deployment, escort.</w:t>
      </w:r>
    </w:p>
    <w:p>
      <w:r>
        <w:t>Activity Overview</w:t>
      </w:r>
    </w:p>
    <w:p>
      <w:r>
        <w:t>During the period between 20 June 2026 and 11 July 2026, the fictional coordination office recorded controlled entries associated with armed forces and VIP movement. References such as 'VIP movement', 'military exercise', and 'mobilization' are embedded for AI sensitivity scoring.</w:t>
      </w:r>
    </w:p>
    <w:p>
      <w:r>
        <w:t>Facilities Involved</w:t>
      </w:r>
    </w:p>
    <w:p>
      <w:r>
        <w:t>- Facility Red Dune (Southern Region)</w:t>
      </w:r>
    </w:p>
    <w:p>
      <w:r>
        <w:t>- Facility Oasis (Northern Region)</w:t>
      </w:r>
    </w:p>
    <w:p>
      <w:r>
        <w:t>- Facility Desert Star (Western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VIP movement, military exercise, mobilization, deployment, escort, convoy, operational route, Royal Guard.</w:t>
      </w:r>
    </w:p>
    <w:p>
      <w:r>
        <w:t>Classification Indicators</w:t>
      </w:r>
    </w:p>
    <w:p>
      <w:r>
        <w:t>- VIP movement</w:t>
      </w:r>
    </w:p>
    <w:p>
      <w:r>
        <w:t>- military exercise</w:t>
      </w:r>
    </w:p>
    <w:p>
      <w:r>
        <w:t>- mobilization</w:t>
      </w:r>
    </w:p>
    <w:p>
      <w:r>
        <w:t>- deployment</w:t>
      </w:r>
    </w:p>
    <w:p>
      <w:r>
        <w:t>- escort</w:t>
      </w:r>
    </w:p>
    <w:p>
      <w:r>
        <w:t>- convoy</w:t>
      </w:r>
    </w:p>
    <w:p>
      <w:r>
        <w:t>- operational route</w:t>
      </w:r>
    </w:p>
    <w:p>
      <w:r>
        <w:t>- Royal Guard</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RSA-744</w:t>
            </w:r>
          </w:p>
        </w:tc>
        <w:tc>
          <w:tcPr>
            <w:tcW w:type="dxa" w:w="1728"/>
          </w:tcPr>
          <w:p>
            <w:r>
              <w:t>Authorized Logistics Packages</w:t>
            </w:r>
          </w:p>
        </w:tc>
        <w:tc>
          <w:tcPr>
            <w:tcW w:type="dxa" w:w="1728"/>
          </w:tcPr>
          <w:p>
            <w:r>
              <w:t>Facility Falcon</w:t>
            </w:r>
          </w:p>
        </w:tc>
        <w:tc>
          <w:tcPr>
            <w:tcW w:type="dxa" w:w="1728"/>
          </w:tcPr>
          <w:p>
            <w:r>
              <w:t>Facility Red Dune</w:t>
            </w:r>
          </w:p>
        </w:tc>
        <w:tc>
          <w:tcPr>
            <w:tcW w:type="dxa" w:w="1728"/>
          </w:tcPr>
          <w:p>
            <w:r>
              <w:t>In Transit</w:t>
            </w:r>
          </w:p>
        </w:tc>
      </w:tr>
      <w:tr>
        <w:tc>
          <w:tcPr>
            <w:tcW w:type="dxa" w:w="1728"/>
          </w:tcPr>
          <w:p>
            <w:r>
              <w:t>RSA-185</w:t>
            </w:r>
          </w:p>
        </w:tc>
        <w:tc>
          <w:tcPr>
            <w:tcW w:type="dxa" w:w="1728"/>
          </w:tcPr>
          <w:p>
            <w:r>
              <w:t>Controlled Inventory Containers</w:t>
            </w:r>
          </w:p>
        </w:tc>
        <w:tc>
          <w:tcPr>
            <w:tcW w:type="dxa" w:w="1728"/>
          </w:tcPr>
          <w:p>
            <w:r>
              <w:t>Facility Horizon</w:t>
            </w:r>
          </w:p>
        </w:tc>
        <w:tc>
          <w:tcPr>
            <w:tcW w:type="dxa" w:w="1728"/>
          </w:tcPr>
          <w:p>
            <w:r>
              <w:t>Facility Horizon</w:t>
            </w:r>
          </w:p>
        </w:tc>
        <w:tc>
          <w:tcPr>
            <w:tcW w:type="dxa" w:w="1728"/>
          </w:tcPr>
          <w:p>
            <w:r>
              <w:t>Pending</w:t>
            </w:r>
          </w:p>
        </w:tc>
      </w:tr>
      <w:tr>
        <w:tc>
          <w:tcPr>
            <w:tcW w:type="dxa" w:w="1728"/>
          </w:tcPr>
          <w:p>
            <w:r>
              <w:t>RSA-316</w:t>
            </w:r>
          </w:p>
        </w:tc>
        <w:tc>
          <w:tcPr>
            <w:tcW w:type="dxa" w:w="1728"/>
          </w:tcPr>
          <w:p>
            <w:r>
              <w:t>Encrypted Transport Cases</w:t>
            </w:r>
          </w:p>
        </w:tc>
        <w:tc>
          <w:tcPr>
            <w:tcW w:type="dxa" w:w="1728"/>
          </w:tcPr>
          <w:p>
            <w:r>
              <w:t>Facility Red Dune</w:t>
            </w:r>
          </w:p>
        </w:tc>
        <w:tc>
          <w:tcPr>
            <w:tcW w:type="dxa" w:w="1728"/>
          </w:tcPr>
          <w:p>
            <w:r>
              <w:t>Facility Desert Star</w:t>
            </w:r>
          </w:p>
        </w:tc>
        <w:tc>
          <w:tcPr>
            <w:tcW w:type="dxa" w:w="1728"/>
          </w:tcPr>
          <w:p>
            <w:r>
              <w:t>Pending</w:t>
            </w:r>
          </w:p>
        </w:tc>
      </w:tr>
      <w:tr>
        <w:tc>
          <w:tcPr>
            <w:tcW w:type="dxa" w:w="1728"/>
          </w:tcPr>
          <w:p>
            <w:r>
              <w:t>RSA-363</w:t>
            </w:r>
          </w:p>
        </w:tc>
        <w:tc>
          <w:tcPr>
            <w:tcW w:type="dxa" w:w="1728"/>
          </w:tcPr>
          <w:p>
            <w:r>
              <w:t>Security Training Materials</w:t>
            </w:r>
          </w:p>
        </w:tc>
        <w:tc>
          <w:tcPr>
            <w:tcW w:type="dxa" w:w="1728"/>
          </w:tcPr>
          <w:p>
            <w:r>
              <w:t>Facility Horizon</w:t>
            </w:r>
          </w:p>
        </w:tc>
        <w:tc>
          <w:tcPr>
            <w:tcW w:type="dxa" w:w="1728"/>
          </w:tcPr>
          <w:p>
            <w:r>
              <w:t>Facility Red Dune</w:t>
            </w:r>
          </w:p>
        </w:tc>
        <w:tc>
          <w:tcPr>
            <w:tcW w:type="dxa" w:w="1728"/>
          </w:tcPr>
          <w:p>
            <w:r>
              <w:t>Scheduled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