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3A8A"/>
          <w:sz w:val="44"/>
        </w:rPr>
        <w:t>GATE AGRICULTURAL ENGINEERING (AG)</w:t>
        <w:br/>
        <w:t>FULL-STACK CBT PREPARATION PLATFORM</w:t>
      </w:r>
    </w:p>
    <w:p>
      <w:pPr>
        <w:spacing w:after="320"/>
        <w:jc w:val="center"/>
      </w:pPr>
      <w:r>
        <w:rPr>
          <w:i/>
          <w:color w:val="64748B"/>
          <w:sz w:val="24"/>
        </w:rPr>
        <w:t>Comprehensive Engineering Project Report, Work vs. Hours Assessment &amp; Technical Specification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3A8A"/>
            <w:tcMar>
              <w:top w:w="100" w:type="dxa"/>
              <w:bottom w:w="100" w:type="dxa"/>
              <w:left w:w="120" w:type="dxa"/>
              <w:right w:w="120" w:type="dxa"/>
            </w:tcMar>
          </w:tcPr>
          <w:p>
            <w:pPr>
              <w:jc w:val="center"/>
            </w:pPr>
            <w:r>
              <w:rPr>
                <w:b/>
                <w:color w:val="FFFFFF"/>
                <w:sz w:val="17"/>
              </w:rPr>
              <w:t>Author / Lead Engineer</w:t>
            </w:r>
          </w:p>
        </w:tc>
        <w:tc>
          <w:tcPr>
            <w:tcW w:type="dxa" w:w="2484"/>
            <w:shd w:fill="1E3A8A"/>
            <w:tcMar>
              <w:top w:w="100" w:type="dxa"/>
              <w:bottom w:w="100" w:type="dxa"/>
              <w:left w:w="120" w:type="dxa"/>
              <w:right w:w="120" w:type="dxa"/>
            </w:tcMar>
          </w:tcPr>
          <w:p>
            <w:pPr>
              <w:jc w:val="center"/>
            </w:pPr>
            <w:r>
              <w:rPr>
                <w:b/>
                <w:color w:val="FFFFFF"/>
                <w:sz w:val="17"/>
              </w:rPr>
              <w:t>Institution / College</w:t>
            </w:r>
          </w:p>
        </w:tc>
        <w:tc>
          <w:tcPr>
            <w:tcW w:type="dxa" w:w="2484"/>
            <w:shd w:fill="1E3A8A"/>
            <w:tcMar>
              <w:top w:w="100" w:type="dxa"/>
              <w:bottom w:w="100" w:type="dxa"/>
              <w:left w:w="120" w:type="dxa"/>
              <w:right w:w="120" w:type="dxa"/>
            </w:tcMar>
          </w:tcPr>
          <w:p>
            <w:pPr>
              <w:jc w:val="center"/>
            </w:pPr>
            <w:r>
              <w:rPr>
                <w:b/>
                <w:color w:val="FFFFFF"/>
                <w:sz w:val="17"/>
              </w:rPr>
              <w:t>Project Scope</w:t>
            </w:r>
          </w:p>
        </w:tc>
        <w:tc>
          <w:tcPr>
            <w:tcW w:type="dxa" w:w="2484"/>
            <w:shd w:fill="1E3A8A"/>
            <w:tcMar>
              <w:top w:w="100" w:type="dxa"/>
              <w:bottom w:w="100" w:type="dxa"/>
              <w:left w:w="120" w:type="dxa"/>
              <w:right w:w="120" w:type="dxa"/>
            </w:tcMar>
          </w:tcPr>
          <w:p>
            <w:pPr>
              <w:jc w:val="center"/>
            </w:pPr>
            <w:r>
              <w:rPr>
                <w:b/>
                <w:color w:val="FFFFFF"/>
                <w:sz w:val="17"/>
              </w:rPr>
              <w:t>Verification Status</w:t>
            </w:r>
          </w:p>
        </w:tc>
      </w:tr>
      <w:tr>
        <w:tc>
          <w:tcPr>
            <w:tcW w:type="dxa" w:w="2484"/>
            <w:shd w:fill="F1F5F9"/>
            <w:tcMar>
              <w:top w:w="100" w:type="dxa"/>
              <w:bottom w:w="100" w:type="dxa"/>
              <w:left w:w="120" w:type="dxa"/>
              <w:right w:w="120" w:type="dxa"/>
            </w:tcMar>
          </w:tcPr>
          <w:p>
            <w:pPr>
              <w:jc w:val="center"/>
            </w:pPr>
            <w:r>
              <w:rPr>
                <w:b/>
                <w:color w:val="1E3A8A"/>
                <w:sz w:val="19"/>
              </w:rPr>
              <w:t>Raghav Bansal</w:t>
            </w:r>
          </w:p>
        </w:tc>
        <w:tc>
          <w:tcPr>
            <w:tcW w:type="dxa" w:w="2484"/>
            <w:shd w:fill="F1F5F9"/>
            <w:tcMar>
              <w:top w:w="100" w:type="dxa"/>
              <w:bottom w:w="100" w:type="dxa"/>
              <w:left w:w="120" w:type="dxa"/>
              <w:right w:w="120" w:type="dxa"/>
            </w:tcMar>
          </w:tcPr>
          <w:p>
            <w:pPr>
              <w:jc w:val="center"/>
            </w:pPr>
            <w:r>
              <w:rPr>
                <w:b/>
                <w:color w:val="1E3A8A"/>
                <w:sz w:val="19"/>
              </w:rPr>
              <w:t>COAET CCS HAU Hisar</w:t>
            </w:r>
          </w:p>
        </w:tc>
        <w:tc>
          <w:tcPr>
            <w:tcW w:type="dxa" w:w="2484"/>
            <w:shd w:fill="F1F5F9"/>
            <w:tcMar>
              <w:top w:w="100" w:type="dxa"/>
              <w:bottom w:w="100" w:type="dxa"/>
              <w:left w:w="120" w:type="dxa"/>
              <w:right w:w="120" w:type="dxa"/>
            </w:tcMar>
          </w:tcPr>
          <w:p>
            <w:pPr>
              <w:jc w:val="center"/>
            </w:pPr>
            <w:r>
              <w:rPr>
                <w:b/>
                <w:color w:val="1E3A8A"/>
                <w:sz w:val="19"/>
              </w:rPr>
              <w:t>Full-Stack EdTech Operating System</w:t>
            </w:r>
          </w:p>
        </w:tc>
        <w:tc>
          <w:tcPr>
            <w:tcW w:type="dxa" w:w="2484"/>
            <w:shd w:fill="F1F5F9"/>
            <w:tcMar>
              <w:top w:w="100" w:type="dxa"/>
              <w:bottom w:w="100" w:type="dxa"/>
              <w:left w:w="120" w:type="dxa"/>
              <w:right w:w="120" w:type="dxa"/>
            </w:tcMar>
          </w:tcPr>
          <w:p>
            <w:pPr>
              <w:jc w:val="center"/>
            </w:pPr>
            <w:r>
              <w:rPr>
                <w:b/>
                <w:color w:val="1E3A8A"/>
                <w:sz w:val="19"/>
              </w:rPr>
              <w:t>632 Automated Tests (100% Pass)</w:t>
            </w:r>
          </w:p>
        </w:tc>
      </w:tr>
    </w:tbl>
    <w:p>
      <w:pPr>
        <w:spacing w:after="240"/>
      </w:pPr>
    </w:p>
    <w:p>
      <w:pPr>
        <w:spacing w:before="360" w:after="120"/>
      </w:pPr>
      <w:r>
        <w:rPr>
          <w:b/>
          <w:color w:val="1E3A8A"/>
          <w:sz w:val="30"/>
        </w:rPr>
        <w:t>1. Executive Summary &amp; Project Vision</w:t>
      </w:r>
    </w:p>
    <w:p>
      <w:r>
        <w:t>The GATE Agricultural Engineering (AG) Preparation Portal is an enterprise-grade, autonomous EdTech operating system designed specifically for aspirants preparing for the Indian Graduate Aptitude Test in Engineering (GATE). Unlike generic assessment tools or rudimentary multiple-choice applications, this platform provides a 100% authentic simulation of the official Computer-Based Test (CBT) environment conducted by Indian Institutes of Technology (IITs), backed by strict mathematical scoring algorithms, an autonomous multi-tier question taxonomy, offline-first data sync, AI-powered vulnerability diagnostics, and a comprehensive gamified motivation engine.</w:t>
      </w:r>
    </w:p>
    <w:p>
      <w:r>
        <w:t>The project integrates 20 years of verified official GATE AG question archives (2007–2026), 50 full-length original mock papers (3,250 questions), and an autonomous topic/subtopic question bank, totaling over 5,000 rigorous technical questions. With 218,696 lines of code and data, 632 automated unit/integration tests running at a 100% pass rate, and an architecture engineered for rural and low-bandwidth resilience, the platform establishes a new benchmark for domain-specific engineering prep platforms.</w:t>
      </w:r>
    </w:p>
    <w:p>
      <w:pPr>
        <w:spacing w:before="360" w:after="120"/>
      </w:pPr>
      <w:r>
        <w:rPr>
          <w:b/>
          <w:color w:val="1E3A8A"/>
          <w:sz w:val="30"/>
        </w:rPr>
        <w:t>2. Work vs. Hours Assessment (Comprehensive WBS)</w:t>
      </w:r>
    </w:p>
    <w:p>
      <w:r>
        <w:t>To provide a rigorous professional evaluation of engineering effort, the development lifecycle is decomposed into 9 core engineering phases. Each phase accounts for research, schema architecture, UI/UX implementation, mathematical validation, automated test suite authoring, and performance optimization.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3A8A"/>
            <w:tcMar>
              <w:top w:w="120" w:type="dxa"/>
              <w:bottom w:w="120" w:type="dxa"/>
              <w:left w:w="100" w:type="dxa"/>
              <w:right w:w="100" w:type="dxa"/>
            </w:tcMar>
          </w:tcPr>
          <w:p>
            <w:pPr>
              <w:jc w:val="center"/>
            </w:pPr>
            <w:r>
              <w:rPr>
                <w:b/>
                <w:color w:val="FFFFFF"/>
                <w:sz w:val="18"/>
              </w:rPr>
              <w:t>Engineering Phase</w:t>
            </w:r>
          </w:p>
        </w:tc>
        <w:tc>
          <w:tcPr>
            <w:tcW w:type="dxa" w:w="2484"/>
            <w:shd w:fill="1E3A8A"/>
            <w:tcMar>
              <w:top w:w="120" w:type="dxa"/>
              <w:bottom w:w="120" w:type="dxa"/>
              <w:left w:w="100" w:type="dxa"/>
              <w:right w:w="100" w:type="dxa"/>
            </w:tcMar>
          </w:tcPr>
          <w:p>
            <w:pPr>
              <w:jc w:val="center"/>
            </w:pPr>
            <w:r>
              <w:rPr>
                <w:b/>
                <w:color w:val="FFFFFF"/>
                <w:sz w:val="18"/>
              </w:rPr>
              <w:t>Key Deliverables &amp; Technical Scope</w:t>
            </w:r>
          </w:p>
        </w:tc>
        <w:tc>
          <w:tcPr>
            <w:tcW w:type="dxa" w:w="2484"/>
            <w:shd w:fill="1E3A8A"/>
            <w:tcMar>
              <w:top w:w="120" w:type="dxa"/>
              <w:bottom w:w="120" w:type="dxa"/>
              <w:left w:w="100" w:type="dxa"/>
              <w:right w:w="100" w:type="dxa"/>
            </w:tcMar>
          </w:tcPr>
          <w:p>
            <w:pPr>
              <w:jc w:val="center"/>
            </w:pPr>
            <w:r>
              <w:rPr>
                <w:b/>
                <w:color w:val="FFFFFF"/>
                <w:sz w:val="18"/>
              </w:rPr>
              <w:t>Effort</w:t>
            </w:r>
          </w:p>
        </w:tc>
        <w:tc>
          <w:tcPr>
            <w:tcW w:type="dxa" w:w="2484"/>
            <w:shd w:fill="1E3A8A"/>
            <w:tcMar>
              <w:top w:w="120" w:type="dxa"/>
              <w:bottom w:w="120" w:type="dxa"/>
              <w:left w:w="100" w:type="dxa"/>
              <w:right w:w="100" w:type="dxa"/>
            </w:tcMar>
          </w:tcPr>
          <w:p>
            <w:pPr>
              <w:jc w:val="center"/>
            </w:pPr>
            <w:r>
              <w:rPr>
                <w:b/>
                <w:color w:val="FFFFFF"/>
                <w:sz w:val="18"/>
              </w:rPr>
              <w:t>% Total</w:t>
            </w:r>
          </w:p>
        </w:tc>
      </w:tr>
      <w:tr>
        <w:tc>
          <w:tcPr>
            <w:tcW w:type="dxa" w:w="2484"/>
            <w:shd w:fill="F8FAFC"/>
            <w:tcMar>
              <w:top w:w="80" w:type="dxa"/>
              <w:bottom w:w="80" w:type="dxa"/>
              <w:left w:w="100" w:type="dxa"/>
              <w:right w:w="100" w:type="dxa"/>
            </w:tcMar>
          </w:tcPr>
          <w:p>
            <w:r>
              <w:rPr>
                <w:sz w:val="17"/>
              </w:rPr>
              <w:t>Phase 1: Architecture &amp; Official 20-Year PYQ Engine</w:t>
            </w:r>
          </w:p>
        </w:tc>
        <w:tc>
          <w:tcPr>
            <w:tcW w:type="dxa" w:w="2484"/>
            <w:shd w:fill="F8FAFC"/>
            <w:tcMar>
              <w:top w:w="80" w:type="dxa"/>
              <w:bottom w:w="80" w:type="dxa"/>
              <w:left w:w="100" w:type="dxa"/>
              <w:right w:w="100" w:type="dxa"/>
            </w:tcMar>
          </w:tcPr>
          <w:p>
            <w:r>
              <w:rPr>
                <w:sz w:val="17"/>
              </w:rPr>
              <w:t>Digitization of 1,324 official IIT GATE AG questions (2007-2026), KaTeX formula encoding, official answer key validation, immutable archival schema.</w:t>
            </w:r>
          </w:p>
        </w:tc>
        <w:tc>
          <w:tcPr>
            <w:tcW w:type="dxa" w:w="2484"/>
            <w:shd w:fill="F8FAFC"/>
            <w:tcMar>
              <w:top w:w="80" w:type="dxa"/>
              <w:bottom w:w="80" w:type="dxa"/>
              <w:left w:w="100" w:type="dxa"/>
              <w:right w:w="100" w:type="dxa"/>
            </w:tcMar>
          </w:tcPr>
          <w:p>
            <w:pPr>
              <w:jc w:val="right"/>
            </w:pPr>
            <w:r>
              <w:rPr>
                <w:sz w:val="17"/>
              </w:rPr>
              <w:t>120 Hours</w:t>
            </w:r>
          </w:p>
        </w:tc>
        <w:tc>
          <w:tcPr>
            <w:tcW w:type="dxa" w:w="2484"/>
            <w:shd w:fill="F8FAFC"/>
            <w:tcMar>
              <w:top w:w="80" w:type="dxa"/>
              <w:bottom w:w="80" w:type="dxa"/>
              <w:left w:w="100" w:type="dxa"/>
              <w:right w:w="100" w:type="dxa"/>
            </w:tcMar>
          </w:tcPr>
          <w:p>
            <w:pPr>
              <w:jc w:val="right"/>
            </w:pPr>
            <w:r>
              <w:rPr>
                <w:sz w:val="17"/>
              </w:rPr>
              <w:t>14.5%</w:t>
            </w:r>
          </w:p>
        </w:tc>
      </w:tr>
      <w:tr>
        <w:tc>
          <w:tcPr>
            <w:tcW w:type="dxa" w:w="2484"/>
            <w:shd w:fill="FFFFFF"/>
            <w:tcMar>
              <w:top w:w="80" w:type="dxa"/>
              <w:bottom w:w="80" w:type="dxa"/>
              <w:left w:w="100" w:type="dxa"/>
              <w:right w:w="100" w:type="dxa"/>
            </w:tcMar>
          </w:tcPr>
          <w:p>
            <w:r>
              <w:rPr>
                <w:sz w:val="17"/>
              </w:rPr>
              <w:t>Phase 2: Canonical CBT Exam Simulation &amp; Scoring Engine</w:t>
            </w:r>
          </w:p>
        </w:tc>
        <w:tc>
          <w:tcPr>
            <w:tcW w:type="dxa" w:w="2484"/>
            <w:shd w:fill="FFFFFF"/>
            <w:tcMar>
              <w:top w:w="80" w:type="dxa"/>
              <w:bottom w:w="80" w:type="dxa"/>
              <w:left w:w="100" w:type="dxa"/>
              <w:right w:w="100" w:type="dxa"/>
            </w:tcMar>
          </w:tcPr>
          <w:p>
            <w:r>
              <w:rPr>
                <w:sz w:val="17"/>
              </w:rPr>
              <w:t>Strict IIT marking rules (+1, +2, -1/3, -2/3, MSQ exact match, NAT interval epsilon tolerances), 5-state CBT palette machine, virtual scientific calculator.</w:t>
            </w:r>
          </w:p>
        </w:tc>
        <w:tc>
          <w:tcPr>
            <w:tcW w:type="dxa" w:w="2484"/>
            <w:shd w:fill="FFFFFF"/>
            <w:tcMar>
              <w:top w:w="80" w:type="dxa"/>
              <w:bottom w:w="80" w:type="dxa"/>
              <w:left w:w="100" w:type="dxa"/>
              <w:right w:w="100" w:type="dxa"/>
            </w:tcMar>
          </w:tcPr>
          <w:p>
            <w:pPr>
              <w:jc w:val="right"/>
            </w:pPr>
            <w:r>
              <w:rPr>
                <w:sz w:val="17"/>
              </w:rPr>
              <w:t>95 Hours</w:t>
            </w:r>
          </w:p>
        </w:tc>
        <w:tc>
          <w:tcPr>
            <w:tcW w:type="dxa" w:w="2484"/>
            <w:shd w:fill="FFFFFF"/>
            <w:tcMar>
              <w:top w:w="80" w:type="dxa"/>
              <w:bottom w:w="80" w:type="dxa"/>
              <w:left w:w="100" w:type="dxa"/>
              <w:right w:w="100" w:type="dxa"/>
            </w:tcMar>
          </w:tcPr>
          <w:p>
            <w:pPr>
              <w:jc w:val="right"/>
            </w:pPr>
            <w:r>
              <w:rPr>
                <w:sz w:val="17"/>
              </w:rPr>
              <w:t>11.4%</w:t>
            </w:r>
          </w:p>
        </w:tc>
      </w:tr>
      <w:tr>
        <w:tc>
          <w:tcPr>
            <w:tcW w:type="dxa" w:w="2484"/>
            <w:shd w:fill="F8FAFC"/>
            <w:tcMar>
              <w:top w:w="80" w:type="dxa"/>
              <w:bottom w:w="80" w:type="dxa"/>
              <w:left w:w="100" w:type="dxa"/>
              <w:right w:w="100" w:type="dxa"/>
            </w:tcMar>
          </w:tcPr>
          <w:p>
            <w:r>
              <w:rPr>
                <w:sz w:val="17"/>
              </w:rPr>
              <w:t>Phase 3: Custom Mock Paper Engineering (50 Full Papers)</w:t>
            </w:r>
          </w:p>
        </w:tc>
        <w:tc>
          <w:tcPr>
            <w:tcW w:type="dxa" w:w="2484"/>
            <w:shd w:fill="F8FAFC"/>
            <w:tcMar>
              <w:top w:w="80" w:type="dxa"/>
              <w:bottom w:w="80" w:type="dxa"/>
              <w:left w:w="100" w:type="dxa"/>
              <w:right w:w="100" w:type="dxa"/>
            </w:tcMar>
          </w:tcPr>
          <w:p>
            <w:r>
              <w:rPr>
                <w:sz w:val="17"/>
              </w:rPr>
              <w:t>Authoring, structuring, and verifying 50 full-length papers (3,250 Qs) strictly conforming to the 65-Q 100-mark blueprint. 50 downloadable Word mock papers.</w:t>
            </w:r>
          </w:p>
        </w:tc>
        <w:tc>
          <w:tcPr>
            <w:tcW w:type="dxa" w:w="2484"/>
            <w:shd w:fill="F8FAFC"/>
            <w:tcMar>
              <w:top w:w="80" w:type="dxa"/>
              <w:bottom w:w="80" w:type="dxa"/>
              <w:left w:w="100" w:type="dxa"/>
              <w:right w:w="100" w:type="dxa"/>
            </w:tcMar>
          </w:tcPr>
          <w:p>
            <w:pPr>
              <w:jc w:val="right"/>
            </w:pPr>
            <w:r>
              <w:rPr>
                <w:sz w:val="17"/>
              </w:rPr>
              <w:t>160 Hours</w:t>
            </w:r>
          </w:p>
        </w:tc>
        <w:tc>
          <w:tcPr>
            <w:tcW w:type="dxa" w:w="2484"/>
            <w:shd w:fill="F8FAFC"/>
            <w:tcMar>
              <w:top w:w="80" w:type="dxa"/>
              <w:bottom w:w="80" w:type="dxa"/>
              <w:left w:w="100" w:type="dxa"/>
              <w:right w:w="100" w:type="dxa"/>
            </w:tcMar>
          </w:tcPr>
          <w:p>
            <w:pPr>
              <w:jc w:val="right"/>
            </w:pPr>
            <w:r>
              <w:rPr>
                <w:sz w:val="17"/>
              </w:rPr>
              <w:t>19.3%</w:t>
            </w:r>
          </w:p>
        </w:tc>
      </w:tr>
      <w:tr>
        <w:tc>
          <w:tcPr>
            <w:tcW w:type="dxa" w:w="2484"/>
            <w:shd w:fill="FFFFFF"/>
            <w:tcMar>
              <w:top w:w="80" w:type="dxa"/>
              <w:bottom w:w="80" w:type="dxa"/>
              <w:left w:w="100" w:type="dxa"/>
              <w:right w:w="100" w:type="dxa"/>
            </w:tcMar>
          </w:tcPr>
          <w:p>
            <w:r>
              <w:rPr>
                <w:sz w:val="17"/>
              </w:rPr>
              <w:t>Phase 4: Autonomous Question Bank &amp; Practice Hub</w:t>
            </w:r>
          </w:p>
        </w:tc>
        <w:tc>
          <w:tcPr>
            <w:tcW w:type="dxa" w:w="2484"/>
            <w:shd w:fill="FFFFFF"/>
            <w:tcMar>
              <w:top w:w="80" w:type="dxa"/>
              <w:bottom w:w="80" w:type="dxa"/>
              <w:left w:w="100" w:type="dxa"/>
              <w:right w:w="100" w:type="dxa"/>
            </w:tcMar>
          </w:tcPr>
          <w:p>
            <w:r>
              <w:rPr>
                <w:sz w:val="17"/>
              </w:rPr>
              <w:t>Hierarchical syllabus taxonomy (8 sections, 32 topics, 120+ subtopics), dynamic session pool builder, question filtering cascade, practice player UI.</w:t>
            </w:r>
          </w:p>
        </w:tc>
        <w:tc>
          <w:tcPr>
            <w:tcW w:type="dxa" w:w="2484"/>
            <w:shd w:fill="FFFFFF"/>
            <w:tcMar>
              <w:top w:w="80" w:type="dxa"/>
              <w:bottom w:w="80" w:type="dxa"/>
              <w:left w:w="100" w:type="dxa"/>
              <w:right w:w="100" w:type="dxa"/>
            </w:tcMar>
          </w:tcPr>
          <w:p>
            <w:pPr>
              <w:jc w:val="right"/>
            </w:pPr>
            <w:r>
              <w:rPr>
                <w:sz w:val="17"/>
              </w:rPr>
              <w:t>85 Hours</w:t>
            </w:r>
          </w:p>
        </w:tc>
        <w:tc>
          <w:tcPr>
            <w:tcW w:type="dxa" w:w="2484"/>
            <w:shd w:fill="FFFFFF"/>
            <w:tcMar>
              <w:top w:w="80" w:type="dxa"/>
              <w:bottom w:w="80" w:type="dxa"/>
              <w:left w:w="100" w:type="dxa"/>
              <w:right w:w="100" w:type="dxa"/>
            </w:tcMar>
          </w:tcPr>
          <w:p>
            <w:pPr>
              <w:jc w:val="right"/>
            </w:pPr>
            <w:r>
              <w:rPr>
                <w:sz w:val="17"/>
              </w:rPr>
              <w:t>10.2%</w:t>
            </w:r>
          </w:p>
        </w:tc>
      </w:tr>
      <w:tr>
        <w:tc>
          <w:tcPr>
            <w:tcW w:type="dxa" w:w="2484"/>
            <w:shd w:fill="F8FAFC"/>
            <w:tcMar>
              <w:top w:w="80" w:type="dxa"/>
              <w:bottom w:w="80" w:type="dxa"/>
              <w:left w:w="100" w:type="dxa"/>
              <w:right w:w="100" w:type="dxa"/>
            </w:tcMar>
          </w:tcPr>
          <w:p>
            <w:r>
              <w:rPr>
                <w:sz w:val="17"/>
              </w:rPr>
              <w:t>Phase 5: AI Diagnostic Radar &amp; Auto-Remediation</w:t>
            </w:r>
          </w:p>
        </w:tc>
        <w:tc>
          <w:tcPr>
            <w:tcW w:type="dxa" w:w="2484"/>
            <w:shd w:fill="F8FAFC"/>
            <w:tcMar>
              <w:top w:w="80" w:type="dxa"/>
              <w:bottom w:w="80" w:type="dxa"/>
              <w:left w:w="100" w:type="dxa"/>
              <w:right w:w="100" w:type="dxa"/>
            </w:tcMar>
          </w:tcPr>
          <w:p>
            <w:r>
              <w:rPr>
                <w:sz w:val="17"/>
              </w:rPr>
              <w:t>Multi-factor vulnerability score computation, weakness detection, Gemini AI step-by-step tutoring, automated printable PDF error-correction worksheets.</w:t>
            </w:r>
          </w:p>
        </w:tc>
        <w:tc>
          <w:tcPr>
            <w:tcW w:type="dxa" w:w="2484"/>
            <w:shd w:fill="F8FAFC"/>
            <w:tcMar>
              <w:top w:w="80" w:type="dxa"/>
              <w:bottom w:w="80" w:type="dxa"/>
              <w:left w:w="100" w:type="dxa"/>
              <w:right w:w="100" w:type="dxa"/>
            </w:tcMar>
          </w:tcPr>
          <w:p>
            <w:pPr>
              <w:jc w:val="right"/>
            </w:pPr>
            <w:r>
              <w:rPr>
                <w:sz w:val="17"/>
              </w:rPr>
              <w:t>75 Hours</w:t>
            </w:r>
          </w:p>
        </w:tc>
        <w:tc>
          <w:tcPr>
            <w:tcW w:type="dxa" w:w="2484"/>
            <w:shd w:fill="F8FAFC"/>
            <w:tcMar>
              <w:top w:w="80" w:type="dxa"/>
              <w:bottom w:w="80" w:type="dxa"/>
              <w:left w:w="100" w:type="dxa"/>
              <w:right w:w="100" w:type="dxa"/>
            </w:tcMar>
          </w:tcPr>
          <w:p>
            <w:pPr>
              <w:jc w:val="right"/>
            </w:pPr>
            <w:r>
              <w:rPr>
                <w:sz w:val="17"/>
              </w:rPr>
              <w:t>9.0%</w:t>
            </w:r>
          </w:p>
        </w:tc>
      </w:tr>
      <w:tr>
        <w:tc>
          <w:tcPr>
            <w:tcW w:type="dxa" w:w="2484"/>
            <w:shd w:fill="FFFFFF"/>
            <w:tcMar>
              <w:top w:w="80" w:type="dxa"/>
              <w:bottom w:w="80" w:type="dxa"/>
              <w:left w:w="100" w:type="dxa"/>
              <w:right w:w="100" w:type="dxa"/>
            </w:tcMar>
          </w:tcPr>
          <w:p>
            <w:r>
              <w:rPr>
                <w:sz w:val="17"/>
              </w:rPr>
              <w:t>Phase 6: Multi-Tier Gamification &amp; Real-Time Sync</w:t>
            </w:r>
          </w:p>
        </w:tc>
        <w:tc>
          <w:tcPr>
            <w:tcW w:type="dxa" w:w="2484"/>
            <w:shd w:fill="FFFFFF"/>
            <w:tcMar>
              <w:top w:w="80" w:type="dxa"/>
              <w:bottom w:w="80" w:type="dxa"/>
              <w:left w:w="100" w:type="dxa"/>
              <w:right w:w="100" w:type="dxa"/>
            </w:tcMar>
          </w:tcPr>
          <w:p>
            <w:r>
              <w:rPr>
                <w:sz w:val="17"/>
              </w:rPr>
              <w:t>Academic XP (+1 correct, +0.5 effort, milestone bonuses, anti-peeking penalty), Break XP, Contributor XP, BroadcastChannel &amp; Supabase Realtime multi-device sync.</w:t>
            </w:r>
          </w:p>
        </w:tc>
        <w:tc>
          <w:tcPr>
            <w:tcW w:type="dxa" w:w="2484"/>
            <w:shd w:fill="FFFFFF"/>
            <w:tcMar>
              <w:top w:w="80" w:type="dxa"/>
              <w:bottom w:w="80" w:type="dxa"/>
              <w:left w:w="100" w:type="dxa"/>
              <w:right w:w="100" w:type="dxa"/>
            </w:tcMar>
          </w:tcPr>
          <w:p>
            <w:pPr>
              <w:jc w:val="right"/>
            </w:pPr>
            <w:r>
              <w:rPr>
                <w:sz w:val="17"/>
              </w:rPr>
              <w:t>70 Hours</w:t>
            </w:r>
          </w:p>
        </w:tc>
        <w:tc>
          <w:tcPr>
            <w:tcW w:type="dxa" w:w="2484"/>
            <w:shd w:fill="FFFFFF"/>
            <w:tcMar>
              <w:top w:w="80" w:type="dxa"/>
              <w:bottom w:w="80" w:type="dxa"/>
              <w:left w:w="100" w:type="dxa"/>
              <w:right w:w="100" w:type="dxa"/>
            </w:tcMar>
          </w:tcPr>
          <w:p>
            <w:pPr>
              <w:jc w:val="right"/>
            </w:pPr>
            <w:r>
              <w:rPr>
                <w:sz w:val="17"/>
              </w:rPr>
              <w:t>8.4%</w:t>
            </w:r>
          </w:p>
        </w:tc>
      </w:tr>
      <w:tr>
        <w:tc>
          <w:tcPr>
            <w:tcW w:type="dxa" w:w="2484"/>
            <w:shd w:fill="F8FAFC"/>
            <w:tcMar>
              <w:top w:w="80" w:type="dxa"/>
              <w:bottom w:w="80" w:type="dxa"/>
              <w:left w:w="100" w:type="dxa"/>
              <w:right w:w="100" w:type="dxa"/>
            </w:tcMar>
          </w:tcPr>
          <w:p>
            <w:r>
              <w:rPr>
                <w:sz w:val="17"/>
              </w:rPr>
              <w:t>Phase 7: Break Zone Arcade Ecosystem (20+ Mini-Games)</w:t>
            </w:r>
          </w:p>
        </w:tc>
        <w:tc>
          <w:tcPr>
            <w:tcW w:type="dxa" w:w="2484"/>
            <w:shd w:fill="F8FAFC"/>
            <w:tcMar>
              <w:top w:w="80" w:type="dxa"/>
              <w:bottom w:w="80" w:type="dxa"/>
              <w:left w:w="100" w:type="dxa"/>
              <w:right w:w="100" w:type="dxa"/>
            </w:tcMar>
          </w:tcPr>
          <w:p>
            <w:r>
              <w:rPr>
                <w:sz w:val="17"/>
              </w:rPr>
              <w:t>Engineering stress-relief arcade (Cyber Bullet Hell Boss, 1v1 Realtime Math Duel, Canal Frogger, Agri Snake, Farm 2048, Agri Farm Garage progression).</w:t>
            </w:r>
          </w:p>
        </w:tc>
        <w:tc>
          <w:tcPr>
            <w:tcW w:type="dxa" w:w="2484"/>
            <w:shd w:fill="F8FAFC"/>
            <w:tcMar>
              <w:top w:w="80" w:type="dxa"/>
              <w:bottom w:w="80" w:type="dxa"/>
              <w:left w:w="100" w:type="dxa"/>
              <w:right w:w="100" w:type="dxa"/>
            </w:tcMar>
          </w:tcPr>
          <w:p>
            <w:pPr>
              <w:jc w:val="right"/>
            </w:pPr>
            <w:r>
              <w:rPr>
                <w:sz w:val="17"/>
              </w:rPr>
              <w:t>90 Hours</w:t>
            </w:r>
          </w:p>
        </w:tc>
        <w:tc>
          <w:tcPr>
            <w:tcW w:type="dxa" w:w="2484"/>
            <w:shd w:fill="F8FAFC"/>
            <w:tcMar>
              <w:top w:w="80" w:type="dxa"/>
              <w:bottom w:w="80" w:type="dxa"/>
              <w:left w:w="100" w:type="dxa"/>
              <w:right w:w="100" w:type="dxa"/>
            </w:tcMar>
          </w:tcPr>
          <w:p>
            <w:pPr>
              <w:jc w:val="right"/>
            </w:pPr>
            <w:r>
              <w:rPr>
                <w:sz w:val="17"/>
              </w:rPr>
              <w:t>10.8%</w:t>
            </w:r>
          </w:p>
        </w:tc>
      </w:tr>
      <w:tr>
        <w:tc>
          <w:tcPr>
            <w:tcW w:type="dxa" w:w="2484"/>
            <w:shd w:fill="FFFFFF"/>
            <w:tcMar>
              <w:top w:w="80" w:type="dxa"/>
              <w:bottom w:w="80" w:type="dxa"/>
              <w:left w:w="100" w:type="dxa"/>
              <w:right w:w="100" w:type="dxa"/>
            </w:tcMar>
          </w:tcPr>
          <w:p>
            <w:r>
              <w:rPr>
                <w:sz w:val="17"/>
              </w:rPr>
              <w:t>Phase 8: Automated Testing, DevOps &amp; Vite Code Splitting</w:t>
            </w:r>
          </w:p>
        </w:tc>
        <w:tc>
          <w:tcPr>
            <w:tcW w:type="dxa" w:w="2484"/>
            <w:shd w:fill="FFFFFF"/>
            <w:tcMar>
              <w:top w:w="80" w:type="dxa"/>
              <w:bottom w:w="80" w:type="dxa"/>
              <w:left w:w="100" w:type="dxa"/>
              <w:right w:w="100" w:type="dxa"/>
            </w:tcMar>
          </w:tcPr>
          <w:p>
            <w:r>
              <w:rPr>
                <w:sz w:val="17"/>
              </w:rPr>
              <w:t>Authoring 632 tests across 111 suites (100% pass), manualChunk grouping for 15+ vendor/dataset bundles, KaTeX font optimization, sub-3s production builds.</w:t>
            </w:r>
          </w:p>
        </w:tc>
        <w:tc>
          <w:tcPr>
            <w:tcW w:type="dxa" w:w="2484"/>
            <w:shd w:fill="FFFFFF"/>
            <w:tcMar>
              <w:top w:w="80" w:type="dxa"/>
              <w:bottom w:w="80" w:type="dxa"/>
              <w:left w:w="100" w:type="dxa"/>
              <w:right w:w="100" w:type="dxa"/>
            </w:tcMar>
          </w:tcPr>
          <w:p>
            <w:pPr>
              <w:jc w:val="right"/>
            </w:pPr>
            <w:r>
              <w:rPr>
                <w:sz w:val="17"/>
              </w:rPr>
              <w:t>80 Hours</w:t>
            </w:r>
          </w:p>
        </w:tc>
        <w:tc>
          <w:tcPr>
            <w:tcW w:type="dxa" w:w="2484"/>
            <w:shd w:fill="FFFFFF"/>
            <w:tcMar>
              <w:top w:w="80" w:type="dxa"/>
              <w:bottom w:w="80" w:type="dxa"/>
              <w:left w:w="100" w:type="dxa"/>
              <w:right w:w="100" w:type="dxa"/>
            </w:tcMar>
          </w:tcPr>
          <w:p>
            <w:pPr>
              <w:jc w:val="right"/>
            </w:pPr>
            <w:r>
              <w:rPr>
                <w:sz w:val="17"/>
              </w:rPr>
              <w:t>9.6%</w:t>
            </w:r>
          </w:p>
        </w:tc>
      </w:tr>
      <w:tr>
        <w:tc>
          <w:tcPr>
            <w:tcW w:type="dxa" w:w="2484"/>
            <w:shd w:fill="F8FAFC"/>
            <w:tcMar>
              <w:top w:w="80" w:type="dxa"/>
              <w:bottom w:w="80" w:type="dxa"/>
              <w:left w:w="100" w:type="dxa"/>
              <w:right w:w="100" w:type="dxa"/>
            </w:tcMar>
          </w:tcPr>
          <w:p>
            <w:r>
              <w:rPr>
                <w:sz w:val="17"/>
              </w:rPr>
              <w:t>Phase 9: Security, User Roles, Moderation &amp; Offline PWA</w:t>
            </w:r>
          </w:p>
        </w:tc>
        <w:tc>
          <w:tcPr>
            <w:tcW w:type="dxa" w:w="2484"/>
            <w:shd w:fill="F8FAFC"/>
            <w:tcMar>
              <w:top w:w="80" w:type="dxa"/>
              <w:bottom w:w="80" w:type="dxa"/>
              <w:left w:w="100" w:type="dxa"/>
              <w:right w:w="100" w:type="dxa"/>
            </w:tcMar>
          </w:tcPr>
          <w:p>
            <w:r>
              <w:rPr>
                <w:sz w:val="17"/>
              </w:rPr>
              <w:t>Idempotent localStorage/IndexedDB sync queue, guest preview gates, profanity filter, solver/faculty roles, moderation audit log, ServiceWorker offline caching.</w:t>
            </w:r>
          </w:p>
        </w:tc>
        <w:tc>
          <w:tcPr>
            <w:tcW w:type="dxa" w:w="2484"/>
            <w:shd w:fill="F8FAFC"/>
            <w:tcMar>
              <w:top w:w="80" w:type="dxa"/>
              <w:bottom w:w="80" w:type="dxa"/>
              <w:left w:w="100" w:type="dxa"/>
              <w:right w:w="100" w:type="dxa"/>
            </w:tcMar>
          </w:tcPr>
          <w:p>
            <w:pPr>
              <w:jc w:val="right"/>
            </w:pPr>
            <w:r>
              <w:rPr>
                <w:sz w:val="17"/>
              </w:rPr>
              <w:t>55 Hours</w:t>
            </w:r>
          </w:p>
        </w:tc>
        <w:tc>
          <w:tcPr>
            <w:tcW w:type="dxa" w:w="2484"/>
            <w:shd w:fill="F8FAFC"/>
            <w:tcMar>
              <w:top w:w="80" w:type="dxa"/>
              <w:bottom w:w="80" w:type="dxa"/>
              <w:left w:w="100" w:type="dxa"/>
              <w:right w:w="100" w:type="dxa"/>
            </w:tcMar>
          </w:tcPr>
          <w:p>
            <w:pPr>
              <w:jc w:val="right"/>
            </w:pPr>
            <w:r>
              <w:rPr>
                <w:sz w:val="17"/>
              </w:rPr>
              <w:t>6.6%</w:t>
            </w:r>
          </w:p>
        </w:tc>
      </w:tr>
      <w:tr>
        <w:tc>
          <w:tcPr>
            <w:tcW w:type="dxa" w:w="2484"/>
            <w:shd w:fill="E2E8F0"/>
            <w:tcMar>
              <w:top w:w="80" w:type="dxa"/>
              <w:bottom w:w="80" w:type="dxa"/>
              <w:left w:w="100" w:type="dxa"/>
              <w:right w:w="100" w:type="dxa"/>
            </w:tcMar>
          </w:tcPr>
          <w:p>
            <w:r>
              <w:rPr>
                <w:b/>
                <w:color w:val="1E3A8A"/>
                <w:sz w:val="19"/>
              </w:rPr>
              <w:t>TOTAL ESTIMATED EFFORT</w:t>
            </w:r>
          </w:p>
        </w:tc>
        <w:tc>
          <w:tcPr>
            <w:tcW w:type="dxa" w:w="2484"/>
            <w:shd w:fill="E2E8F0"/>
            <w:tcMar>
              <w:top w:w="80" w:type="dxa"/>
              <w:bottom w:w="80" w:type="dxa"/>
              <w:left w:w="100" w:type="dxa"/>
              <w:right w:w="100" w:type="dxa"/>
            </w:tcMar>
          </w:tcPr>
          <w:p>
            <w:r>
              <w:rPr>
                <w:b/>
                <w:color w:val="1E3A8A"/>
                <w:sz w:val="19"/>
              </w:rPr>
              <w:t>Complete full-stack platform design, engineering, content creation, validation, and automated quality assurance.</w:t>
            </w:r>
          </w:p>
        </w:tc>
        <w:tc>
          <w:tcPr>
            <w:tcW w:type="dxa" w:w="2484"/>
            <w:shd w:fill="E2E8F0"/>
            <w:tcMar>
              <w:top w:w="80" w:type="dxa"/>
              <w:bottom w:w="80" w:type="dxa"/>
              <w:left w:w="100" w:type="dxa"/>
              <w:right w:w="100" w:type="dxa"/>
            </w:tcMar>
          </w:tcPr>
          <w:p>
            <w:pPr>
              <w:jc w:val="right"/>
            </w:pPr>
            <w:r>
              <w:rPr>
                <w:b/>
                <w:color w:val="1E3A8A"/>
                <w:sz w:val="19"/>
              </w:rPr>
              <w:t>830 Hours</w:t>
            </w:r>
          </w:p>
        </w:tc>
        <w:tc>
          <w:tcPr>
            <w:tcW w:type="dxa" w:w="2484"/>
            <w:shd w:fill="E2E8F0"/>
            <w:tcMar>
              <w:top w:w="80" w:type="dxa"/>
              <w:bottom w:w="80" w:type="dxa"/>
              <w:left w:w="100" w:type="dxa"/>
              <w:right w:w="100" w:type="dxa"/>
            </w:tcMar>
          </w:tcPr>
          <w:p>
            <w:pPr>
              <w:jc w:val="right"/>
            </w:pPr>
            <w:r>
              <w:rPr>
                <w:b/>
                <w:color w:val="1E3A8A"/>
                <w:sz w:val="19"/>
              </w:rPr>
              <w:t>100.0%</w:t>
            </w:r>
          </w:p>
        </w:tc>
      </w:tr>
    </w:tbl>
    <w:p>
      <w:pPr>
        <w:spacing w:after="200"/>
      </w:pPr>
    </w:p>
    <w:p>
      <w:r>
        <w:t>Industry Benchmark Comparison: In a traditional corporate software development team, 830 engineering hours translates to approximately 5 to 6 months of full-time development for a senior full-stack engineer, or 2 to 3 months for a dedicated 4-person cross-functional squad (comprising a Tech Lead, Frontend Engineer, QA Specialist, and Content SME). Delivering this volume of verified pedagogical content alongside zero-dependency mathematical scoring and high-performance SPA architecture demonstrates extraordinary solo-developer velocity and end-to-end execution capability.</w:t>
      </w:r>
    </w:p>
    <w:p>
      <w:pPr>
        <w:spacing w:before="360" w:after="120"/>
      </w:pPr>
      <w:r>
        <w:rPr>
          <w:b/>
          <w:color w:val="1E3A8A"/>
          <w:sz w:val="30"/>
        </w:rPr>
        <w:t>3. Core Architectural Modules &amp; Subsystem Breakdown</w:t>
      </w:r>
    </w:p>
    <w:p>
      <w:pPr>
        <w:spacing w:before="240" w:after="80"/>
      </w:pPr>
      <w:r>
        <w:rPr>
          <w:b/>
          <w:color w:val="059669"/>
          <w:sz w:val="25"/>
        </w:rPr>
        <w:t>3.1 Canonical CBT Examination &amp; Scoring Engine</w:t>
      </w:r>
    </w:p>
    <w:p>
      <w:pPr>
        <w:pStyle w:val="ListBullet"/>
        <w:spacing w:after="60"/>
      </w:pPr>
      <w:r>
        <w:rPr>
          <w:b/>
          <w:color w:val="1E3A8A"/>
        </w:rPr>
        <w:t xml:space="preserve">Official Examination Fidelity: </w:t>
      </w:r>
      <w:r>
        <w:rPr>
          <w:color w:val="334155"/>
        </w:rPr>
        <w:t>Implements exact 180-minute countdown timer, automatic submission upon expiry, and question palette with 5 official GATE states (Not Visited, Not Answered, Answered, Marked for Review, and Answered &amp; Marked).</w:t>
      </w:r>
    </w:p>
    <w:p>
      <w:pPr>
        <w:pStyle w:val="ListBullet"/>
        <w:spacing w:after="60"/>
      </w:pPr>
      <w:r>
        <w:rPr>
          <w:b/>
          <w:color w:val="1E3A8A"/>
        </w:rPr>
        <w:t xml:space="preserve">Strict Negative Marking: </w:t>
      </w:r>
      <w:r>
        <w:rPr>
          <w:color w:val="334155"/>
        </w:rPr>
        <w:t>1-mark MCQs deduct 0.3333 marks; 2-mark MCQs deduct 0.6667 marks. MSQs grant marks only for 100% exact set matches with zero partial credit and zero negative deduction.</w:t>
      </w:r>
    </w:p>
    <w:p>
      <w:pPr>
        <w:pStyle w:val="ListBullet"/>
        <w:spacing w:after="60"/>
      </w:pPr>
      <w:r>
        <w:rPr>
          <w:b/>
          <w:color w:val="1E3A8A"/>
        </w:rPr>
        <w:t xml:space="preserve">Floating-Point NAT Tolerances: </w:t>
      </w:r>
      <w:r>
        <w:rPr>
          <w:color w:val="334155"/>
        </w:rPr>
        <w:t>Numerical Answer Type (NAT) evaluation implements interval bounds with floating-point epsilon precision (1e-7), supporting comma, period, and unit-tolerant parsing.</w:t>
      </w:r>
    </w:p>
    <w:p>
      <w:pPr>
        <w:pStyle w:val="ListBullet"/>
        <w:spacing w:after="60"/>
      </w:pPr>
      <w:r>
        <w:rPr>
          <w:b/>
          <w:color w:val="1E3A8A"/>
        </w:rPr>
        <w:t xml:space="preserve">On-Screen Virtual Scientific Calculator: </w:t>
      </w:r>
      <w:r>
        <w:rPr>
          <w:color w:val="334155"/>
        </w:rPr>
        <w:t>Full replication of the official IIT GATE Web Calculator with logarithmic, trigonometric, hyperbolic, and memory functions.</w:t>
      </w:r>
    </w:p>
    <w:p>
      <w:pPr>
        <w:spacing w:before="240" w:after="80"/>
      </w:pPr>
      <w:r>
        <w:rPr>
          <w:b/>
          <w:color w:val="059669"/>
          <w:sz w:val="25"/>
        </w:rPr>
        <w:t>3.2 Offline-First Data Resilience &amp; Idempotent Sync</w:t>
      </w:r>
    </w:p>
    <w:p>
      <w:pPr>
        <w:pStyle w:val="ListBullet"/>
        <w:spacing w:after="60"/>
      </w:pPr>
      <w:r>
        <w:rPr>
          <w:b/>
          <w:color w:val="1E3A8A"/>
        </w:rPr>
        <w:t xml:space="preserve">Dual-Layer Local Persistence: </w:t>
      </w:r>
      <w:r>
        <w:rPr>
          <w:color w:val="334155"/>
        </w:rPr>
        <w:t>Attempts and user progress are stored simultaneously in IndexedDB and localStorage, ensuring 100% offline capability without requiring an initial network handshake.</w:t>
      </w:r>
    </w:p>
    <w:p>
      <w:pPr>
        <w:pStyle w:val="ListBullet"/>
        <w:spacing w:after="60"/>
      </w:pPr>
      <w:r>
        <w:rPr>
          <w:b/>
          <w:color w:val="1E3A8A"/>
        </w:rPr>
        <w:t xml:space="preserve">Idempotent Synchronization Queue: </w:t>
      </w:r>
      <w:r>
        <w:rPr>
          <w:color w:val="334155"/>
        </w:rPr>
        <w:t>Offline attempts are assigned client UUIDs (UUIDv4) and synced upon network reconnection. Duplicate requests are resolved idempotently without duplicate scoring.</w:t>
      </w:r>
    </w:p>
    <w:p>
      <w:pPr>
        <w:pStyle w:val="ListBullet"/>
        <w:spacing w:after="60"/>
      </w:pPr>
      <w:r>
        <w:rPr>
          <w:b/>
          <w:color w:val="1E3A8A"/>
        </w:rPr>
        <w:t xml:space="preserve">Cross-Tab Live Broadcasting: </w:t>
      </w:r>
      <w:r>
        <w:rPr>
          <w:color w:val="334155"/>
        </w:rPr>
        <w:t>Utilizes HTML5 BroadcastChannel API to synchronize student XP, Break points, and active session states across tabs in real-time.</w:t>
      </w:r>
    </w:p>
    <w:p>
      <w:pPr>
        <w:spacing w:before="240" w:after="80"/>
      </w:pPr>
      <w:r>
        <w:rPr>
          <w:b/>
          <w:color w:val="059669"/>
          <w:sz w:val="25"/>
        </w:rPr>
        <w:t>3.3 Practice Hub &amp; Autonomous Question Bank</w:t>
      </w:r>
    </w:p>
    <w:p>
      <w:pPr>
        <w:pStyle w:val="ListBullet"/>
        <w:spacing w:after="60"/>
      </w:pPr>
      <w:r>
        <w:rPr>
          <w:b/>
          <w:color w:val="1E3A8A"/>
        </w:rPr>
        <w:t xml:space="preserve">Hierarchical Syllabus Taxonomy: </w:t>
      </w:r>
      <w:r>
        <w:rPr>
          <w:color w:val="334155"/>
        </w:rPr>
        <w:t>Modular repository covering all 8 official GATE AG sections: Farm Machinery, Farm Power, Soil &amp; Water Conservation, Irrigation &amp; Drainage, Agricultural Process Engineering, Dairy &amp; Food Engineering, Engineering Mathematics, and General Aptitude.</w:t>
      </w:r>
    </w:p>
    <w:p>
      <w:pPr>
        <w:pStyle w:val="ListBullet"/>
        <w:spacing w:after="60"/>
      </w:pPr>
      <w:r>
        <w:rPr>
          <w:b/>
          <w:color w:val="1E3A8A"/>
        </w:rPr>
        <w:t xml:space="preserve">Multi-Section Allocation Engine: </w:t>
      </w:r>
      <w:r>
        <w:rPr>
          <w:color w:val="334155"/>
        </w:rPr>
        <w:t>Dynamic practice pool builder allows students to select custom question quotas per section and practice targeted subtopics.</w:t>
      </w:r>
    </w:p>
    <w:p>
      <w:pPr>
        <w:pStyle w:val="ListBullet"/>
        <w:spacing w:after="60"/>
      </w:pPr>
      <w:r>
        <w:rPr>
          <w:b/>
          <w:color w:val="1E3A8A"/>
        </w:rPr>
        <w:t xml:space="preserve">Stutter-Free DOM Rendering: </w:t>
      </w:r>
      <w:r>
        <w:rPr>
          <w:color w:val="334155"/>
        </w:rPr>
        <w:t>Palette chunking (50-question windowing) ensures lag-free scrolling and instant state transitions across 5,000+ active questions.</w:t>
      </w:r>
    </w:p>
    <w:p>
      <w:pPr>
        <w:spacing w:before="240" w:after="80"/>
      </w:pPr>
      <w:r>
        <w:rPr>
          <w:b/>
          <w:color w:val="059669"/>
          <w:sz w:val="25"/>
        </w:rPr>
        <w:t>3.4 Multi-Tier Gamification &amp; Strict Anti-Peeking Governance</w:t>
      </w:r>
    </w:p>
    <w:p>
      <w:pPr>
        <w:pStyle w:val="ListBullet"/>
        <w:spacing w:after="60"/>
      </w:pPr>
      <w:r>
        <w:rPr>
          <w:b/>
          <w:color w:val="1E3A8A"/>
        </w:rPr>
        <w:t xml:space="preserve">Academic XP (+1.0 / +0.5): </w:t>
      </w:r>
      <w:r>
        <w:rPr>
          <w:color w:val="334155"/>
        </w:rPr>
        <w:t>Awards +1.0 XP per correct question, +0.5 XP effort credit for incorrect attempts, +5.0 XP for every 15 questions completed in a session, and +15.0 XP for full mock completion.</w:t>
      </w:r>
    </w:p>
    <w:p>
      <w:pPr>
        <w:pStyle w:val="ListBullet"/>
        <w:spacing w:after="60"/>
      </w:pPr>
      <w:r>
        <w:rPr>
          <w:b/>
          <w:color w:val="1E3A8A"/>
        </w:rPr>
        <w:t xml:space="preserve">Strict Solution-Peek Penalty (0 XP): </w:t>
      </w:r>
      <w:r>
        <w:rPr>
          <w:color w:val="334155"/>
        </w:rPr>
        <w:t>If a student reveals the step-by-step solution or asks AI Tutor before submitting an answer, the attempt is permanently flagged and awards 0 XP. A warning badge explains that XP was withheld.</w:t>
      </w:r>
    </w:p>
    <w:p>
      <w:pPr>
        <w:pStyle w:val="ListBullet"/>
        <w:spacing w:after="60"/>
      </w:pPr>
      <w:r>
        <w:rPr>
          <w:b/>
          <w:color w:val="1E3A8A"/>
        </w:rPr>
        <w:t xml:space="preserve">Break Zone Arcade XP: </w:t>
      </w:r>
      <w:r>
        <w:rPr>
          <w:color w:val="334155"/>
        </w:rPr>
        <w:t>Independent gamified economy where playing engineering simulators (Canal Frogger, Locust Invaders, Cyber Boss) earns Break XP, spent on upgrading tractors and machinery in the Agri Farm Garage without inflating academic standings.</w:t>
      </w:r>
    </w:p>
    <w:p>
      <w:pPr>
        <w:pStyle w:val="ListBullet"/>
        <w:spacing w:after="60"/>
      </w:pPr>
      <w:r>
        <w:rPr>
          <w:b/>
          <w:color w:val="1E3A8A"/>
        </w:rPr>
        <w:t xml:space="preserve">Community Contributor XP (+25): </w:t>
      </w:r>
      <w:r>
        <w:rPr>
          <w:color w:val="334155"/>
        </w:rPr>
        <w:t>Peer solutions marked as 'Verified Solution' in discussions award +25 Contributor XP, unlocking Verified Solver and Faculty Contributor badges.</w:t>
      </w:r>
    </w:p>
    <w:p>
      <w:pPr>
        <w:spacing w:before="240" w:after="80"/>
      </w:pPr>
      <w:r>
        <w:rPr>
          <w:b/>
          <w:color w:val="059669"/>
          <w:sz w:val="25"/>
        </w:rPr>
        <w:t>3.5 AI Diagnostic Radar &amp; Auto-Remediation</w:t>
      </w:r>
    </w:p>
    <w:p>
      <w:pPr>
        <w:pStyle w:val="ListBullet"/>
        <w:spacing w:after="60"/>
      </w:pPr>
      <w:r>
        <w:rPr>
          <w:b/>
          <w:color w:val="1E3A8A"/>
        </w:rPr>
        <w:t xml:space="preserve">Multi-Factor Vulnerability Scoring: </w:t>
      </w:r>
      <w:r>
        <w:rPr>
          <w:color w:val="334155"/>
        </w:rPr>
        <w:t>Aggregates accuracy, negative mark losses, and pacing delays to generate section-wise mastery ratings (Stronghold, Moderate, Critical).</w:t>
      </w:r>
    </w:p>
    <w:p>
      <w:pPr>
        <w:pStyle w:val="ListBullet"/>
        <w:spacing w:after="60"/>
      </w:pPr>
      <w:r>
        <w:rPr>
          <w:b/>
          <w:color w:val="1E3A8A"/>
        </w:rPr>
        <w:t xml:space="preserve">AI Remediation Test Generator: </w:t>
      </w:r>
      <w:r>
        <w:rPr>
          <w:color w:val="334155"/>
        </w:rPr>
        <w:t>Generates targeted 15-question error-correction retests focusing on high-risk syllabus nodes.</w:t>
      </w:r>
    </w:p>
    <w:p>
      <w:pPr>
        <w:pStyle w:val="ListBullet"/>
        <w:spacing w:after="60"/>
      </w:pPr>
      <w:r>
        <w:rPr>
          <w:b/>
          <w:color w:val="1E3A8A"/>
        </w:rPr>
        <w:t xml:space="preserve">Printable PDF Worksheets: </w:t>
      </w:r>
      <w:r>
        <w:rPr>
          <w:color w:val="334155"/>
        </w:rPr>
        <w:t>One-click export of customized remediation worksheets with question diagrams and KaTeX solutions.</w:t>
      </w:r>
    </w:p>
    <w:p>
      <w:pPr>
        <w:spacing w:before="360" w:after="120"/>
      </w:pPr>
      <w:r>
        <w:rPr>
          <w:b/>
          <w:color w:val="1E3A8A"/>
          <w:sz w:val="30"/>
        </w:rPr>
        <w:t>4. Quantitative Telemetry &amp; Codebase Health Metrics</w:t>
      </w:r>
    </w:p>
    <w:tbl>
      <w:tblPr>
        <w:tblW w:type="auto" w:w="0"/>
        <w:jc w:val="center"/>
        <w:tblLayout w:type="fixed"/>
        <w:tblLook w:firstColumn="1" w:firstRow="1" w:lastColumn="0" w:lastRow="0" w:noHBand="0" w:noVBand="1" w:val="04A0"/>
      </w:tblPr>
      <w:tblGrid>
        <w:gridCol w:w="4968"/>
        <w:gridCol w:w="4968"/>
      </w:tblGrid>
      <w:tr>
        <w:tc>
          <w:tcPr>
            <w:tcW w:type="dxa" w:w="4968"/>
            <w:shd w:fill="1E3A8A"/>
          </w:tcPr>
          <w:p>
            <w:pPr>
              <w:jc w:val="center"/>
            </w:pPr>
            <w:r>
              <w:rPr>
                <w:b/>
                <w:color w:val="FFFFFF"/>
                <w:sz w:val="18"/>
              </w:rPr>
              <w:t>Engineering Telemetry Metric</w:t>
            </w:r>
          </w:p>
        </w:tc>
        <w:tc>
          <w:tcPr>
            <w:tcW w:type="dxa" w:w="4968"/>
            <w:shd w:fill="1E3A8A"/>
          </w:tcPr>
          <w:p>
            <w:pPr>
              <w:jc w:val="center"/>
            </w:pPr>
            <w:r>
              <w:rPr>
                <w:b/>
                <w:color w:val="FFFFFF"/>
                <w:sz w:val="18"/>
              </w:rPr>
              <w:t>Quantitative Value / Production Measurement</w:t>
            </w:r>
          </w:p>
        </w:tc>
      </w:tr>
      <w:tr>
        <w:tc>
          <w:tcPr>
            <w:tcW w:type="dxa" w:w="4968"/>
            <w:shd w:fill="F8FAFC"/>
            <w:tcMar>
              <w:top w:w="60" w:type="dxa"/>
              <w:bottom w:w="60" w:type="dxa"/>
              <w:left w:w="100" w:type="dxa"/>
              <w:right w:w="100" w:type="dxa"/>
            </w:tcMar>
          </w:tcPr>
          <w:p>
            <w:r>
              <w:rPr>
                <w:sz w:val="17"/>
              </w:rPr>
              <w:t>Total Source Files (Excl. node_modules/dist)</w:t>
            </w:r>
          </w:p>
        </w:tc>
        <w:tc>
          <w:tcPr>
            <w:tcW w:type="dxa" w:w="4968"/>
            <w:shd w:fill="F8FAFC"/>
            <w:tcMar>
              <w:top w:w="60" w:type="dxa"/>
              <w:bottom w:w="60" w:type="dxa"/>
              <w:left w:w="100" w:type="dxa"/>
              <w:right w:w="100" w:type="dxa"/>
            </w:tcMar>
          </w:tcPr>
          <w:p>
            <w:r>
              <w:rPr>
                <w:b/>
                <w:color w:val="1E3A8A"/>
                <w:sz w:val="17"/>
              </w:rPr>
              <w:t>223 Files</w:t>
            </w:r>
          </w:p>
        </w:tc>
      </w:tr>
      <w:tr>
        <w:tc>
          <w:tcPr>
            <w:tcW w:type="dxa" w:w="4968"/>
            <w:shd w:fill="FFFFFF"/>
            <w:tcMar>
              <w:top w:w="60" w:type="dxa"/>
              <w:bottom w:w="60" w:type="dxa"/>
              <w:left w:w="100" w:type="dxa"/>
              <w:right w:w="100" w:type="dxa"/>
            </w:tcMar>
          </w:tcPr>
          <w:p>
            <w:r>
              <w:rPr>
                <w:sz w:val="17"/>
              </w:rPr>
              <w:t>Total Codebase Volume (Lines of Code &amp; Data)</w:t>
            </w:r>
          </w:p>
        </w:tc>
        <w:tc>
          <w:tcPr>
            <w:tcW w:type="dxa" w:w="4968"/>
            <w:shd w:fill="FFFFFF"/>
            <w:tcMar>
              <w:top w:w="60" w:type="dxa"/>
              <w:bottom w:w="60" w:type="dxa"/>
              <w:left w:w="100" w:type="dxa"/>
              <w:right w:w="100" w:type="dxa"/>
            </w:tcMar>
          </w:tcPr>
          <w:p>
            <w:r>
              <w:rPr>
                <w:b/>
                <w:color w:val="1E3A8A"/>
                <w:sz w:val="17"/>
              </w:rPr>
              <w:t>218,696 Lines</w:t>
            </w:r>
          </w:p>
        </w:tc>
      </w:tr>
      <w:tr>
        <w:tc>
          <w:tcPr>
            <w:tcW w:type="dxa" w:w="4968"/>
            <w:shd w:fill="F8FAFC"/>
            <w:tcMar>
              <w:top w:w="60" w:type="dxa"/>
              <w:bottom w:w="60" w:type="dxa"/>
              <w:left w:w="100" w:type="dxa"/>
              <w:right w:w="100" w:type="dxa"/>
            </w:tcMar>
          </w:tcPr>
          <w:p>
            <w:r>
              <w:rPr>
                <w:sz w:val="17"/>
              </w:rPr>
              <w:t>JavaScript / React Components &amp; Services (JS/JSX)</w:t>
            </w:r>
          </w:p>
        </w:tc>
        <w:tc>
          <w:tcPr>
            <w:tcW w:type="dxa" w:w="4968"/>
            <w:shd w:fill="F8FAFC"/>
            <w:tcMar>
              <w:top w:w="60" w:type="dxa"/>
              <w:bottom w:w="60" w:type="dxa"/>
              <w:left w:w="100" w:type="dxa"/>
              <w:right w:w="100" w:type="dxa"/>
            </w:tcMar>
          </w:tcPr>
          <w:p>
            <w:r>
              <w:rPr>
                <w:b/>
                <w:color w:val="1E3A8A"/>
                <w:sz w:val="17"/>
              </w:rPr>
              <w:t>75,623 Lines</w:t>
            </w:r>
          </w:p>
        </w:tc>
      </w:tr>
      <w:tr>
        <w:tc>
          <w:tcPr>
            <w:tcW w:type="dxa" w:w="4968"/>
            <w:shd w:fill="FFFFFF"/>
            <w:tcMar>
              <w:top w:w="60" w:type="dxa"/>
              <w:bottom w:w="60" w:type="dxa"/>
              <w:left w:w="100" w:type="dxa"/>
              <w:right w:w="100" w:type="dxa"/>
            </w:tcMar>
          </w:tcPr>
          <w:p>
            <w:r>
              <w:rPr>
                <w:sz w:val="17"/>
              </w:rPr>
              <w:t>Automated Unit &amp; Integration Test Suites</w:t>
            </w:r>
          </w:p>
        </w:tc>
        <w:tc>
          <w:tcPr>
            <w:tcW w:type="dxa" w:w="4968"/>
            <w:shd w:fill="FFFFFF"/>
            <w:tcMar>
              <w:top w:w="60" w:type="dxa"/>
              <w:bottom w:w="60" w:type="dxa"/>
              <w:left w:w="100" w:type="dxa"/>
              <w:right w:w="100" w:type="dxa"/>
            </w:tcMar>
          </w:tcPr>
          <w:p>
            <w:r>
              <w:rPr>
                <w:b/>
                <w:color w:val="1E3A8A"/>
                <w:sz w:val="17"/>
              </w:rPr>
              <w:t>8,162 Lines (111 Suites)</w:t>
            </w:r>
          </w:p>
        </w:tc>
      </w:tr>
      <w:tr>
        <w:tc>
          <w:tcPr>
            <w:tcW w:type="dxa" w:w="4968"/>
            <w:shd w:fill="F8FAFC"/>
            <w:tcMar>
              <w:top w:w="60" w:type="dxa"/>
              <w:bottom w:w="60" w:type="dxa"/>
              <w:left w:w="100" w:type="dxa"/>
              <w:right w:w="100" w:type="dxa"/>
            </w:tcMar>
          </w:tcPr>
          <w:p>
            <w:r>
              <w:rPr>
                <w:sz w:val="17"/>
              </w:rPr>
              <w:t>Total Automated Tests Passed</w:t>
            </w:r>
          </w:p>
        </w:tc>
        <w:tc>
          <w:tcPr>
            <w:tcW w:type="dxa" w:w="4968"/>
            <w:shd w:fill="F8FAFC"/>
            <w:tcMar>
              <w:top w:w="60" w:type="dxa"/>
              <w:bottom w:w="60" w:type="dxa"/>
              <w:left w:w="100" w:type="dxa"/>
              <w:right w:w="100" w:type="dxa"/>
            </w:tcMar>
          </w:tcPr>
          <w:p>
            <w:r>
              <w:rPr>
                <w:b/>
                <w:color w:val="1E3A8A"/>
                <w:sz w:val="17"/>
              </w:rPr>
              <w:t>632 Tests (100% Pass, Exit 0)</w:t>
            </w:r>
          </w:p>
        </w:tc>
      </w:tr>
      <w:tr>
        <w:tc>
          <w:tcPr>
            <w:tcW w:type="dxa" w:w="4968"/>
            <w:shd w:fill="FFFFFF"/>
            <w:tcMar>
              <w:top w:w="60" w:type="dxa"/>
              <w:bottom w:w="60" w:type="dxa"/>
              <w:left w:w="100" w:type="dxa"/>
              <w:right w:w="100" w:type="dxa"/>
            </w:tcMar>
          </w:tcPr>
          <w:p>
            <w:r>
              <w:rPr>
                <w:sz w:val="17"/>
              </w:rPr>
              <w:t>Pedagogical Question &amp; Syllabus Repositories</w:t>
            </w:r>
          </w:p>
        </w:tc>
        <w:tc>
          <w:tcPr>
            <w:tcW w:type="dxa" w:w="4968"/>
            <w:shd w:fill="FFFFFF"/>
            <w:tcMar>
              <w:top w:w="60" w:type="dxa"/>
              <w:bottom w:w="60" w:type="dxa"/>
              <w:left w:w="100" w:type="dxa"/>
              <w:right w:w="100" w:type="dxa"/>
            </w:tcMar>
          </w:tcPr>
          <w:p>
            <w:r>
              <w:rPr>
                <w:b/>
                <w:color w:val="1E3A8A"/>
                <w:sz w:val="17"/>
              </w:rPr>
              <w:t>134,157 Lines of JSON/Data</w:t>
            </w:r>
          </w:p>
        </w:tc>
      </w:tr>
      <w:tr>
        <w:tc>
          <w:tcPr>
            <w:tcW w:type="dxa" w:w="4968"/>
            <w:shd w:fill="F8FAFC"/>
            <w:tcMar>
              <w:top w:w="60" w:type="dxa"/>
              <w:bottom w:w="60" w:type="dxa"/>
              <w:left w:w="100" w:type="dxa"/>
              <w:right w:w="100" w:type="dxa"/>
            </w:tcMar>
          </w:tcPr>
          <w:p>
            <w:r>
              <w:rPr>
                <w:sz w:val="17"/>
              </w:rPr>
              <w:t>Official IIT GATE AG PYQ Coverage</w:t>
            </w:r>
          </w:p>
        </w:tc>
        <w:tc>
          <w:tcPr>
            <w:tcW w:type="dxa" w:w="4968"/>
            <w:shd w:fill="F8FAFC"/>
            <w:tcMar>
              <w:top w:w="60" w:type="dxa"/>
              <w:bottom w:w="60" w:type="dxa"/>
              <w:left w:w="100" w:type="dxa"/>
              <w:right w:w="100" w:type="dxa"/>
            </w:tcMar>
          </w:tcPr>
          <w:p>
            <w:r>
              <w:rPr>
                <w:b/>
                <w:color w:val="1E3A8A"/>
                <w:sz w:val="17"/>
              </w:rPr>
              <w:t>1,324 Questions (2007–2026, 20 Years)</w:t>
            </w:r>
          </w:p>
        </w:tc>
      </w:tr>
      <w:tr>
        <w:tc>
          <w:tcPr>
            <w:tcW w:type="dxa" w:w="4968"/>
            <w:shd w:fill="FFFFFF"/>
            <w:tcMar>
              <w:top w:w="60" w:type="dxa"/>
              <w:bottom w:w="60" w:type="dxa"/>
              <w:left w:w="100" w:type="dxa"/>
              <w:right w:w="100" w:type="dxa"/>
            </w:tcMar>
          </w:tcPr>
          <w:p>
            <w:r>
              <w:rPr>
                <w:sz w:val="17"/>
              </w:rPr>
              <w:t>Custom Full-Length Mock Papers (65 Qs / 100M)</w:t>
            </w:r>
          </w:p>
        </w:tc>
        <w:tc>
          <w:tcPr>
            <w:tcW w:type="dxa" w:w="4968"/>
            <w:shd w:fill="FFFFFF"/>
            <w:tcMar>
              <w:top w:w="60" w:type="dxa"/>
              <w:bottom w:w="60" w:type="dxa"/>
              <w:left w:w="100" w:type="dxa"/>
              <w:right w:w="100" w:type="dxa"/>
            </w:tcMar>
          </w:tcPr>
          <w:p>
            <w:r>
              <w:rPr>
                <w:b/>
                <w:color w:val="1E3A8A"/>
                <w:sz w:val="17"/>
              </w:rPr>
              <w:t>50 Papers (3,250 Questions)</w:t>
            </w:r>
          </w:p>
        </w:tc>
      </w:tr>
      <w:tr>
        <w:tc>
          <w:tcPr>
            <w:tcW w:type="dxa" w:w="4968"/>
            <w:shd w:fill="F8FAFC"/>
            <w:tcMar>
              <w:top w:w="60" w:type="dxa"/>
              <w:bottom w:w="60" w:type="dxa"/>
              <w:left w:w="100" w:type="dxa"/>
              <w:right w:w="100" w:type="dxa"/>
            </w:tcMar>
          </w:tcPr>
          <w:p>
            <w:r>
              <w:rPr>
                <w:sz w:val="17"/>
              </w:rPr>
              <w:t>Downloadable Full-Length Word Papers (.docx)</w:t>
            </w:r>
          </w:p>
        </w:tc>
        <w:tc>
          <w:tcPr>
            <w:tcW w:type="dxa" w:w="4968"/>
            <w:shd w:fill="F8FAFC"/>
            <w:tcMar>
              <w:top w:w="60" w:type="dxa"/>
              <w:bottom w:w="60" w:type="dxa"/>
              <w:left w:w="100" w:type="dxa"/>
              <w:right w:w="100" w:type="dxa"/>
            </w:tcMar>
          </w:tcPr>
          <w:p>
            <w:r>
              <w:rPr>
                <w:b/>
                <w:color w:val="1E3A8A"/>
                <w:sz w:val="17"/>
              </w:rPr>
              <w:t>50 Documents in public/downloads/</w:t>
            </w:r>
          </w:p>
        </w:tc>
      </w:tr>
      <w:tr>
        <w:tc>
          <w:tcPr>
            <w:tcW w:type="dxa" w:w="4968"/>
            <w:shd w:fill="FFFFFF"/>
            <w:tcMar>
              <w:top w:w="60" w:type="dxa"/>
              <w:bottom w:w="60" w:type="dxa"/>
              <w:left w:w="100" w:type="dxa"/>
              <w:right w:w="100" w:type="dxa"/>
            </w:tcMar>
          </w:tcPr>
          <w:p>
            <w:r>
              <w:rPr>
                <w:sz w:val="17"/>
              </w:rPr>
              <w:t>Engineering Simulators &amp; Break Arcade Games</w:t>
            </w:r>
          </w:p>
        </w:tc>
        <w:tc>
          <w:tcPr>
            <w:tcW w:type="dxa" w:w="4968"/>
            <w:shd w:fill="FFFFFF"/>
            <w:tcMar>
              <w:top w:w="60" w:type="dxa"/>
              <w:bottom w:w="60" w:type="dxa"/>
              <w:left w:w="100" w:type="dxa"/>
              <w:right w:w="100" w:type="dxa"/>
            </w:tcMar>
          </w:tcPr>
          <w:p>
            <w:r>
              <w:rPr>
                <w:b/>
                <w:color w:val="1E3A8A"/>
                <w:sz w:val="17"/>
              </w:rPr>
              <w:t>20+ Interactive Simulations</w:t>
            </w:r>
          </w:p>
        </w:tc>
      </w:tr>
      <w:tr>
        <w:tc>
          <w:tcPr>
            <w:tcW w:type="dxa" w:w="4968"/>
            <w:shd w:fill="F8FAFC"/>
            <w:tcMar>
              <w:top w:w="60" w:type="dxa"/>
              <w:bottom w:w="60" w:type="dxa"/>
              <w:left w:w="100" w:type="dxa"/>
              <w:right w:w="100" w:type="dxa"/>
            </w:tcMar>
          </w:tcPr>
          <w:p>
            <w:r>
              <w:rPr>
                <w:sz w:val="17"/>
              </w:rPr>
              <w:t>Production Bundle Build Speed (Vite 6)</w:t>
            </w:r>
          </w:p>
        </w:tc>
        <w:tc>
          <w:tcPr>
            <w:tcW w:type="dxa" w:w="4968"/>
            <w:shd w:fill="F8FAFC"/>
            <w:tcMar>
              <w:top w:w="60" w:type="dxa"/>
              <w:bottom w:w="60" w:type="dxa"/>
              <w:left w:w="100" w:type="dxa"/>
              <w:right w:w="100" w:type="dxa"/>
            </w:tcMar>
          </w:tcPr>
          <w:p>
            <w:r>
              <w:rPr>
                <w:b/>
                <w:color w:val="1E3A8A"/>
                <w:sz w:val="17"/>
              </w:rPr>
              <w:t>2.44 Seconds (Clean Transform)</w:t>
            </w:r>
          </w:p>
        </w:tc>
      </w:tr>
    </w:tbl>
    <w:p>
      <w:pPr>
        <w:spacing w:after="240"/>
      </w:pPr>
    </w:p>
    <w:p>
      <w:pPr>
        <w:spacing w:before="360" w:after="120"/>
      </w:pPr>
      <w:r>
        <w:rPr>
          <w:b/>
          <w:color w:val="1E3A8A"/>
          <w:sz w:val="30"/>
        </w:rPr>
        <w:t>5. Professional Assessment &amp; Educational Value Proposition</w:t>
      </w:r>
    </w:p>
    <w:p>
      <w:r>
        <w:t>Commercial and Institutional Viability: Most commercial EdTech platforms (e.g., Testbook, Made Easy, Unacademy) focus on high-volume engineering disciplines (Computer Science, Mechanical, Civil) and treat Agricultural Engineering as an afterthought with sparse, low-quality question sets. This platform fills a critical national void in Indian higher education:</w:t>
      </w:r>
    </w:p>
    <w:p>
      <w:pPr>
        <w:pStyle w:val="ListBullet"/>
        <w:spacing w:after="60"/>
      </w:pPr>
      <w:r>
        <w:rPr>
          <w:b/>
          <w:color w:val="1E3A8A"/>
        </w:rPr>
        <w:t xml:space="preserve">First-Class Agricultural Engineering Focus: </w:t>
      </w:r>
      <w:r>
        <w:rPr>
          <w:color w:val="334155"/>
        </w:rPr>
        <w:t>Provides comprehensive, mathematically validated question sets for niche topics such as psychrometrics, tractor dynamics, watershed hydrology, grain drying kinetics, and dairy rheology.</w:t>
      </w:r>
    </w:p>
    <w:p>
      <w:pPr>
        <w:pStyle w:val="ListBullet"/>
        <w:spacing w:after="60"/>
      </w:pPr>
      <w:r>
        <w:rPr>
          <w:b/>
          <w:color w:val="1E3A8A"/>
        </w:rPr>
        <w:t xml:space="preserve">Zero Cost &amp; Zero Barrier: </w:t>
      </w:r>
      <w:r>
        <w:rPr>
          <w:color w:val="334155"/>
        </w:rPr>
        <w:t>Built as an open, accessible web portal requiring no expensive app subscriptions, enabling rural students from state agricultural universities (SAUs) to practice on equal footing with metro coaching students.</w:t>
      </w:r>
    </w:p>
    <w:p>
      <w:pPr>
        <w:pStyle w:val="ListBullet"/>
        <w:spacing w:after="60"/>
      </w:pPr>
      <w:r>
        <w:rPr>
          <w:b/>
          <w:color w:val="1E3A8A"/>
        </w:rPr>
        <w:t xml:space="preserve">Academic Research &amp; Accreditation Utility: </w:t>
      </w:r>
      <w:r>
        <w:rPr>
          <w:color w:val="334155"/>
        </w:rPr>
        <w:t>Can serve as a department-wide CBT benchmark for ICAR-accredited agricultural engineering colleges to track batch performance, evaluate semester mastery, and generate diagnostic reports.</w:t>
      </w:r>
    </w:p>
    <w:p>
      <w:pPr>
        <w:spacing w:before="360" w:after="120"/>
      </w:pPr>
      <w:r>
        <w:rPr>
          <w:b/>
          <w:color w:val="1E3A8A"/>
          <w:sz w:val="30"/>
        </w:rPr>
        <w:t>6. Personal Engineering Insights &amp; Strategic Roadmap</w:t>
      </w:r>
    </w:p>
    <w:p>
      <w:r>
        <w:t>Key Engineering Lessons Learned:</w:t>
      </w:r>
    </w:p>
    <w:p>
      <w:pPr>
        <w:pStyle w:val="ListBullet"/>
        <w:spacing w:after="60"/>
      </w:pPr>
      <w:r>
        <w:rPr>
          <w:b/>
          <w:color w:val="1E3A8A"/>
        </w:rPr>
        <w:t xml:space="preserve">Mathematical Edge-Cases in CBT: </w:t>
      </w:r>
      <w:r>
        <w:rPr>
          <w:color w:val="334155"/>
        </w:rPr>
        <w:t>Scoring numerical answers (NAT) requires rigorous tolerance checking. Handling floating-point inaccuracies, exponential notations, and unit mismatches without crashing taught invaluable lessons in defensive programming.</w:t>
      </w:r>
    </w:p>
    <w:p>
      <w:pPr>
        <w:pStyle w:val="ListBullet"/>
        <w:spacing w:after="60"/>
      </w:pPr>
      <w:r>
        <w:rPr>
          <w:b/>
          <w:color w:val="1E3A8A"/>
        </w:rPr>
        <w:t xml:space="preserve">Balancing Gamification with Academic Integrity: </w:t>
      </w:r>
      <w:r>
        <w:rPr>
          <w:color w:val="334155"/>
        </w:rPr>
        <w:t>Adding XP is trivial; preventing point-farming requires deep architectural empathy. The solution-peek penalty preserves academic honesty while still rewarding honest effort.</w:t>
      </w:r>
    </w:p>
    <w:p>
      <w:pPr>
        <w:pStyle w:val="ListBullet"/>
        <w:spacing w:after="60"/>
      </w:pPr>
      <w:r>
        <w:rPr>
          <w:b/>
          <w:color w:val="1E3A8A"/>
        </w:rPr>
        <w:t xml:space="preserve">Resilience in Rural Connectivity: </w:t>
      </w:r>
      <w:r>
        <w:rPr>
          <w:color w:val="334155"/>
        </w:rPr>
        <w:t>Designing an offline-first sync layer fundamentally changes state management. Treating the network as an unreliable enhancement rather than a prerequisite made the app robust across spotty connections.</w:t>
      </w:r>
    </w:p>
    <w:p>
      <w:pPr>
        <w:spacing w:after="120"/>
      </w:pPr>
    </w:p>
    <w:p>
      <w:r>
        <w:t>Future Strategic Roadmap:</w:t>
      </w:r>
    </w:p>
    <w:p>
      <w:pPr>
        <w:pStyle w:val="ListBullet"/>
        <w:spacing w:after="60"/>
      </w:pPr>
      <w:r>
        <w:rPr>
          <w:b/>
          <w:color w:val="1E3A8A"/>
        </w:rPr>
        <w:t xml:space="preserve">Mobile PWA Packaging: </w:t>
      </w:r>
      <w:r>
        <w:rPr>
          <w:color w:val="334155"/>
        </w:rPr>
        <w:t>Generating standalone APK / iOS wrappers via Capacitor for frictionless native mobile installs.</w:t>
      </w:r>
    </w:p>
    <w:p>
      <w:pPr>
        <w:pStyle w:val="ListBullet"/>
        <w:spacing w:after="60"/>
      </w:pPr>
      <w:r>
        <w:rPr>
          <w:b/>
          <w:color w:val="1E3A8A"/>
        </w:rPr>
        <w:t xml:space="preserve">Adaptive Question Recommendation: </w:t>
      </w:r>
      <w:r>
        <w:rPr>
          <w:color w:val="334155"/>
        </w:rPr>
        <w:t>Implementing Item Response Theory (IRT) to dynamically calibrate question difficulty based on student percentile.</w:t>
      </w:r>
    </w:p>
    <w:p>
      <w:pPr>
        <w:pStyle w:val="ListBullet"/>
        <w:spacing w:after="60"/>
      </w:pPr>
      <w:r>
        <w:rPr>
          <w:b/>
          <w:color w:val="1E3A8A"/>
        </w:rPr>
        <w:t xml:space="preserve">Multi-Language Support: </w:t>
      </w:r>
      <w:r>
        <w:rPr>
          <w:color w:val="334155"/>
        </w:rPr>
        <w:t>Bilingual technical glossaries (Hindi/English) for core farm power and conservation terms.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