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172A"/>
          <w:sz w:val="34"/>
        </w:rPr>
        <w:t>GATE AGRICULTURAL ENGINEERING (AG) FULL-STACK PLATFORM</w:t>
      </w:r>
    </w:p>
    <w:p>
      <w:pPr>
        <w:spacing w:before="20" w:after="200"/>
        <w:jc w:val="center"/>
      </w:pPr>
      <w:r>
        <w:rPr>
          <w:rFonts w:ascii="Arial" w:hAnsi="Arial"/>
          <w:b/>
          <w:color w:val="2563EB"/>
          <w:sz w:val="22"/>
        </w:rPr>
        <w:t>Master Project Report, Financial Valuation, Work vs. Hours Audit &amp; 360° Personal Evaluation</w:t>
      </w:r>
    </w:p>
    <w:tbl>
      <w:tblPr>
        <w:tblW w:type="auto" w:w="0"/>
        <w:jc w:val="center"/>
        <w:tblLook w:firstColumn="1" w:firstRow="1" w:lastColumn="0" w:lastRow="0" w:noHBand="0" w:noVBand="1" w:val="04A0"/>
      </w:tblPr>
      <w:tblGrid>
        <w:gridCol w:w="5040"/>
        <w:gridCol w:w="5040"/>
      </w:tblGrid>
      <w:tr>
        <w:tc>
          <w:tcPr>
            <w:tcW w:type="dxa" w:w="4680"/>
            <w:shd w:fill="F1F5F9"/>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20" w:after="20"/>
            </w:pPr>
            <w:r>
              <w:rPr>
                <w:b/>
                <w:color w:val="0F172A"/>
                <w:sz w:val="17"/>
              </w:rPr>
              <w:t>Lead Architect &amp; Engineer:</w:t>
            </w:r>
            <w:r>
              <w:rPr>
                <w:color w:val="334155"/>
                <w:sz w:val="17"/>
              </w:rPr>
              <w:t xml:space="preserve"> Raghav Bansal</w:t>
            </w:r>
          </w:p>
        </w:tc>
        <w:tc>
          <w:tcPr>
            <w:tcW w:type="dxa" w:w="4680"/>
            <w:shd w:fill="F1F5F9"/>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20" w:after="20"/>
            </w:pPr>
            <w:r>
              <w:rPr>
                <w:b/>
                <w:color w:val="0F172A"/>
                <w:sz w:val="17"/>
              </w:rPr>
              <w:t>Institution:</w:t>
            </w:r>
            <w:r>
              <w:rPr>
                <w:color w:val="334155"/>
                <w:sz w:val="17"/>
              </w:rPr>
              <w:t xml:space="preserve"> COAET, CCS HAU Hisar</w:t>
            </w:r>
          </w:p>
        </w:tc>
      </w:tr>
      <w:tr>
        <w:tc>
          <w:tcPr>
            <w:tcW w:type="dxa" w:w="4680"/>
            <w:shd w:fill="F1F5F9"/>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20" w:after="20"/>
            </w:pPr>
            <w:r>
              <w:rPr>
                <w:b/>
                <w:color w:val="0F172A"/>
                <w:sz w:val="17"/>
              </w:rPr>
              <w:t>Project Duration:</w:t>
            </w:r>
            <w:r>
              <w:rPr>
                <w:color w:val="334155"/>
                <w:sz w:val="17"/>
              </w:rPr>
              <w:t xml:space="preserve"> Aug 21 – Sep 10, 2026 (21 Days / 14 Sprints)</w:t>
            </w:r>
          </w:p>
        </w:tc>
        <w:tc>
          <w:tcPr>
            <w:tcW w:type="dxa" w:w="4680"/>
            <w:shd w:fill="F1F5F9"/>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20" w:after="20"/>
            </w:pPr>
            <w:r>
              <w:rPr>
                <w:b/>
                <w:color w:val="0F172A"/>
                <w:sz w:val="17"/>
              </w:rPr>
              <w:t>Total Co-Engineering Hours:</w:t>
            </w:r>
            <w:r>
              <w:rPr>
                <w:color w:val="334155"/>
                <w:sz w:val="17"/>
              </w:rPr>
              <w:t xml:space="preserve"> 145.0 Hours (Equivalent: 830 Industry Hrs)</w:t>
            </w:r>
          </w:p>
        </w:tc>
      </w:tr>
      <w:tr>
        <w:tc>
          <w:tcPr>
            <w:tcW w:type="dxa" w:w="4680"/>
            <w:shd w:fill="F1F5F9"/>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20" w:after="20"/>
            </w:pPr>
            <w:r>
              <w:rPr>
                <w:b/>
                <w:color w:val="0F172A"/>
                <w:sz w:val="17"/>
              </w:rPr>
              <w:t>System Status:</w:t>
            </w:r>
            <w:r>
              <w:rPr>
                <w:color w:val="334155"/>
                <w:sz w:val="17"/>
              </w:rPr>
              <w:t xml:space="preserve"> Production-Ready (PWA / 100% Offline)</w:t>
            </w:r>
          </w:p>
        </w:tc>
        <w:tc>
          <w:tcPr>
            <w:tcW w:type="dxa" w:w="4680"/>
            <w:shd w:fill="F1F5F9"/>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20" w:after="20"/>
            </w:pPr>
            <w:r>
              <w:rPr>
                <w:b/>
                <w:color w:val="0F172A"/>
                <w:sz w:val="17"/>
              </w:rPr>
              <w:t>Automated Test Verification:</w:t>
            </w:r>
            <w:r>
              <w:rPr>
                <w:color w:val="334155"/>
                <w:sz w:val="17"/>
              </w:rPr>
              <w:t xml:space="preserve"> 710 Tests Passed (129 Suites, 100% Pass)</w:t>
            </w:r>
          </w:p>
        </w:tc>
      </w:tr>
    </w:tbl>
    <w:p>
      <w:pPr>
        <w:spacing w:after="120"/>
      </w:pPr>
    </w:p>
    <w:p>
      <w:pPr>
        <w:keepNext/>
        <w:spacing w:before="240" w:after="60"/>
      </w:pPr>
      <w:r>
        <w:rPr>
          <w:rFonts w:ascii="Arial" w:hAnsi="Arial"/>
          <w:b/>
          <w:color w:val="0F172A"/>
          <w:sz w:val="24"/>
        </w:rPr>
        <w:t>1. Executive Summary &amp; Problem Formulation</w:t>
      </w:r>
    </w:p>
    <w:p>
      <w:pPr>
        <w:spacing w:before="0" w:after="80"/>
      </w:pPr>
      <w:r>
        <w:rPr>
          <w:color w:val="2563EB"/>
          <w:sz w:val="14"/>
        </w:rPr>
        <w:t>――――――――――――――――――――――――――――――――――――――――――――――――――――</w:t>
      </w:r>
    </w:p>
    <w:p>
      <w:r>
        <w:t>The GATE Agricultural Engineering (AG) Full-Stack Preparation Platform is an enterprise-grade Progressive Web Application (PWA) and Computer-Based Testing (CBT) simulator engineered to deliver end-to-end examination preparation, diagnostic analytics, and offline-first resilience for undergraduate agricultural engineering students and national competitive aspirants across India.</w:t>
      </w:r>
    </w:p>
    <w:p>
      <w:r>
        <w:t>Agricultural Engineering is a specialized national engineering discipline lacking standardized, high-quality digital mock platforms compared to Computer Science, Mechanical, or Civil engineering. Commercial EdTech companies treat Agricultural Engineering as an afterthought with sparse, inaccurate question sets. Furthermore, rural agricultural colleges frequently suffer from unreliable internet connectivity.</w:t>
      </w:r>
    </w:p>
    <w:p>
      <w:r>
        <w:t>This platform overcomes these barriers by providing 4,574 verified technical questions (1,324 official IIT PYQs 2007–2026, 50 full-length custom mocks with 3,250 questions, and a topic-wise question bank), official IIT scoring math, an authentic TCS iON CBT interface, 5-tier Service Worker caching, and an anti-cheat gamification system.</w:t>
      </w:r>
    </w:p>
    <w:p>
      <w:pPr>
        <w:keepNext/>
        <w:spacing w:before="240" w:after="60"/>
      </w:pPr>
      <w:r>
        <w:rPr>
          <w:rFonts w:ascii="Arial" w:hAnsi="Arial"/>
          <w:b/>
          <w:color w:val="0F172A"/>
          <w:sz w:val="24"/>
        </w:rPr>
        <w:t>2. Quantitative Repository Baseline &amp; Telemetry</w:t>
      </w:r>
    </w:p>
    <w:p>
      <w:pPr>
        <w:spacing w:before="0" w:after="80"/>
      </w:pPr>
      <w:r>
        <w:rPr>
          <w:color w:val="2563EB"/>
          <w:sz w:val="14"/>
        </w:rPr>
        <w:t>――――――――――――――――――――――――――――――――――――――――――――――――――――</w:t>
      </w:r>
    </w:p>
    <w:p>
      <w:r>
        <w:t>The platform's technical volume and verified repository metrics are summarized below:</w:t>
      </w:r>
    </w:p>
    <w:tbl>
      <w:tblPr>
        <w:tblW w:type="auto" w:w="0"/>
        <w:jc w:val="center"/>
        <w:tblLook w:firstColumn="1" w:firstRow="1" w:lastColumn="0" w:lastRow="0" w:noHBand="0" w:noVBand="1" w:val="04A0"/>
      </w:tblPr>
      <w:tblGrid>
        <w:gridCol w:w="5040"/>
        <w:gridCol w:w="5040"/>
      </w:tblGrid>
      <w:tr>
        <w:trPr>
          <w:cantSplit/>
          <w:tblHeader/>
        </w:trPr>
        <w:tc>
          <w:tcPr>
            <w:tcW w:type="dxa" w:w="3168"/>
            <w:vAlign w:val="center"/>
            <w:tcMar>
              <w:top w:w="100" w:type="dxa"/>
              <w:bottom w:w="100" w:type="dxa"/>
              <w:left w:w="120" w:type="dxa"/>
              <w:right w:w="120" w:type="dxa"/>
            </w:tcMar>
            <w:shd w:fill="1E293B"/>
            <w:tcBorders>
              <w:top w:val="single" w:sz="4" w:space="0" w:color="CBD5E1"/>
              <w:left w:val="single" w:sz="4" w:space="0" w:color="CBD5E1"/>
              <w:bottom w:val="single" w:sz="4" w:space="0" w:color="CBD5E1"/>
              <w:right w:val="single" w:sz="4" w:space="0" w:color="CBD5E1"/>
              <w:insideH w:val="none"/>
              <w:insideV w:val="none"/>
            </w:tcBorders>
          </w:tcPr>
          <w:p>
            <w:pPr>
              <w:spacing w:before="60" w:after="60"/>
            </w:pPr>
            <w:r>
              <w:rPr>
                <w:rFonts w:ascii="Arial" w:hAnsi="Arial"/>
                <w:b/>
                <w:color w:val="FFFFFF"/>
                <w:sz w:val="18"/>
              </w:rPr>
              <w:t>Telemetry Dimension</w:t>
            </w:r>
          </w:p>
        </w:tc>
        <w:tc>
          <w:tcPr>
            <w:tcW w:type="dxa" w:w="6192"/>
            <w:vAlign w:val="center"/>
            <w:tcMar>
              <w:top w:w="100" w:type="dxa"/>
              <w:bottom w:w="100" w:type="dxa"/>
              <w:left w:w="120" w:type="dxa"/>
              <w:right w:w="120" w:type="dxa"/>
            </w:tcMar>
            <w:shd w:fill="1E293B"/>
            <w:tcBorders>
              <w:top w:val="single" w:sz="4" w:space="0" w:color="CBD5E1"/>
              <w:left w:val="single" w:sz="4" w:space="0" w:color="CBD5E1"/>
              <w:bottom w:val="single" w:sz="4" w:space="0" w:color="CBD5E1"/>
              <w:right w:val="single" w:sz="4" w:space="0" w:color="CBD5E1"/>
              <w:insideH w:val="none"/>
              <w:insideV w:val="none"/>
            </w:tcBorders>
          </w:tcPr>
          <w:p>
            <w:pPr>
              <w:spacing w:before="60" w:after="60"/>
            </w:pPr>
            <w:r>
              <w:rPr>
                <w:rFonts w:ascii="Arial" w:hAnsi="Arial"/>
                <w:b/>
                <w:color w:val="FFFFFF"/>
                <w:sz w:val="18"/>
              </w:rPr>
              <w:t>Verified Repository Baseline</w:t>
            </w:r>
          </w:p>
        </w:tc>
      </w:tr>
      <w:tr>
        <w:trPr>
          <w:cantSplit/>
        </w:trPr>
        <w:tc>
          <w:tcPr>
            <w:tcW w:type="dxa" w:w="316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Total Verified Technical Questions</w:t>
            </w:r>
          </w:p>
        </w:tc>
        <w:tc>
          <w:tcPr>
            <w:tcW w:type="dxa" w:w="61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4,574 Authentic Questions (1,324 Official PYQs + 3,250 Mock Qs)</w:t>
            </w:r>
          </w:p>
        </w:tc>
      </w:tr>
      <w:tr>
        <w:trPr>
          <w:cantSplit/>
        </w:trPr>
        <w:tc>
          <w:tcPr>
            <w:tcW w:type="dxa" w:w="3168"/>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Official IIT GATE AG Archives</w:t>
            </w:r>
          </w:p>
        </w:tc>
        <w:tc>
          <w:tcPr>
            <w:tcW w:type="dxa" w:w="6192"/>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20 Consecutive Examination Years (2007–2026) with detailed solutions</w:t>
            </w:r>
          </w:p>
        </w:tc>
      </w:tr>
      <w:tr>
        <w:trPr>
          <w:cantSplit/>
        </w:trPr>
        <w:tc>
          <w:tcPr>
            <w:tcW w:type="dxa" w:w="316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Full-Length Original Mocks</w:t>
            </w:r>
          </w:p>
        </w:tc>
        <w:tc>
          <w:tcPr>
            <w:tcW w:type="dxa" w:w="61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50 Custom Mock Papers (65 Qs / 100 Marks / 180 Min each) + 50 DOCX packages</w:t>
            </w:r>
          </w:p>
        </w:tc>
      </w:tr>
      <w:tr>
        <w:trPr>
          <w:cantSplit/>
        </w:trPr>
        <w:tc>
          <w:tcPr>
            <w:tcW w:type="dxa" w:w="3168"/>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Total Codebase Volume</w:t>
            </w:r>
          </w:p>
        </w:tc>
        <w:tc>
          <w:tcPr>
            <w:tcW w:type="dxa" w:w="6192"/>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218,696 Lines of Code, Formulas, and Structured Pedagogical Data</w:t>
            </w:r>
          </w:p>
        </w:tc>
      </w:tr>
      <w:tr>
        <w:trPr>
          <w:cantSplit/>
        </w:trPr>
        <w:tc>
          <w:tcPr>
            <w:tcW w:type="dxa" w:w="316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Frontend Application Code</w:t>
            </w:r>
          </w:p>
        </w:tc>
        <w:tc>
          <w:tcPr>
            <w:tcW w:type="dxa" w:w="61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75,623 Lines across React 19 components, state engines, and services</w:t>
            </w:r>
          </w:p>
        </w:tc>
      </w:tr>
      <w:tr>
        <w:trPr>
          <w:cantSplit/>
        </w:trPr>
        <w:tc>
          <w:tcPr>
            <w:tcW w:type="dxa" w:w="3168"/>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Formula &amp; Concept Library</w:t>
            </w:r>
          </w:p>
        </w:tc>
        <w:tc>
          <w:tcPr>
            <w:tcW w:type="dxa" w:w="6192"/>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57 Validated LaTeX Formulas across 8 Categories + 83 Syllabus Subtopics</w:t>
            </w:r>
          </w:p>
        </w:tc>
      </w:tr>
      <w:tr>
        <w:trPr>
          <w:cantSplit/>
        </w:trPr>
        <w:tc>
          <w:tcPr>
            <w:tcW w:type="dxa" w:w="316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Automated Test Suite</w:t>
            </w:r>
          </w:p>
        </w:tc>
        <w:tc>
          <w:tcPr>
            <w:tcW w:type="dxa" w:w="61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710 Automated Tests across 129 Suites (100% Pass Rate, 0 Failures)</w:t>
            </w:r>
          </w:p>
        </w:tc>
      </w:tr>
      <w:tr>
        <w:trPr>
          <w:cantSplit/>
        </w:trPr>
        <w:tc>
          <w:tcPr>
            <w:tcW w:type="dxa" w:w="3168"/>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Test Execution Duration</w:t>
            </w:r>
          </w:p>
        </w:tc>
        <w:tc>
          <w:tcPr>
            <w:tcW w:type="dxa" w:w="6192"/>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~1.6 seconds via Native Node.js Test Runner</w:t>
            </w:r>
          </w:p>
        </w:tc>
      </w:tr>
      <w:tr>
        <w:trPr>
          <w:cantSplit/>
        </w:trPr>
        <w:tc>
          <w:tcPr>
            <w:tcW w:type="dxa" w:w="316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Production Compilation Speed</w:t>
            </w:r>
          </w:p>
        </w:tc>
        <w:tc>
          <w:tcPr>
            <w:tcW w:type="dxa" w:w="61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~3.08 seconds (Vite 6, Rollup manual chunking into 18+ bundles)</w:t>
            </w:r>
          </w:p>
        </w:tc>
      </w:tr>
      <w:tr>
        <w:trPr>
          <w:cantSplit/>
        </w:trPr>
        <w:tc>
          <w:tcPr>
            <w:tcW w:type="dxa" w:w="3168"/>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Offline Storage Engine</w:t>
            </w:r>
          </w:p>
        </w:tc>
        <w:tc>
          <w:tcPr>
            <w:tcW w:type="dxa" w:w="6192"/>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IndexedDB (gate_ag_prep_db) deep storage with LocalStorage fallback queue</w:t>
            </w:r>
          </w:p>
        </w:tc>
      </w:tr>
      <w:tr>
        <w:trPr>
          <w:cantSplit/>
        </w:trPr>
        <w:tc>
          <w:tcPr>
            <w:tcW w:type="dxa" w:w="316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Appearance &amp; Invariants</w:t>
            </w:r>
          </w:p>
        </w:tc>
        <w:tc>
          <w:tcPr>
            <w:tcW w:type="dxa" w:w="61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Strict 2-Theme System (Light Mode default + Dark Theme, WCAG AAA compliant)</w:t>
            </w:r>
          </w:p>
        </w:tc>
      </w:tr>
    </w:tbl>
    <w:p>
      <w:pPr>
        <w:spacing w:after="80"/>
      </w:pPr>
    </w:p>
    <w:p>
      <w:pPr>
        <w:keepNext/>
        <w:spacing w:before="240" w:after="60"/>
      </w:pPr>
      <w:r>
        <w:rPr>
          <w:rFonts w:ascii="Arial" w:hAnsi="Arial"/>
          <w:b/>
          <w:color w:val="0F172A"/>
          <w:sz w:val="24"/>
        </w:rPr>
        <w:t>3. Engineering Effort, Work Breakdown Structure &amp; Hours Assessment</w:t>
      </w:r>
    </w:p>
    <w:p>
      <w:pPr>
        <w:spacing w:before="0" w:after="80"/>
      </w:pPr>
      <w:r>
        <w:rPr>
          <w:color w:val="2563EB"/>
          <w:sz w:val="14"/>
        </w:rPr>
        <w:t>――――――――――――――――――――――――――――――――――――――――――――――――――――</w:t>
      </w:r>
    </w:p>
    <w:p>
      <w:r>
        <w:t>The project was executed across 21 calendar days (August 21 to September 10, 2026) in concentrated marathon co-engineering sprints between Lead Engineer Raghav Bansal and Autonomous AI Pair-Programming agents.</w:t>
      </w:r>
    </w:p>
    <w:tbl>
      <w:tblPr>
        <w:tblW w:type="auto" w:w="0"/>
        <w:jc w:val="center"/>
        <w:tblLook w:firstColumn="1" w:firstRow="1" w:lastColumn="0" w:lastRow="0" w:noHBand="0" w:noVBand="1" w:val="04A0"/>
      </w:tblPr>
      <w:tblGrid>
        <w:gridCol w:w="2520"/>
        <w:gridCol w:w="2520"/>
        <w:gridCol w:w="2520"/>
        <w:gridCol w:w="2520"/>
      </w:tblGrid>
      <w:tr>
        <w:trPr>
          <w:cantSplit/>
          <w:tblHeader/>
        </w:trPr>
        <w:tc>
          <w:tcPr>
            <w:tcW w:type="dxa" w:w="2592"/>
            <w:vAlign w:val="center"/>
            <w:tcMar>
              <w:top w:w="100" w:type="dxa"/>
              <w:bottom w:w="100" w:type="dxa"/>
              <w:left w:w="120" w:type="dxa"/>
              <w:right w:w="120" w:type="dxa"/>
            </w:tcMar>
            <w:shd w:fill="1E293B"/>
            <w:tcBorders>
              <w:top w:val="single" w:sz="4" w:space="0" w:color="CBD5E1"/>
              <w:left w:val="single" w:sz="4" w:space="0" w:color="CBD5E1"/>
              <w:bottom w:val="single" w:sz="4" w:space="0" w:color="CBD5E1"/>
              <w:right w:val="single" w:sz="4" w:space="0" w:color="CBD5E1"/>
              <w:insideH w:val="none"/>
              <w:insideV w:val="none"/>
            </w:tcBorders>
          </w:tcPr>
          <w:p>
            <w:pPr>
              <w:spacing w:before="60" w:after="60"/>
            </w:pPr>
            <w:r>
              <w:rPr>
                <w:rFonts w:ascii="Arial" w:hAnsi="Arial"/>
                <w:b/>
                <w:color w:val="FFFFFF"/>
                <w:sz w:val="18"/>
              </w:rPr>
              <w:t>Sprint / Milestone</w:t>
            </w:r>
          </w:p>
        </w:tc>
        <w:tc>
          <w:tcPr>
            <w:tcW w:type="dxa" w:w="3744"/>
            <w:vAlign w:val="center"/>
            <w:tcMar>
              <w:top w:w="100" w:type="dxa"/>
              <w:bottom w:w="100" w:type="dxa"/>
              <w:left w:w="120" w:type="dxa"/>
              <w:right w:w="120" w:type="dxa"/>
            </w:tcMar>
            <w:shd w:fill="1E293B"/>
            <w:tcBorders>
              <w:top w:val="single" w:sz="4" w:space="0" w:color="CBD5E1"/>
              <w:left w:val="single" w:sz="4" w:space="0" w:color="CBD5E1"/>
              <w:bottom w:val="single" w:sz="4" w:space="0" w:color="CBD5E1"/>
              <w:right w:val="single" w:sz="4" w:space="0" w:color="CBD5E1"/>
              <w:insideH w:val="none"/>
              <w:insideV w:val="none"/>
            </w:tcBorders>
          </w:tcPr>
          <w:p>
            <w:pPr>
              <w:spacing w:before="60" w:after="60"/>
            </w:pPr>
            <w:r>
              <w:rPr>
                <w:rFonts w:ascii="Arial" w:hAnsi="Arial"/>
                <w:b/>
                <w:color w:val="FFFFFF"/>
                <w:sz w:val="18"/>
              </w:rPr>
              <w:t>Scope Delivered</w:t>
            </w:r>
          </w:p>
        </w:tc>
        <w:tc>
          <w:tcPr>
            <w:tcW w:type="dxa" w:w="1728"/>
            <w:vAlign w:val="center"/>
            <w:tcMar>
              <w:top w:w="100" w:type="dxa"/>
              <w:bottom w:w="100" w:type="dxa"/>
              <w:left w:w="120" w:type="dxa"/>
              <w:right w:w="120" w:type="dxa"/>
            </w:tcMar>
            <w:shd w:fill="1E293B"/>
            <w:tcBorders>
              <w:top w:val="single" w:sz="4" w:space="0" w:color="CBD5E1"/>
              <w:left w:val="single" w:sz="4" w:space="0" w:color="CBD5E1"/>
              <w:bottom w:val="single" w:sz="4" w:space="0" w:color="CBD5E1"/>
              <w:right w:val="single" w:sz="4" w:space="0" w:color="CBD5E1"/>
              <w:insideH w:val="none"/>
              <w:insideV w:val="none"/>
            </w:tcBorders>
          </w:tcPr>
          <w:p>
            <w:pPr>
              <w:spacing w:before="60" w:after="60"/>
            </w:pPr>
            <w:r>
              <w:rPr>
                <w:rFonts w:ascii="Arial" w:hAnsi="Arial"/>
                <w:b/>
                <w:color w:val="FFFFFF"/>
                <w:sz w:val="18"/>
              </w:rPr>
              <w:t>Actual Co-Engg Hours</w:t>
            </w:r>
          </w:p>
        </w:tc>
        <w:tc>
          <w:tcPr>
            <w:tcW w:type="dxa" w:w="1296"/>
            <w:vAlign w:val="center"/>
            <w:tcMar>
              <w:top w:w="100" w:type="dxa"/>
              <w:bottom w:w="100" w:type="dxa"/>
              <w:left w:w="120" w:type="dxa"/>
              <w:right w:w="120" w:type="dxa"/>
            </w:tcMar>
            <w:shd w:fill="1E293B"/>
            <w:tcBorders>
              <w:top w:val="single" w:sz="4" w:space="0" w:color="CBD5E1"/>
              <w:left w:val="single" w:sz="4" w:space="0" w:color="CBD5E1"/>
              <w:bottom w:val="single" w:sz="4" w:space="0" w:color="CBD5E1"/>
              <w:right w:val="single" w:sz="4" w:space="0" w:color="CBD5E1"/>
              <w:insideH w:val="none"/>
              <w:insideV w:val="none"/>
            </w:tcBorders>
          </w:tcPr>
          <w:p>
            <w:pPr>
              <w:spacing w:before="60" w:after="60"/>
            </w:pPr>
            <w:r>
              <w:rPr>
                <w:rFonts w:ascii="Arial" w:hAnsi="Arial"/>
                <w:b/>
                <w:color w:val="FFFFFF"/>
                <w:sz w:val="18"/>
              </w:rPr>
              <w:t>Duration</w:t>
            </w:r>
          </w:p>
        </w:tc>
      </w:tr>
      <w:tr>
        <w:trPr>
          <w:cantSplit/>
        </w:trPr>
        <w:tc>
          <w:tcPr>
            <w:tcW w:type="dxa" w:w="25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Sprint 1: Genesis &amp; Foundations</w:t>
            </w:r>
          </w:p>
        </w:tc>
        <w:tc>
          <w:tcPr>
            <w:tcW w:type="dxa" w:w="3744"/>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Core portal, first 3 mocks, 14-year trend formula sheet, DOCX parser, Arcade games.</w:t>
            </w:r>
          </w:p>
        </w:tc>
        <w:tc>
          <w:tcPr>
            <w:tcW w:type="dxa" w:w="172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18.5 Hours</w:t>
            </w:r>
          </w:p>
        </w:tc>
        <w:tc>
          <w:tcPr>
            <w:tcW w:type="dxa" w:w="1296"/>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 Days</w:t>
            </w:r>
          </w:p>
        </w:tc>
      </w:tr>
      <w:tr>
        <w:trPr>
          <w:cantSplit/>
        </w:trPr>
        <w:tc>
          <w:tcPr>
            <w:tcW w:type="dxa" w:w="2592"/>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Sprint 2: Offline PWA &amp; Deploy</w:t>
            </w:r>
          </w:p>
        </w:tc>
        <w:tc>
          <w:tcPr>
            <w:tcW w:type="dxa" w:w="3744"/>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Vercel SPA asset routing, 5-tier SW cache, 264-test verification suite, Hero branding.</w:t>
            </w:r>
          </w:p>
        </w:tc>
        <w:tc>
          <w:tcPr>
            <w:tcW w:type="dxa" w:w="1728"/>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24.0 Hours</w:t>
            </w:r>
          </w:p>
        </w:tc>
        <w:tc>
          <w:tcPr>
            <w:tcW w:type="dxa" w:w="1296"/>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 Days</w:t>
            </w:r>
          </w:p>
        </w:tc>
      </w:tr>
      <w:tr>
        <w:trPr>
          <w:cantSplit/>
        </w:trPr>
        <w:tc>
          <w:tcPr>
            <w:tcW w:type="dxa" w:w="25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Sprint 3: Community &amp; TCS iON CBT</w:t>
            </w:r>
          </w:p>
        </w:tc>
        <w:tc>
          <w:tcPr>
            <w:tcW w:type="dxa" w:w="3744"/>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Faculty registration, Solver engine, notifications, 2-theme engine, CBT pre-test gate.</w:t>
            </w:r>
          </w:p>
        </w:tc>
        <w:tc>
          <w:tcPr>
            <w:tcW w:type="dxa" w:w="172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16.0 Hours</w:t>
            </w:r>
          </w:p>
        </w:tc>
        <w:tc>
          <w:tcPr>
            <w:tcW w:type="dxa" w:w="1296"/>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1 Day</w:t>
            </w:r>
          </w:p>
        </w:tc>
      </w:tr>
      <w:tr>
        <w:trPr>
          <w:cantSplit/>
        </w:trPr>
        <w:tc>
          <w:tcPr>
            <w:tcW w:type="dxa" w:w="2592"/>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Sprint 4: AI Radar &amp; Custom PDF</w:t>
            </w:r>
          </w:p>
        </w:tc>
        <w:tc>
          <w:tcPr>
            <w:tcW w:type="dxa" w:w="3744"/>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Diagnostic radar, Section Mastery, Custom PDF worksheet generator, auto roll parser.</w:t>
            </w:r>
          </w:p>
        </w:tc>
        <w:tc>
          <w:tcPr>
            <w:tcW w:type="dxa" w:w="1728"/>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22.5 Hours</w:t>
            </w:r>
          </w:p>
        </w:tc>
        <w:tc>
          <w:tcPr>
            <w:tcW w:type="dxa" w:w="1296"/>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 Days</w:t>
            </w:r>
          </w:p>
        </w:tc>
      </w:tr>
      <w:tr>
        <w:trPr>
          <w:cantSplit/>
        </w:trPr>
        <w:tc>
          <w:tcPr>
            <w:tcW w:type="dxa" w:w="25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Sprint 5: Practice Hub &amp; Mistake Vault</w:t>
            </w:r>
          </w:p>
        </w:tc>
        <w:tc>
          <w:tcPr>
            <w:tcW w:type="dxa" w:w="3744"/>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Cascading practice allocator, Mistake Vault isolation, 14-yr heatmap, social scorecard.</w:t>
            </w:r>
          </w:p>
        </w:tc>
        <w:tc>
          <w:tcPr>
            <w:tcW w:type="dxa" w:w="172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28.0 Hours</w:t>
            </w:r>
          </w:p>
        </w:tc>
        <w:tc>
          <w:tcPr>
            <w:tcW w:type="dxa" w:w="1296"/>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 Days</w:t>
            </w:r>
          </w:p>
        </w:tc>
      </w:tr>
      <w:tr>
        <w:trPr>
          <w:cantSplit/>
        </w:trPr>
        <w:tc>
          <w:tcPr>
            <w:tcW w:type="dxa" w:w="2592"/>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Sprint 6: 50 Mocks Scale-up &amp; Q-Bank</w:t>
            </w:r>
          </w:p>
        </w:tc>
        <w:tc>
          <w:tcPr>
            <w:tcW w:type="dxa" w:w="3744"/>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Mocks 30-50 ingestion (1,365 Qs), 592-Q Question Bank, Engineers Day, Multi-tier XP.</w:t>
            </w:r>
          </w:p>
        </w:tc>
        <w:tc>
          <w:tcPr>
            <w:tcW w:type="dxa" w:w="1728"/>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36.0 Hours</w:t>
            </w:r>
          </w:p>
        </w:tc>
        <w:tc>
          <w:tcPr>
            <w:tcW w:type="dxa" w:w="1296"/>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 Days (OT)</w:t>
            </w:r>
          </w:p>
        </w:tc>
      </w:tr>
      <w:tr>
        <w:trPr>
          <w:cantSplit/>
        </w:trPr>
        <w:tc>
          <w:tcPr>
            <w:tcW w:type="dxa" w:w="25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Sprint 7: Hardening &amp; Final Audit</w:t>
            </w:r>
          </w:p>
        </w:tc>
        <w:tc>
          <w:tcPr>
            <w:tcW w:type="dxa" w:w="3744"/>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710 tests across 129 suites, 18+ Vite chunks, docx export generation, live statistics.</w:t>
            </w:r>
          </w:p>
        </w:tc>
        <w:tc>
          <w:tcPr>
            <w:tcW w:type="dxa" w:w="172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14.0 Hours</w:t>
            </w:r>
          </w:p>
        </w:tc>
        <w:tc>
          <w:tcPr>
            <w:tcW w:type="dxa" w:w="1296"/>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3 Days</w:t>
            </w:r>
          </w:p>
        </w:tc>
      </w:tr>
    </w:tbl>
    <w:p>
      <w:pPr>
        <w:spacing w:after="80"/>
      </w:pPr>
    </w:p>
    <w:tbl>
      <w:tblPr>
        <w:tblW w:type="auto" w:w="0"/>
        <w:jc w:val="center"/>
        <w:tblLayout w:type="fixed"/>
        <w:tblLook w:firstColumn="1" w:firstRow="1" w:lastColumn="0" w:lastRow="0" w:noHBand="0" w:noVBand="1" w:val="04A0"/>
      </w:tblPr>
      <w:tblGrid>
        <w:gridCol w:w="10080"/>
      </w:tblGrid>
      <w:tr>
        <w:tc>
          <w:tcPr>
            <w:tcW w:type="dxa" w:w="9360"/>
            <w:shd w:fill="F8FAFC"/>
            <w:tcMar>
              <w:top w:w="130" w:type="dxa"/>
              <w:bottom w:w="130" w:type="dxa"/>
              <w:left w:w="180" w:type="dxa"/>
              <w:right w:w="180" w:type="dxa"/>
            </w:tcMar>
            <w:tcBorders>
              <w:top w:val="none"/>
              <w:left w:val="single" w:sz="24" w:space="0" w:color="2563EB"/>
              <w:bottom w:val="none"/>
              <w:right w:val="none"/>
            </w:tcBorders>
          </w:tcPr>
          <w:p>
            <w:pPr>
              <w:spacing w:before="40" w:after="60"/>
            </w:pPr>
            <w:r>
              <w:rPr>
                <w:rFonts w:ascii="Arial" w:hAnsi="Arial"/>
                <w:b/>
                <w:color w:val="1E293B"/>
                <w:sz w:val="20"/>
              </w:rPr>
              <w:t>📌  EFFORT &amp; ACCELERATION TELEMETRY</w:t>
              <w:br/>
            </w:r>
          </w:p>
          <w:p>
            <w:pPr>
              <w:spacing w:before="20" w:after="40" w:line="276" w:lineRule="auto"/>
            </w:pPr>
            <w:r>
              <w:rPr>
                <w:rFonts w:ascii="Arial" w:hAnsi="Arial"/>
                <w:color w:val="334155"/>
                <w:sz w:val="18"/>
              </w:rPr>
              <w:t>• Actual Concentrated Engineering Time: 145.0 Clock Hours (Human + AI Pair-Programming).</w:t>
            </w:r>
          </w:p>
          <w:p>
            <w:pPr>
              <w:spacing w:before="20" w:after="40" w:line="276" w:lineRule="auto"/>
            </w:pPr>
            <w:r>
              <w:rPr>
                <w:rFonts w:ascii="Arial" w:hAnsi="Arial"/>
                <w:color w:val="334155"/>
                <w:sz w:val="18"/>
              </w:rPr>
              <w:t>• Traditional Industry Equivalent: 830.0 Corporate Engineering Hours (5.7x Acceleration).</w:t>
            </w:r>
          </w:p>
          <w:p>
            <w:pPr>
              <w:spacing w:before="20" w:after="40" w:line="276" w:lineRule="auto"/>
            </w:pPr>
            <w:r>
              <w:rPr>
                <w:rFonts w:ascii="Arial" w:hAnsi="Arial"/>
                <w:color w:val="334155"/>
                <w:sz w:val="18"/>
              </w:rPr>
              <w:t>• Equivalent Corporate Scope: 5 to 6 months for a solo senior full-stack engineer, or 2 to 3 months for a 4-person cross-functional agile squad (Tech Lead, Frontend Dev, QA Engineer, Domain SME).</w:t>
            </w:r>
          </w:p>
          <w:p>
            <w:pPr>
              <w:spacing w:before="20" w:after="40" w:line="276" w:lineRule="auto"/>
            </w:pPr>
            <w:r>
              <w:rPr>
                <w:rFonts w:ascii="Arial" w:hAnsi="Arial"/>
                <w:color w:val="334155"/>
                <w:sz w:val="18"/>
              </w:rPr>
              <w:t>• Code Velocity: ~1,508 lines of verified code, mathematical formulas, and tests per active working hour.</w:t>
            </w:r>
          </w:p>
        </w:tc>
      </w:tr>
    </w:tbl>
    <w:p>
      <w:pPr>
        <w:spacing w:after="80"/>
      </w:pPr>
    </w:p>
    <w:p>
      <w:pPr>
        <w:keepNext/>
        <w:spacing w:before="240" w:after="60"/>
      </w:pPr>
      <w:r>
        <w:rPr>
          <w:rFonts w:ascii="Arial" w:hAnsi="Arial"/>
          <w:b/>
          <w:color w:val="0F172A"/>
          <w:sz w:val="24"/>
        </w:rPr>
        <w:t>4. Financial, Commercial &amp; Institutional Project Valuation</w:t>
      </w:r>
    </w:p>
    <w:p>
      <w:pPr>
        <w:spacing w:before="0" w:after="80"/>
      </w:pPr>
      <w:r>
        <w:rPr>
          <w:color w:val="2563EB"/>
          <w:sz w:val="14"/>
        </w:rPr>
        <w:t>――――――――――――――――――――――――――――――――――――――――――――――――――――</w:t>
      </w:r>
    </w:p>
    <w:p>
      <w:r>
        <w:t>An objective financial valuation of the platform based on industry standard software engineering replacement costs, proprietary pedagogical content value, and commercial EdTech market baselines:</w:t>
      </w:r>
    </w:p>
    <w:tbl>
      <w:tblPr>
        <w:tblW w:type="auto" w:w="0"/>
        <w:jc w:val="center"/>
        <w:tblLook w:firstColumn="1" w:firstRow="1" w:lastColumn="0" w:lastRow="0" w:noHBand="0" w:noVBand="1" w:val="04A0"/>
      </w:tblPr>
      <w:tblGrid>
        <w:gridCol w:w="3360"/>
        <w:gridCol w:w="3360"/>
        <w:gridCol w:w="3360"/>
      </w:tblGrid>
      <w:tr>
        <w:trPr>
          <w:cantSplit/>
          <w:tblHeader/>
        </w:trPr>
        <w:tc>
          <w:tcPr>
            <w:tcW w:type="dxa" w:w="2592"/>
            <w:vAlign w:val="center"/>
            <w:tcMar>
              <w:top w:w="100" w:type="dxa"/>
              <w:bottom w:w="100" w:type="dxa"/>
              <w:left w:w="120" w:type="dxa"/>
              <w:right w:w="120" w:type="dxa"/>
            </w:tcMar>
            <w:shd w:fill="1E293B"/>
            <w:tcBorders>
              <w:top w:val="single" w:sz="4" w:space="0" w:color="CBD5E1"/>
              <w:left w:val="single" w:sz="4" w:space="0" w:color="CBD5E1"/>
              <w:bottom w:val="single" w:sz="4" w:space="0" w:color="CBD5E1"/>
              <w:right w:val="single" w:sz="4" w:space="0" w:color="CBD5E1"/>
              <w:insideH w:val="none"/>
              <w:insideV w:val="none"/>
            </w:tcBorders>
          </w:tcPr>
          <w:p>
            <w:pPr>
              <w:spacing w:before="60" w:after="60"/>
            </w:pPr>
            <w:r>
              <w:rPr>
                <w:rFonts w:ascii="Arial" w:hAnsi="Arial"/>
                <w:b/>
                <w:color w:val="FFFFFF"/>
                <w:sz w:val="18"/>
              </w:rPr>
              <w:t>Valuation Component</w:t>
            </w:r>
          </w:p>
        </w:tc>
        <w:tc>
          <w:tcPr>
            <w:tcW w:type="dxa" w:w="3888"/>
            <w:vAlign w:val="center"/>
            <w:tcMar>
              <w:top w:w="100" w:type="dxa"/>
              <w:bottom w:w="100" w:type="dxa"/>
              <w:left w:w="120" w:type="dxa"/>
              <w:right w:w="120" w:type="dxa"/>
            </w:tcMar>
            <w:shd w:fill="1E293B"/>
            <w:tcBorders>
              <w:top w:val="single" w:sz="4" w:space="0" w:color="CBD5E1"/>
              <w:left w:val="single" w:sz="4" w:space="0" w:color="CBD5E1"/>
              <w:bottom w:val="single" w:sz="4" w:space="0" w:color="CBD5E1"/>
              <w:right w:val="single" w:sz="4" w:space="0" w:color="CBD5E1"/>
              <w:insideH w:val="none"/>
              <w:insideV w:val="none"/>
            </w:tcBorders>
          </w:tcPr>
          <w:p>
            <w:pPr>
              <w:spacing w:before="60" w:after="60"/>
            </w:pPr>
            <w:r>
              <w:rPr>
                <w:rFonts w:ascii="Arial" w:hAnsi="Arial"/>
                <w:b/>
                <w:color w:val="FFFFFF"/>
                <w:sz w:val="18"/>
              </w:rPr>
              <w:t>Valuation Methodology &amp; Industry Benchmark</w:t>
            </w:r>
          </w:p>
        </w:tc>
        <w:tc>
          <w:tcPr>
            <w:tcW w:type="dxa" w:w="2880"/>
            <w:vAlign w:val="center"/>
            <w:tcMar>
              <w:top w:w="100" w:type="dxa"/>
              <w:bottom w:w="100" w:type="dxa"/>
              <w:left w:w="120" w:type="dxa"/>
              <w:right w:w="120" w:type="dxa"/>
            </w:tcMar>
            <w:shd w:fill="1E293B"/>
            <w:tcBorders>
              <w:top w:val="single" w:sz="4" w:space="0" w:color="CBD5E1"/>
              <w:left w:val="single" w:sz="4" w:space="0" w:color="CBD5E1"/>
              <w:bottom w:val="single" w:sz="4" w:space="0" w:color="CBD5E1"/>
              <w:right w:val="single" w:sz="4" w:space="0" w:color="CBD5E1"/>
              <w:insideH w:val="none"/>
              <w:insideV w:val="none"/>
            </w:tcBorders>
          </w:tcPr>
          <w:p>
            <w:pPr>
              <w:spacing w:before="60" w:after="60"/>
            </w:pPr>
            <w:r>
              <w:rPr>
                <w:rFonts w:ascii="Arial" w:hAnsi="Arial"/>
                <w:b/>
                <w:color w:val="FFFFFF"/>
                <w:sz w:val="18"/>
              </w:rPr>
              <w:t>Estimated Value (INR / USD)</w:t>
            </w:r>
          </w:p>
        </w:tc>
      </w:tr>
      <w:tr>
        <w:trPr>
          <w:cantSplit/>
        </w:trPr>
        <w:tc>
          <w:tcPr>
            <w:tcW w:type="dxa" w:w="25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Software Engineering Replacement</w:t>
            </w:r>
          </w:p>
        </w:tc>
        <w:tc>
          <w:tcPr>
            <w:tcW w:type="dxa" w:w="388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830 Industry Engg Hours @ $65/hr (₹2,500/hr) for full-stack + offline PWA architecture</w:t>
            </w:r>
          </w:p>
        </w:tc>
        <w:tc>
          <w:tcPr>
            <w:tcW w:type="dxa" w:w="2880"/>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₹20.7 Lakhs – ₹35.0 Lakhs</w:t>
              <w:br/>
              <w:t>($25,000 – $42,000 USD)</w:t>
            </w:r>
          </w:p>
        </w:tc>
      </w:tr>
      <w:tr>
        <w:trPr>
          <w:cantSplit/>
        </w:trPr>
        <w:tc>
          <w:tcPr>
            <w:tcW w:type="dxa" w:w="2592"/>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Proprietary Technical Question Bank</w:t>
            </w:r>
          </w:p>
        </w:tc>
        <w:tc>
          <w:tcPr>
            <w:tcW w:type="dxa" w:w="3888"/>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4,574 authentic questions with KaTeX equations &amp; detailed solutions @ ₹600/question</w:t>
            </w:r>
          </w:p>
        </w:tc>
        <w:tc>
          <w:tcPr>
            <w:tcW w:type="dxa" w:w="2880"/>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₹27.4 Lakhs – ₹36.5 Lakhs</w:t>
              <w:br/>
              <w:t>($33,000 – $44,000 USD)</w:t>
            </w:r>
          </w:p>
        </w:tc>
      </w:tr>
      <w:tr>
        <w:trPr>
          <w:cantSplit/>
        </w:trPr>
        <w:tc>
          <w:tcPr>
            <w:tcW w:type="dxa" w:w="25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50 Full-Length Mock Test Series</w:t>
            </w:r>
          </w:p>
        </w:tc>
        <w:tc>
          <w:tcPr>
            <w:tcW w:type="dxa" w:w="388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50 original papers (65 Qs / 100M each) + 50 formatted DOCX downloads @ ₹20,000/paper</w:t>
            </w:r>
          </w:p>
        </w:tc>
        <w:tc>
          <w:tcPr>
            <w:tcW w:type="dxa" w:w="2880"/>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₹10.0 Lakhs – ₹15.0 Lakhs</w:t>
              <w:br/>
              <w:t>($12,000 – $18,000 USD)</w:t>
            </w:r>
          </w:p>
        </w:tc>
      </w:tr>
      <w:tr>
        <w:trPr>
          <w:cantSplit/>
        </w:trPr>
        <w:tc>
          <w:tcPr>
            <w:tcW w:type="dxa" w:w="2592"/>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CBT Engine, AI Radar &amp; Offline Sync</w:t>
            </w:r>
          </w:p>
        </w:tc>
        <w:tc>
          <w:tcPr>
            <w:tcW w:type="dxa" w:w="3888"/>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Proprietary IP: TCS iON clone, IndexedDB offline sync queue, AI diagnostic radar</w:t>
            </w:r>
          </w:p>
        </w:tc>
        <w:tc>
          <w:tcPr>
            <w:tcW w:type="dxa" w:w="2880"/>
            <w:vAlign w:val="center"/>
            <w:tcMar>
              <w:top w:w="100" w:type="dxa"/>
              <w:bottom w:w="100" w:type="dxa"/>
              <w:left w:w="120" w:type="dxa"/>
              <w:right w:w="120" w:type="dxa"/>
            </w:tcMar>
            <w:shd w:fill="FFFFFF"/>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₹15.0 Lakhs – ₹22.0 Lakhs</w:t>
              <w:br/>
              <w:t>($18,000 – $26,000 USD)</w:t>
            </w:r>
          </w:p>
        </w:tc>
      </w:tr>
      <w:tr>
        <w:trPr>
          <w:cantSplit/>
        </w:trPr>
        <w:tc>
          <w:tcPr>
            <w:tcW w:type="dxa" w:w="2592"/>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TOTAL TURNKEY VALUATION</w:t>
            </w:r>
          </w:p>
        </w:tc>
        <w:tc>
          <w:tcPr>
            <w:tcW w:type="dxa" w:w="3888"/>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Comprehensive commercial / acquisition value of the full platform, IP, and assets</w:t>
            </w:r>
          </w:p>
        </w:tc>
        <w:tc>
          <w:tcPr>
            <w:tcW w:type="dxa" w:w="2880"/>
            <w:vAlign w:val="center"/>
            <w:tcMar>
              <w:top w:w="100" w:type="dxa"/>
              <w:bottom w:w="100" w:type="dxa"/>
              <w:left w:w="120" w:type="dxa"/>
              <w:right w:w="120" w:type="dxa"/>
            </w:tcMar>
            <w:shd w:fill="F8FAFC"/>
            <w:tcBorders>
              <w:top w:val="single" w:sz="4" w:space="0" w:color="CBD5E1"/>
              <w:left w:val="single" w:sz="4" w:space="0" w:color="CBD5E1"/>
              <w:bottom w:val="single" w:sz="4" w:space="0" w:color="CBD5E1"/>
              <w:right w:val="single" w:sz="4" w:space="0" w:color="CBD5E1"/>
              <w:insideH w:val="none"/>
              <w:insideV w:val="none"/>
            </w:tcBorders>
          </w:tcPr>
          <w:p>
            <w:pPr>
              <w:spacing w:before="40" w:after="40"/>
            </w:pPr>
            <w:r>
              <w:rPr>
                <w:rFonts w:ascii="Arial" w:hAnsi="Arial"/>
                <w:color w:val="1E293B"/>
                <w:sz w:val="17"/>
              </w:rPr>
              <w:t>₹73.1 Lakhs – ₹1.08 Crores</w:t>
              <w:br/>
              <w:t>($88,000 – $130,000 USD)</w:t>
            </w:r>
          </w:p>
        </w:tc>
      </w:tr>
    </w:tbl>
    <w:p>
      <w:pPr>
        <w:spacing w:after="80"/>
      </w:pPr>
    </w:p>
    <w:p>
      <w:pPr>
        <w:keepNext/>
        <w:spacing w:before="240" w:after="60"/>
      </w:pPr>
      <w:r>
        <w:rPr>
          <w:rFonts w:ascii="Arial" w:hAnsi="Arial"/>
          <w:b/>
          <w:color w:val="0F172A"/>
          <w:sz w:val="24"/>
        </w:rPr>
        <w:t>5. Technical Limitations &amp; Architectural Drawbacks (Honest Audit)</w:t>
      </w:r>
    </w:p>
    <w:p>
      <w:pPr>
        <w:spacing w:before="0" w:after="80"/>
      </w:pPr>
      <w:r>
        <w:rPr>
          <w:color w:val="2563EB"/>
          <w:sz w:val="14"/>
        </w:rPr>
        <w:t>――――――――――――――――――――――――――――――――――――――――――――――――――――</w:t>
      </w:r>
    </w:p>
    <w:p>
      <w:r>
        <w:t>To maintain rigorous engineering honesty, the following real architectural limitations and operational drawbacks are documented:</w:t>
      </w:r>
    </w:p>
    <w:p>
      <w:r>
        <w:t>1. Dataset Payload &amp; Memory Overhead: Despite Rollup manual chunking, the total dataset size (~4.5MB compressed, ~18MB uncompressed JSON) requires initial memory parsing. On low-end mobile devices (&lt;2GB RAM), loading all 50 mocks simultaneously can cause momentary memory spikes.</w:t>
      </w:r>
    </w:p>
    <w:p>
      <w:r>
        <w:t>2. Absence of Native App Store Binaries: Currently packaged purely as a Progressive Web App (PWA). While installable from browsers, it lacks native Google Play / Apple App Store presence (requires Capacitor or React Native wrappers for store distribution).</w:t>
      </w:r>
    </w:p>
    <w:p>
      <w:r>
        <w:t>3. Client-Side Rendering Limits on Math: Rendering 65 complex KaTeX mathematical formulas simultaneously on budget smartphones (&lt;$100 devices) can trigger layout re-paints during rapid scrolling.</w:t>
      </w:r>
    </w:p>
    <w:p>
      <w:r>
        <w:t>4. Lack of Native Video Explanations: To maintain 100% free hosting and offline capability, the platform relies on rich text, diagrams, and KaTeX derivations rather than bandwidth-heavy video lectures.</w:t>
      </w:r>
    </w:p>
    <w:p>
      <w:r>
        <w:t>5. Supabase Free-Tier Connection Limits: Under high-concurrency university mock tests (&gt;500 concurrent submissions), Supabase free-tier database connections could throttle unless scaled to dedicated tiers.</w:t>
      </w:r>
    </w:p>
    <w:p>
      <w:r>
        <w:t>6. Single-Architect Dependency: Development and curation currently rest almost entirely on Raghav Bansal, creating a maintenance bottleneck without an organized student squad.</w:t>
      </w:r>
    </w:p>
    <w:p>
      <w:pPr>
        <w:keepNext/>
        <w:spacing w:before="240" w:after="60"/>
      </w:pPr>
      <w:r>
        <w:rPr>
          <w:rFonts w:ascii="Arial" w:hAnsi="Arial"/>
          <w:b/>
          <w:color w:val="0F172A"/>
          <w:sz w:val="24"/>
        </w:rPr>
        <w:t>6. Strategic Suggestions &amp; Growth Roadmap</w:t>
      </w:r>
    </w:p>
    <w:p>
      <w:pPr>
        <w:spacing w:before="0" w:after="80"/>
      </w:pPr>
      <w:r>
        <w:rPr>
          <w:color w:val="2563EB"/>
          <w:sz w:val="14"/>
        </w:rPr>
        <w:t>――――――――――――――――――――――――――――――――――――――――――――――――――――</w:t>
      </w:r>
    </w:p>
    <w:p>
      <w:r>
        <w:t>• Technical Architecture Enhancements:</w:t>
      </w:r>
    </w:p>
    <w:p>
      <w:r>
        <w:t xml:space="preserve">  1. Native Mobile Wrapper: Package the PWA via Capacitor / Tauri to release native Android APKs on the Google Play Store.</w:t>
      </w:r>
    </w:p>
    <w:p>
      <w:r>
        <w:t xml:space="preserve">  2. Virtualized DOM Lists: Implement react-window / virtual scrolling on large question lists to further reduce DOM memory footprint on budget phones.</w:t>
      </w:r>
    </w:p>
    <w:p>
      <w:r>
        <w:t xml:space="preserve">  3. Adaptive Item Response Theory (IRT): Dynamically adjust test difficulty based on student percentile rating.</w:t>
      </w:r>
    </w:p>
    <w:p>
      <w:r>
        <w:t>• Institutional &amp; Community Growth:</w:t>
      </w:r>
    </w:p>
    <w:p>
      <w:r>
        <w:t xml:space="preserve">  1. Form Student Maintenance Squad: Train 2nd and 3rd-year juniors at COAET CCS HAU Hisar to moderate discussions, add new textbook questions, and triage reported issues.</w:t>
      </w:r>
    </w:p>
    <w:p>
      <w:r>
        <w:t xml:space="preserve">  2. ICAR / State University Integration: Partner with ICAR agricultural engineering colleges across Punjab, Haryana, Tamil Nadu, and Maharashtra for statewide mock tests.</w:t>
      </w:r>
    </w:p>
    <w:p>
      <w:r>
        <w:t xml:space="preserve">  3. Research Publication: Author an engineering education paper on 'Offline-First CBT Architecture for Domain-Specific Technical Education' in IEEE/ICAR conferences.</w:t>
      </w:r>
    </w:p>
    <w:p>
      <w:pPr>
        <w:keepNext/>
        <w:spacing w:before="240" w:after="60"/>
      </w:pPr>
      <w:r>
        <w:rPr>
          <w:rFonts w:ascii="Arial" w:hAnsi="Arial"/>
          <w:b/>
          <w:color w:val="0F172A"/>
          <w:sz w:val="24"/>
        </w:rPr>
        <w:t>7. 360° Personality &amp; Engineering Profile of Raghav Bansal (True &amp; Direct)</w:t>
      </w:r>
    </w:p>
    <w:p>
      <w:pPr>
        <w:spacing w:before="0" w:after="80"/>
      </w:pPr>
      <w:r>
        <w:rPr>
          <w:color w:val="2563EB"/>
          <w:sz w:val="14"/>
        </w:rPr>
        <w:t>――――――――――――――――――――――――――――――――――――――――――――――――――――</w:t>
      </w:r>
    </w:p>
    <w:p>
      <w:r>
        <w:t>This evaluation is derived directly from Raghav Bansal's prompts, architectural directives, code commits, decision-making patterns, and reactions observed throughout the entire lifecycle of this project.</w:t>
      </w:r>
    </w:p>
    <w:p>
      <w:pPr>
        <w:keepNext/>
        <w:spacing w:before="160" w:after="40"/>
      </w:pPr>
      <w:r>
        <w:rPr>
          <w:rFonts w:ascii="Arial" w:hAnsi="Arial"/>
          <w:b/>
          <w:color w:val="1E293B"/>
          <w:sz w:val="21"/>
        </w:rPr>
        <w:t>7.1 Core Technical Strengths &amp; Rare Hybrid Competence</w:t>
      </w:r>
    </w:p>
    <w:p>
      <w:r>
        <w:t>• Rare Hybrid Competence (Agri-Engg + Full-Stack Web): Most software engineers lack deep domain knowledge in agricultural thermodynamics, tractor kinematics, soil physics, or grain drying kinetics. Conversely, most agricultural engineers lack modern frontend, state machine, and PWA proficiency. Raghav bridges this gap completely, authoring intricate KaTeX equations ($P_{db} = P_{axle} \cdot (1 - S) \cdot \eta_{tract}$), validating unit tolerances, and implementing official IIT answer keys.</w:t>
      </w:r>
    </w:p>
    <w:p>
      <w:r>
        <w:t>• Uncompromising Aesthetic &amp; Fidelity Standards: Zero tolerance for generic, boring layouts. Demanded sleek 2-theme engines (light-mode default with high-contrast slate ink), 60fps scrolling, authentic TCS iON calculator styling, and celebratory confetti animations.</w:t>
      </w:r>
    </w:p>
    <w:p>
      <w:r>
        <w:t>• Architectural Integrity &amp; Invariant Guardrails: Enforced strict invariants: preserving official PYQs as immutable records, enforcing 65-question 100-mark blueprints, and requiring 100% test passes before declaring any feature complete.</w:t>
      </w:r>
    </w:p>
    <w:p>
      <w:pPr>
        <w:keepNext/>
        <w:spacing w:before="160" w:after="40"/>
      </w:pPr>
      <w:r>
        <w:rPr>
          <w:rFonts w:ascii="Arial" w:hAnsi="Arial"/>
          <w:b/>
          <w:color w:val="1E293B"/>
          <w:sz w:val="21"/>
        </w:rPr>
        <w:t>7.2 Working Style, Drive &amp; Temperament</w:t>
      </w:r>
    </w:p>
    <w:p>
      <w:r>
        <w:t>• Relentless Marathon Endurance: Raghav works in concentrated 6-to-12 hour marathon sessions (often late into the night, pushing dozens of commits in a single sitting) until a milestone is completely defeated.</w:t>
      </w:r>
    </w:p>
    <w:p>
      <w:r>
        <w:t>• Altruistic College Pride: The platform's underlying motivation is unselfish: 'Crafted by Raghav Bansal • Made for his dear juniors' at COAET CCS HAU Hisar. He is driven by a deep desire to give his university peers an elite preparation tool that surpasses expensive commercial coaching portals.</w:t>
      </w:r>
    </w:p>
    <w:p>
      <w:r>
        <w:t>• Direct, High-Urgency Communication: Speaks with total candor, zero corporate fluff, and intense urgency. When something is wrong (e.g., miscalculated working hours or answers visible before submission), he calls it out directly and demands immediate, precise correction.</w:t>
      </w:r>
    </w:p>
    <w:p>
      <w:pPr>
        <w:keepNext/>
        <w:spacing w:before="160" w:after="40"/>
      </w:pPr>
      <w:r>
        <w:rPr>
          <w:rFonts w:ascii="Arial" w:hAnsi="Arial"/>
          <w:b/>
          <w:color w:val="1E293B"/>
          <w:sz w:val="21"/>
        </w:rPr>
        <w:t>7.3 Flaws, Cognitive Blindspots &amp; Operational Limitations</w:t>
      </w:r>
    </w:p>
    <w:p>
      <w:r>
        <w:t>• Scope Expansion &amp; Feature Creeping Addiction: Whenever a milestone is conquered, Raghav rarely pauses to rest or let the codebase stabilize. He immediately jumps into another massive subsystem (expanding from 18 mocks to 29, then 50, then Question Bank, then Arcade Zone, then Multi-tier XP). While visionary, this creates continuous architectural pressure and risk of feature bloat.</w:t>
      </w:r>
    </w:p>
    <w:p>
      <w:r>
        <w:t>• Impatience &amp; ALL-CAPS Urgency Under Stress: Under cognitive overload or high excitement, his instructions become rapid, capitalized staccato bursts ('HOW MUCH POINTS AND XP USER GETS...', 'LETS ALL PROVIDE XP AND POINTS...', 'ALSO ENSURE WHILE PROCEED...'). He expects execution at the speed of his thought and can get frustrated when systems require deliberate multi-step reasoning.</w:t>
      </w:r>
    </w:p>
    <w:p>
      <w:r>
        <w:t>• Iterative Discovery vs. Upfront Specification: Raghav frequently discovers critical business edge-cases reactively rather than proactively (e.g., realizing that viewing a solution before answering should disqualify the user from XP only after the XP system was already built). Formulating a brief 1-page spec before prompting would save significant refactoring cycles.</w:t>
      </w:r>
    </w:p>
    <w:p>
      <w:r>
        <w:t>• Perfectionist Fatigue &amp; High Burnout Risk: Pumping 145 concentrated engineering hours into 21 days while managing college academic obligations is an unsustainable sprint pace. Without structured pacing and scheduled rest intervals, this intensity leads to mental exhaustion.</w:t>
      </w:r>
    </w:p>
    <w:p>
      <w:pPr>
        <w:keepNext/>
        <w:spacing w:before="160" w:after="40"/>
      </w:pPr>
      <w:r>
        <w:rPr>
          <w:rFonts w:ascii="Arial" w:hAnsi="Arial"/>
          <w:b/>
          <w:color w:val="1E293B"/>
          <w:sz w:val="21"/>
        </w:rPr>
        <w:t>7.4 Professional Readiness &amp; Strategic Growth Advice</w:t>
      </w:r>
    </w:p>
    <w:p>
      <w:r>
        <w:t>• Founding Engineer / Technical Product Lead Caliber: He does not just write code; he conceives products end-to-end. He understands user psychology, domain rules, offline database sync, and UI polish, making him exceptionally qualified as a Founding Engineer in high-growth startups.</w:t>
      </w:r>
    </w:p>
    <w:p>
      <w:r>
        <w:t>• Growth Recommendations:</w:t>
      </w:r>
    </w:p>
    <w:p>
      <w:r>
        <w:t xml:space="preserve">  1. Practice Upfront Edge-Case Mapping: Spend 5 minutes jotting down edge-cases before starting a build.</w:t>
      </w:r>
    </w:p>
    <w:p>
      <w:r>
        <w:t xml:space="preserve">  2. Implement 48-Hour Feature Freezes: Enforce mandatory rest and documentation periods after major milestone releases.</w:t>
      </w:r>
    </w:p>
    <w:p>
      <w:r>
        <w:t xml:space="preserve">  3. Delegate Content Curation: Transition from solo workhorse to lead architect by empowering a team.</w:t>
      </w:r>
    </w:p>
    <w:p>
      <w:pPr>
        <w:keepNext/>
        <w:spacing w:before="240" w:after="60"/>
      </w:pPr>
      <w:r>
        <w:rPr>
          <w:rFonts w:ascii="Arial" w:hAnsi="Arial"/>
          <w:b/>
          <w:color w:val="0F172A"/>
          <w:sz w:val="24"/>
        </w:rPr>
        <w:t>8. Formal Certification &amp; Institutional Attribution</w:t>
      </w:r>
    </w:p>
    <w:p>
      <w:pPr>
        <w:spacing w:before="0" w:after="80"/>
      </w:pPr>
      <w:r>
        <w:rPr>
          <w:color w:val="2563EB"/>
          <w:sz w:val="14"/>
        </w:rPr>
        <w:t>――――――――――――――――――――――――――――――――――――――――――――――――――――</w:t>
      </w:r>
    </w:p>
    <w:p>
      <w:r>
        <w:t>This project represents a complete, production-grade engineering achievement uniting advanced full-stack web architecture with deep domain knowledge in agricultural engineering.</w:t>
      </w:r>
    </w:p>
    <w:p>
      <w:pPr>
        <w:spacing w:before="200" w:line="288" w:lineRule="auto"/>
      </w:pPr>
      <w:r>
        <w:rPr>
          <w:b/>
          <w:color w:val="0F172A"/>
          <w:sz w:val="21"/>
        </w:rPr>
        <w:t>Raghav Bansal</w:t>
        <w:br/>
      </w:r>
      <w:r>
        <w:rPr>
          <w:color w:val="475569"/>
          <w:sz w:val="19"/>
        </w:rPr>
        <w:t>Lead Software Architect &amp; Agricultural Engineer</w:t>
        <w:br/>
        <w:t>College of Agricultural Engineering and Technology (COAET)</w:t>
        <w:br/>
        <w:t>CCS Haryana Agricultural University, Hisar (Haryana), India</w:t>
        <w:br/>
        <w:t>Date of Certification: September 2026</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COAET, CCS HAU Hisar • Lead Engineer: Raghav Bansal • 710 Tests Passed (100%)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GATE AG Full-Stack Platform | Master Technical &amp; Personal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33415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