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32"/>
        </w:rPr>
        <w:t>GATE AGRICULTURAL ENGINEERING (AG) FULL-STACK PLATFORM</w:t>
      </w:r>
    </w:p>
    <w:p>
      <w:pPr>
        <w:spacing w:before="20" w:after="160"/>
        <w:jc w:val="center"/>
      </w:pPr>
      <w:r>
        <w:rPr>
          <w:rFonts w:ascii="Arial" w:hAnsi="Arial"/>
          <w:b/>
          <w:color w:val="2563EB"/>
          <w:sz w:val="21"/>
        </w:rPr>
        <w:t>Comprehensive Final Project Report: Architecture, Realistic Valuation, Beneficiary Impact &amp; Monetization Strategy</w:t>
      </w:r>
    </w:p>
    <w:tbl>
      <w:tblPr>
        <w:tblW w:type="auto" w:w="0"/>
        <w:jc w:val="center"/>
        <w:tblLook w:firstColumn="1" w:firstRow="1" w:lastColumn="0" w:lastRow="0" w:noHBand="0" w:noVBand="1" w:val="04A0"/>
      </w:tblPr>
      <w:tblGrid>
        <w:gridCol w:w="5112"/>
        <w:gridCol w:w="5112"/>
      </w:tblGrid>
      <w:tr>
        <w:tc>
          <w:tcPr>
            <w:tcW w:type="dxa" w:w="4680"/>
            <w:shd w:fill="F1F5F9"/>
            <w:tcMar>
              <w:top w:w="50" w:type="dxa"/>
              <w:bottom w:w="50" w:type="dxa"/>
              <w:left w:w="80" w:type="dxa"/>
              <w:right w:w="8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20" w:after="20"/>
            </w:pPr>
            <w:r>
              <w:rPr>
                <w:b/>
                <w:color w:val="0F172A"/>
                <w:sz w:val="17"/>
              </w:rPr>
              <w:t>Lead Architect &amp; Engineer:</w:t>
            </w:r>
            <w:r>
              <w:rPr>
                <w:color w:val="334155"/>
                <w:sz w:val="17"/>
              </w:rPr>
              <w:t xml:space="preserve"> Raghav Bansal</w:t>
            </w:r>
          </w:p>
        </w:tc>
        <w:tc>
          <w:tcPr>
            <w:tcW w:type="dxa" w:w="4680"/>
            <w:shd w:fill="F1F5F9"/>
            <w:tcMar>
              <w:top w:w="50" w:type="dxa"/>
              <w:bottom w:w="50" w:type="dxa"/>
              <w:left w:w="80" w:type="dxa"/>
              <w:right w:w="8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20" w:after="20"/>
            </w:pPr>
            <w:r>
              <w:rPr>
                <w:b/>
                <w:color w:val="0F172A"/>
                <w:sz w:val="17"/>
              </w:rPr>
              <w:t>Institution:</w:t>
            </w:r>
            <w:r>
              <w:rPr>
                <w:color w:val="334155"/>
                <w:sz w:val="17"/>
              </w:rPr>
              <w:t xml:space="preserve"> COAET, CCS HAU Hisar</w:t>
            </w:r>
          </w:p>
        </w:tc>
      </w:tr>
      <w:tr>
        <w:tc>
          <w:tcPr>
            <w:tcW w:type="dxa" w:w="4680"/>
            <w:shd w:fill="F1F5F9"/>
            <w:tcMar>
              <w:top w:w="50" w:type="dxa"/>
              <w:bottom w:w="50" w:type="dxa"/>
              <w:left w:w="80" w:type="dxa"/>
              <w:right w:w="8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20" w:after="20"/>
            </w:pPr>
            <w:r>
              <w:rPr>
                <w:b/>
                <w:color w:val="0F172A"/>
                <w:sz w:val="17"/>
              </w:rPr>
              <w:t>Project Duration &amp; Effort:</w:t>
            </w:r>
            <w:r>
              <w:rPr>
                <w:color w:val="334155"/>
                <w:sz w:val="17"/>
              </w:rPr>
              <w:t xml:space="preserve"> ~45–55 Focused Active Hours (Aug–Sep 2026)</w:t>
            </w:r>
          </w:p>
        </w:tc>
        <w:tc>
          <w:tcPr>
            <w:tcW w:type="dxa" w:w="4680"/>
            <w:shd w:fill="F1F5F9"/>
            <w:tcMar>
              <w:top w:w="50" w:type="dxa"/>
              <w:bottom w:w="50" w:type="dxa"/>
              <w:left w:w="80" w:type="dxa"/>
              <w:right w:w="8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20" w:after="20"/>
            </w:pPr>
            <w:r>
              <w:rPr>
                <w:b/>
                <w:color w:val="0F172A"/>
                <w:sz w:val="17"/>
              </w:rPr>
              <w:t>Target Discipline:</w:t>
            </w:r>
            <w:r>
              <w:rPr>
                <w:color w:val="334155"/>
                <w:sz w:val="17"/>
              </w:rPr>
              <w:t xml:space="preserve"> GATE Agricultural Engineering (AG)</w:t>
            </w:r>
          </w:p>
        </w:tc>
      </w:tr>
      <w:tr>
        <w:tc>
          <w:tcPr>
            <w:tcW w:type="dxa" w:w="4680"/>
            <w:shd w:fill="F1F5F9"/>
            <w:tcMar>
              <w:top w:w="50" w:type="dxa"/>
              <w:bottom w:w="50" w:type="dxa"/>
              <w:left w:w="80" w:type="dxa"/>
              <w:right w:w="8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20" w:after="20"/>
            </w:pPr>
            <w:r>
              <w:rPr>
                <w:b/>
                <w:color w:val="0F172A"/>
                <w:sz w:val="17"/>
              </w:rPr>
              <w:t>System Status:</w:t>
            </w:r>
            <w:r>
              <w:rPr>
                <w:color w:val="334155"/>
                <w:sz w:val="17"/>
              </w:rPr>
              <w:t xml:space="preserve"> Production-Ready (PWA / Offline-First)</w:t>
            </w:r>
          </w:p>
        </w:tc>
        <w:tc>
          <w:tcPr>
            <w:tcW w:type="dxa" w:w="4680"/>
            <w:shd w:fill="F1F5F9"/>
            <w:tcMar>
              <w:top w:w="50" w:type="dxa"/>
              <w:bottom w:w="50" w:type="dxa"/>
              <w:left w:w="80" w:type="dxa"/>
              <w:right w:w="80" w:type="dxa"/>
            </w:tcMar>
            <w:tcBorders>
              <w:top w:val="single" w:sz="4" w:space="0" w:color="E2E8F0"/>
              <w:left w:val="single" w:sz="4" w:space="0" w:color="E2E8F0"/>
              <w:bottom w:val="single" w:sz="4" w:space="0" w:color="E2E8F0"/>
              <w:right w:val="single" w:sz="4" w:space="0" w:color="E2E8F0"/>
              <w:insideH w:val="none"/>
              <w:insideV w:val="none"/>
            </w:tcBorders>
          </w:tcPr>
          <w:p>
            <w:pPr>
              <w:spacing w:before="20" w:after="20"/>
            </w:pPr>
            <w:r>
              <w:rPr>
                <w:b/>
                <w:color w:val="0F172A"/>
                <w:sz w:val="17"/>
              </w:rPr>
              <w:t>Automated Verification:</w:t>
            </w:r>
            <w:r>
              <w:rPr>
                <w:color w:val="334155"/>
                <w:sz w:val="17"/>
              </w:rPr>
              <w:t xml:space="preserve"> 710 Tests Passed across 129 Suites (100% Pass)</w:t>
            </w:r>
          </w:p>
        </w:tc>
      </w:tr>
    </w:tbl>
    <w:p>
      <w:pPr>
        <w:spacing w:after="80"/>
      </w:pPr>
    </w:p>
    <w:p>
      <w:pPr>
        <w:keepNext/>
        <w:spacing w:before="200" w:after="40"/>
      </w:pPr>
      <w:r>
        <w:rPr>
          <w:rFonts w:ascii="Arial" w:hAnsi="Arial"/>
          <w:b/>
          <w:color w:val="0F172A"/>
          <w:sz w:val="23"/>
        </w:rPr>
        <w:t>1. Executive Summary &amp; Problem Statement</w:t>
      </w:r>
    </w:p>
    <w:p>
      <w:pPr>
        <w:spacing w:before="0" w:after="60"/>
      </w:pPr>
      <w:r>
        <w:rPr>
          <w:color w:val="2563EB"/>
          <w:sz w:val="14"/>
        </w:rPr>
        <w:t>――――――――――――――――――――――――――――――――――――――――――――――――――――――</w:t>
      </w:r>
    </w:p>
    <w:p>
      <w:r>
        <w:t>The GATE Agricultural Engineering (AG) Preparation Platform is an offline-first Progressive Web Application (PWA) and Computer-Based Testing (CBT) simulator engineered to solve the acute shortage of specialized, authentic digital preparation resources for Agricultural Engineering aspirants across India.</w:t>
      </w:r>
    </w:p>
    <w:p>
      <w:r>
        <w:t>While mainstream disciplines like CS, ME, and CE enjoy abundant test series, GATE AG students have historically suffered from: (1) sparse or inaccurate test materials, (2) lack of official TCS iON CBT interface simulation, and (3) unreliable rural college internet causing lost test sessions. This platform provides 4,574 authentic questions (1,324 official PYQs 2007–2026 + 50 full-length custom mocks with 3,250 questions), strict official scoring algorithms, 5-tier offline caching, and anti-cheat gamification.</w:t>
      </w:r>
    </w:p>
    <w:p>
      <w:pPr>
        <w:keepNext/>
        <w:spacing w:before="200" w:after="40"/>
      </w:pPr>
      <w:r>
        <w:rPr>
          <w:rFonts w:ascii="Arial" w:hAnsi="Arial"/>
          <w:b/>
          <w:color w:val="0F172A"/>
          <w:sz w:val="23"/>
        </w:rPr>
        <w:t>2. Quantitative Repository Baseline &amp; Telemetry</w:t>
      </w:r>
    </w:p>
    <w:p>
      <w:pPr>
        <w:spacing w:before="0" w:after="60"/>
      </w:pPr>
      <w:r>
        <w:rPr>
          <w:color w:val="2563EB"/>
          <w:sz w:val="14"/>
        </w:rPr>
        <w:t>――――――――――――――――――――――――――――――――――――――――――――――――――――――</w:t>
      </w:r>
    </w:p>
    <w:tbl>
      <w:tblPr>
        <w:tblW w:type="auto" w:w="0"/>
        <w:jc w:val="center"/>
        <w:tblLook w:firstColumn="1" w:firstRow="1" w:lastColumn="0" w:lastRow="0" w:noHBand="0" w:noVBand="1" w:val="04A0"/>
      </w:tblPr>
      <w:tblGrid>
        <w:gridCol w:w="5112"/>
        <w:gridCol w:w="5112"/>
      </w:tblGrid>
      <w:tr>
        <w:trPr>
          <w:cantSplit/>
          <w:tblHeader/>
        </w:trPr>
        <w:tc>
          <w:tcPr>
            <w:tcW w:type="dxa" w:w="3168"/>
            <w:vAlign w:val="center"/>
            <w:tcMar>
              <w:top w:w="80" w:type="dxa"/>
              <w:bottom w:w="80" w:type="dxa"/>
              <w:left w:w="100" w:type="dxa"/>
              <w:right w:w="100" w:type="dxa"/>
            </w:tcMar>
            <w:shd w:fill="1E293B"/>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b/>
                <w:color w:val="FFFFFF"/>
                <w:sz w:val="17"/>
              </w:rPr>
              <w:t>Telemetry Dimension</w:t>
            </w:r>
          </w:p>
        </w:tc>
        <w:tc>
          <w:tcPr>
            <w:tcW w:type="dxa" w:w="6192"/>
            <w:vAlign w:val="center"/>
            <w:tcMar>
              <w:top w:w="80" w:type="dxa"/>
              <w:bottom w:w="80" w:type="dxa"/>
              <w:left w:w="100" w:type="dxa"/>
              <w:right w:w="100" w:type="dxa"/>
            </w:tcMar>
            <w:shd w:fill="1E293B"/>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b/>
                <w:color w:val="FFFFFF"/>
                <w:sz w:val="17"/>
              </w:rPr>
              <w:t>Verified Repository Baseline</w:t>
            </w:r>
          </w:p>
        </w:tc>
      </w:tr>
      <w:tr>
        <w:trPr>
          <w:cantSplit/>
        </w:trPr>
        <w:tc>
          <w:tcPr>
            <w:tcW w:type="dxa" w:w="3168"/>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Total Verified Technical Questions</w:t>
            </w:r>
          </w:p>
        </w:tc>
        <w:tc>
          <w:tcPr>
            <w:tcW w:type="dxa" w:w="619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4,574 Authentic Questions (1,324 Official PYQs + 3,250 Custom Mock Qs)</w:t>
            </w:r>
          </w:p>
        </w:tc>
      </w:tr>
      <w:tr>
        <w:trPr>
          <w:cantSplit/>
        </w:trPr>
        <w:tc>
          <w:tcPr>
            <w:tcW w:type="dxa" w:w="3168"/>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Official IIT GATE AG Archives</w:t>
            </w:r>
          </w:p>
        </w:tc>
        <w:tc>
          <w:tcPr>
            <w:tcW w:type="dxa" w:w="6192"/>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20 Consecutive Examination Years (2007–2026) with digital LaTeX solutions</w:t>
            </w:r>
          </w:p>
        </w:tc>
      </w:tr>
      <w:tr>
        <w:trPr>
          <w:cantSplit/>
        </w:trPr>
        <w:tc>
          <w:tcPr>
            <w:tcW w:type="dxa" w:w="3168"/>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Custom Mock Papers</w:t>
            </w:r>
          </w:p>
        </w:tc>
        <w:tc>
          <w:tcPr>
            <w:tcW w:type="dxa" w:w="619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50 Full-Length Mocks (65 Qs / 100 Marks / 180 Min each) + 50 DOCX packages</w:t>
            </w:r>
          </w:p>
        </w:tc>
      </w:tr>
      <w:tr>
        <w:trPr>
          <w:cantSplit/>
        </w:trPr>
        <w:tc>
          <w:tcPr>
            <w:tcW w:type="dxa" w:w="3168"/>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Total Codebase Volume</w:t>
            </w:r>
          </w:p>
        </w:tc>
        <w:tc>
          <w:tcPr>
            <w:tcW w:type="dxa" w:w="6192"/>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218,696 Lines of Code, Formulas, and Structured Pedagogical Data</w:t>
            </w:r>
          </w:p>
        </w:tc>
      </w:tr>
      <w:tr>
        <w:trPr>
          <w:cantSplit/>
        </w:trPr>
        <w:tc>
          <w:tcPr>
            <w:tcW w:type="dxa" w:w="3168"/>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Frontend Application Code</w:t>
            </w:r>
          </w:p>
        </w:tc>
        <w:tc>
          <w:tcPr>
            <w:tcW w:type="dxa" w:w="619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75,623 Lines across React 19 components, state engines, and services</w:t>
            </w:r>
          </w:p>
        </w:tc>
      </w:tr>
      <w:tr>
        <w:trPr>
          <w:cantSplit/>
        </w:trPr>
        <w:tc>
          <w:tcPr>
            <w:tcW w:type="dxa" w:w="3168"/>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Formula &amp; Concept Library</w:t>
            </w:r>
          </w:p>
        </w:tc>
        <w:tc>
          <w:tcPr>
            <w:tcW w:type="dxa" w:w="6192"/>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57 Validated LaTeX Formulas across 8 Categories + 83 Syllabus Subtopics</w:t>
            </w:r>
          </w:p>
        </w:tc>
      </w:tr>
      <w:tr>
        <w:trPr>
          <w:cantSplit/>
        </w:trPr>
        <w:tc>
          <w:tcPr>
            <w:tcW w:type="dxa" w:w="3168"/>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Automated Test Suite</w:t>
            </w:r>
          </w:p>
        </w:tc>
        <w:tc>
          <w:tcPr>
            <w:tcW w:type="dxa" w:w="619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710 Automated Tests across 129 Suites (100% Pass Rate, 0 Failures)</w:t>
            </w:r>
          </w:p>
        </w:tc>
      </w:tr>
      <w:tr>
        <w:trPr>
          <w:cantSplit/>
        </w:trPr>
        <w:tc>
          <w:tcPr>
            <w:tcW w:type="dxa" w:w="3168"/>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Production Build Performance</w:t>
            </w:r>
          </w:p>
        </w:tc>
        <w:tc>
          <w:tcPr>
            <w:tcW w:type="dxa" w:w="6192"/>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~3.08 seconds (Vite 6, Rollup manual chunking into 18+ bundles)</w:t>
            </w:r>
          </w:p>
        </w:tc>
      </w:tr>
      <w:tr>
        <w:trPr>
          <w:cantSplit/>
        </w:trPr>
        <w:tc>
          <w:tcPr>
            <w:tcW w:type="dxa" w:w="3168"/>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Offline Storage Engine</w:t>
            </w:r>
          </w:p>
        </w:tc>
        <w:tc>
          <w:tcPr>
            <w:tcW w:type="dxa" w:w="619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IndexedDB (gate_ag_prep_db) deep storage with LocalStorage fallback queue</w:t>
            </w:r>
          </w:p>
        </w:tc>
      </w:tr>
      <w:tr>
        <w:trPr>
          <w:cantSplit/>
        </w:trPr>
        <w:tc>
          <w:tcPr>
            <w:tcW w:type="dxa" w:w="3168"/>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Appearance &amp; Invariants</w:t>
            </w:r>
          </w:p>
        </w:tc>
        <w:tc>
          <w:tcPr>
            <w:tcW w:type="dxa" w:w="6192"/>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Strict 2-Theme System (Light Mode default with Slate typography + Dark Theme)</w:t>
            </w:r>
          </w:p>
        </w:tc>
      </w:tr>
    </w:tbl>
    <w:p>
      <w:pPr>
        <w:spacing w:after="60"/>
      </w:pPr>
    </w:p>
    <w:p>
      <w:pPr>
        <w:keepNext/>
        <w:spacing w:before="200" w:after="40"/>
      </w:pPr>
      <w:r>
        <w:rPr>
          <w:rFonts w:ascii="Arial" w:hAnsi="Arial"/>
          <w:b/>
          <w:color w:val="0F172A"/>
          <w:sz w:val="23"/>
        </w:rPr>
        <w:t>3. Realistic Working Hours &amp; Engineering Effort Breakdown</w:t>
      </w:r>
    </w:p>
    <w:p>
      <w:pPr>
        <w:spacing w:before="0" w:after="60"/>
      </w:pPr>
      <w:r>
        <w:rPr>
          <w:color w:val="2563EB"/>
          <w:sz w:val="14"/>
        </w:rPr>
        <w:t>――――――――――――――――――――――――――――――――――――――――――――――――――――――</w:t>
      </w:r>
    </w:p>
    <w:p>
      <w:r>
        <w:t>A realistic, grounded assessment of development time invested by Lead Engineer Raghav Bansal. The project was built through concentrated sprints utilizing AI pair-programming for high-speed scaffolding, schema extraction, and unit test generation:</w:t>
      </w:r>
    </w:p>
    <w:tbl>
      <w:tblPr>
        <w:tblW w:type="auto" w:w="0"/>
        <w:jc w:val="center"/>
        <w:tblLook w:firstColumn="1" w:firstRow="1" w:lastColumn="0" w:lastRow="0" w:noHBand="0" w:noVBand="1" w:val="04A0"/>
      </w:tblPr>
      <w:tblGrid>
        <w:gridCol w:w="3408"/>
        <w:gridCol w:w="3408"/>
        <w:gridCol w:w="3408"/>
      </w:tblGrid>
      <w:tr>
        <w:trPr>
          <w:cantSplit/>
          <w:tblHeader/>
        </w:trPr>
        <w:tc>
          <w:tcPr>
            <w:tcW w:type="dxa" w:w="3168"/>
            <w:vAlign w:val="center"/>
            <w:tcMar>
              <w:top w:w="80" w:type="dxa"/>
              <w:bottom w:w="80" w:type="dxa"/>
              <w:left w:w="100" w:type="dxa"/>
              <w:right w:w="100" w:type="dxa"/>
            </w:tcMar>
            <w:shd w:fill="1E293B"/>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b/>
                <w:color w:val="FFFFFF"/>
                <w:sz w:val="17"/>
              </w:rPr>
              <w:t>Activity / Engineering Phase</w:t>
            </w:r>
          </w:p>
        </w:tc>
        <w:tc>
          <w:tcPr>
            <w:tcW w:type="dxa" w:w="4752"/>
            <w:vAlign w:val="center"/>
            <w:tcMar>
              <w:top w:w="80" w:type="dxa"/>
              <w:bottom w:w="80" w:type="dxa"/>
              <w:left w:w="100" w:type="dxa"/>
              <w:right w:w="100" w:type="dxa"/>
            </w:tcMar>
            <w:shd w:fill="1E293B"/>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b/>
                <w:color w:val="FFFFFF"/>
                <w:sz w:val="17"/>
              </w:rPr>
              <w:t>Core Scope &amp; Technical Tasks</w:t>
            </w:r>
          </w:p>
        </w:tc>
        <w:tc>
          <w:tcPr>
            <w:tcW w:type="dxa" w:w="1440"/>
            <w:vAlign w:val="center"/>
            <w:tcMar>
              <w:top w:w="80" w:type="dxa"/>
              <w:bottom w:w="80" w:type="dxa"/>
              <w:left w:w="100" w:type="dxa"/>
              <w:right w:w="100" w:type="dxa"/>
            </w:tcMar>
            <w:shd w:fill="1E293B"/>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b/>
                <w:color w:val="FFFFFF"/>
                <w:sz w:val="17"/>
              </w:rPr>
              <w:t>Realistic Hours</w:t>
            </w:r>
          </w:p>
        </w:tc>
      </w:tr>
      <w:tr>
        <w:trPr>
          <w:cantSplit/>
        </w:trPr>
        <w:tc>
          <w:tcPr>
            <w:tcW w:type="dxa" w:w="3168"/>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Core Architecture &amp; Navigation Setup</w:t>
            </w:r>
          </w:p>
        </w:tc>
        <w:tc>
          <w:tcPr>
            <w:tcW w:type="dxa" w:w="475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React 19 SPA setup, Tailwind layout, 2-theme engine, routing, sidebar, responsive drawer</w:t>
            </w:r>
          </w:p>
        </w:tc>
        <w:tc>
          <w:tcPr>
            <w:tcW w:type="dxa" w:w="1440"/>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6.0 Hours</w:t>
            </w:r>
          </w:p>
        </w:tc>
      </w:tr>
      <w:tr>
        <w:trPr>
          <w:cantSplit/>
        </w:trPr>
        <w:tc>
          <w:tcPr>
            <w:tcW w:type="dxa" w:w="3168"/>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Official 20-Year PYQ Ingestion &amp; Math</w:t>
            </w:r>
          </w:p>
        </w:tc>
        <w:tc>
          <w:tcPr>
            <w:tcW w:type="dxa" w:w="4752"/>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Extraction of 1,324 PYQs (2007–2026), KaTeX formula formatting, option keys validation</w:t>
            </w:r>
          </w:p>
        </w:tc>
        <w:tc>
          <w:tcPr>
            <w:tcW w:type="dxa" w:w="1440"/>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8.5 Hours</w:t>
            </w:r>
          </w:p>
        </w:tc>
      </w:tr>
      <w:tr>
        <w:trPr>
          <w:cantSplit/>
        </w:trPr>
        <w:tc>
          <w:tcPr>
            <w:tcW w:type="dxa" w:w="3168"/>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50 Custom Mock Papers Ingestion</w:t>
            </w:r>
          </w:p>
        </w:tc>
        <w:tc>
          <w:tcPr>
            <w:tcW w:type="dxa" w:w="475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Ingestion &amp; validation of 50 mock papers (3,250 Qs), 65-Q blueprint schema checks, DOCX downloads</w:t>
            </w:r>
          </w:p>
        </w:tc>
        <w:tc>
          <w:tcPr>
            <w:tcW w:type="dxa" w:w="1440"/>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12.0 Hours</w:t>
            </w:r>
          </w:p>
        </w:tc>
      </w:tr>
      <w:tr>
        <w:trPr>
          <w:cantSplit/>
        </w:trPr>
        <w:tc>
          <w:tcPr>
            <w:tcW w:type="dxa" w:w="3168"/>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TCS iON CBT Engine &amp; Keypad</w:t>
            </w:r>
          </w:p>
        </w:tc>
        <w:tc>
          <w:tcPr>
            <w:tcW w:type="dxa" w:w="4752"/>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180-min wall-clock timer, 5 palette states, crash recovery, scientific calculator, NAT keypad</w:t>
            </w:r>
          </w:p>
        </w:tc>
        <w:tc>
          <w:tcPr>
            <w:tcW w:type="dxa" w:w="1440"/>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7.5 Hours</w:t>
            </w:r>
          </w:p>
        </w:tc>
      </w:tr>
      <w:tr>
        <w:trPr>
          <w:cantSplit/>
        </w:trPr>
        <w:tc>
          <w:tcPr>
            <w:tcW w:type="dxa" w:w="3168"/>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Scoring Core &amp; Offline Sync</w:t>
            </w:r>
          </w:p>
        </w:tc>
        <w:tc>
          <w:tcPr>
            <w:tcW w:type="dxa" w:w="475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MCQ/MSQ/NAT evaluation, IEEE-754 tolerance, 5-tier Service Worker, IndexedDB queue</w:t>
            </w:r>
          </w:p>
        </w:tc>
        <w:tc>
          <w:tcPr>
            <w:tcW w:type="dxa" w:w="1440"/>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6.5 Hours</w:t>
            </w:r>
          </w:p>
        </w:tc>
      </w:tr>
      <w:tr>
        <w:trPr>
          <w:cantSplit/>
        </w:trPr>
        <w:tc>
          <w:tcPr>
            <w:tcW w:type="dxa" w:w="3168"/>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Practice Hub, Heatmap &amp; Gamification</w:t>
            </w:r>
          </w:p>
        </w:tc>
        <w:tc>
          <w:tcPr>
            <w:tcW w:type="dxa" w:w="4752"/>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Cascading filters, 14-yr weightage heatmap, Academic/Break XP, Anti-cheat Zero-XP rule</w:t>
            </w:r>
          </w:p>
        </w:tc>
        <w:tc>
          <w:tcPr>
            <w:tcW w:type="dxa" w:w="1440"/>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5.5 Hours</w:t>
            </w:r>
          </w:p>
        </w:tc>
      </w:tr>
      <w:tr>
        <w:trPr>
          <w:cantSplit/>
        </w:trPr>
        <w:tc>
          <w:tcPr>
            <w:tcW w:type="dxa" w:w="3168"/>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Testing, Optimization &amp; Build Packaging</w:t>
            </w:r>
          </w:p>
        </w:tc>
        <w:tc>
          <w:tcPr>
            <w:tcW w:type="dxa" w:w="475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710 tests authoring across 129 suites, Vite manualChunks code-splitting, PDF generator</w:t>
            </w:r>
          </w:p>
        </w:tc>
        <w:tc>
          <w:tcPr>
            <w:tcW w:type="dxa" w:w="1440"/>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6.0 Hours</w:t>
            </w:r>
          </w:p>
        </w:tc>
      </w:tr>
    </w:tbl>
    <w:p>
      <w:pPr>
        <w:spacing w:after="60"/>
      </w:pPr>
    </w:p>
    <w:tbl>
      <w:tblPr>
        <w:tblW w:type="auto" w:w="0"/>
        <w:jc w:val="center"/>
        <w:tblLayout w:type="fixed"/>
        <w:tblLook w:firstColumn="1" w:firstRow="1" w:lastColumn="0" w:lastRow="0" w:noHBand="0" w:noVBand="1" w:val="04A0"/>
      </w:tblPr>
      <w:tblGrid>
        <w:gridCol w:w="10224"/>
      </w:tblGrid>
      <w:tr>
        <w:tc>
          <w:tcPr>
            <w:tcW w:type="dxa" w:w="9360"/>
            <w:shd w:fill="F8FAFC"/>
            <w:tcMar>
              <w:top w:w="120" w:type="dxa"/>
              <w:bottom w:w="120" w:type="dxa"/>
              <w:left w:w="160" w:type="dxa"/>
              <w:right w:w="160" w:type="dxa"/>
            </w:tcMar>
            <w:tcBorders>
              <w:top w:val="none"/>
              <w:left w:val="single" w:sz="24" w:space="0" w:color="2563EB"/>
              <w:bottom w:val="none"/>
              <w:right w:val="none"/>
            </w:tcBorders>
          </w:tcPr>
          <w:p>
            <w:pPr>
              <w:spacing w:before="20" w:after="40"/>
            </w:pPr>
            <w:r>
              <w:rPr>
                <w:rFonts w:ascii="Arial" w:hAnsi="Arial"/>
                <w:b/>
                <w:color w:val="1E293B"/>
                <w:sz w:val="19"/>
              </w:rPr>
              <w:t>📌  GROUNDED EFFORT SUMMARY</w:t>
              <w:br/>
            </w:r>
          </w:p>
          <w:p>
            <w:pPr>
              <w:spacing w:before="20" w:after="20" w:line="276" w:lineRule="auto"/>
            </w:pPr>
            <w:r>
              <w:rPr>
                <w:rFonts w:ascii="Arial" w:hAnsi="Arial"/>
                <w:color w:val="334155"/>
                <w:sz w:val="17"/>
              </w:rPr>
              <w:t>• Total Realistic Active Development Time: ~50–55 Hands-On Focused Hours across 3 weeks.</w:t>
            </w:r>
          </w:p>
          <w:p>
            <w:pPr>
              <w:spacing w:before="20" w:after="20" w:line="276" w:lineRule="auto"/>
            </w:pPr>
            <w:r>
              <w:rPr>
                <w:rFonts w:ascii="Arial" w:hAnsi="Arial"/>
                <w:color w:val="334155"/>
                <w:sz w:val="17"/>
              </w:rPr>
              <w:t>• High Efficiency Driver: Leveraging AI pair-programming reduced traditional boilerplate coding from ~250–300 hours down to ~52 focused hours.</w:t>
            </w:r>
          </w:p>
          <w:p>
            <w:pPr>
              <w:spacing w:before="20" w:after="20" w:line="276" w:lineRule="auto"/>
            </w:pPr>
            <w:r>
              <w:rPr>
                <w:rFonts w:ascii="Arial" w:hAnsi="Arial"/>
                <w:color w:val="334155"/>
                <w:sz w:val="17"/>
              </w:rPr>
              <w:t>• Student Project Reality: Executed alongside regular B.Tech coursework at COAET CCS HAU Hisar in concentrated late-evening bursts.</w:t>
            </w:r>
          </w:p>
        </w:tc>
      </w:tr>
    </w:tbl>
    <w:p>
      <w:pPr>
        <w:spacing w:after="60"/>
      </w:pPr>
    </w:p>
    <w:p>
      <w:pPr>
        <w:keepNext/>
        <w:spacing w:before="200" w:after="40"/>
      </w:pPr>
      <w:r>
        <w:rPr>
          <w:rFonts w:ascii="Arial" w:hAnsi="Arial"/>
          <w:b/>
          <w:color w:val="0F172A"/>
          <w:sz w:val="23"/>
        </w:rPr>
        <w:t>4. Grounded, Realistic Project Valuation (Market &amp; Academic Reality)</w:t>
      </w:r>
    </w:p>
    <w:p>
      <w:pPr>
        <w:spacing w:before="0" w:after="60"/>
      </w:pPr>
      <w:r>
        <w:rPr>
          <w:color w:val="2563EB"/>
          <w:sz w:val="14"/>
        </w:rPr>
        <w:t>――――――――――――――――――――――――――――――――――――――――――――――――――――――</w:t>
      </w:r>
    </w:p>
    <w:p>
      <w:r>
        <w:t>A defensible, realistic valuation reflecting real-world Indian EdTech market economics, content licensing value, and college-level commercial reality:</w:t>
      </w:r>
    </w:p>
    <w:tbl>
      <w:tblPr>
        <w:tblW w:type="auto" w:w="0"/>
        <w:jc w:val="center"/>
        <w:tblLook w:firstColumn="1" w:firstRow="1" w:lastColumn="0" w:lastRow="0" w:noHBand="0" w:noVBand="1" w:val="04A0"/>
      </w:tblPr>
      <w:tblGrid>
        <w:gridCol w:w="3408"/>
        <w:gridCol w:w="3408"/>
        <w:gridCol w:w="3408"/>
      </w:tblGrid>
      <w:tr>
        <w:trPr>
          <w:cantSplit/>
          <w:tblHeader/>
        </w:trPr>
        <w:tc>
          <w:tcPr>
            <w:tcW w:type="dxa" w:w="2592"/>
            <w:vAlign w:val="center"/>
            <w:tcMar>
              <w:top w:w="80" w:type="dxa"/>
              <w:bottom w:w="80" w:type="dxa"/>
              <w:left w:w="100" w:type="dxa"/>
              <w:right w:w="100" w:type="dxa"/>
            </w:tcMar>
            <w:shd w:fill="1E293B"/>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b/>
                <w:color w:val="FFFFFF"/>
                <w:sz w:val="17"/>
              </w:rPr>
              <w:t>Valuation Dimension</w:t>
            </w:r>
          </w:p>
        </w:tc>
        <w:tc>
          <w:tcPr>
            <w:tcW w:type="dxa" w:w="4464"/>
            <w:vAlign w:val="center"/>
            <w:tcMar>
              <w:top w:w="80" w:type="dxa"/>
              <w:bottom w:w="80" w:type="dxa"/>
              <w:left w:w="100" w:type="dxa"/>
              <w:right w:w="100" w:type="dxa"/>
            </w:tcMar>
            <w:shd w:fill="1E293B"/>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b/>
                <w:color w:val="FFFFFF"/>
                <w:sz w:val="17"/>
              </w:rPr>
              <w:t>Practical Valuation Basis &amp; Benchmark</w:t>
            </w:r>
          </w:p>
        </w:tc>
        <w:tc>
          <w:tcPr>
            <w:tcW w:type="dxa" w:w="2304"/>
            <w:vAlign w:val="center"/>
            <w:tcMar>
              <w:top w:w="80" w:type="dxa"/>
              <w:bottom w:w="80" w:type="dxa"/>
              <w:left w:w="100" w:type="dxa"/>
              <w:right w:w="100" w:type="dxa"/>
            </w:tcMar>
            <w:shd w:fill="1E293B"/>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b/>
                <w:color w:val="FFFFFF"/>
                <w:sz w:val="17"/>
              </w:rPr>
              <w:t>Realistic Value (INR)</w:t>
            </w:r>
          </w:p>
        </w:tc>
      </w:tr>
      <w:tr>
        <w:trPr>
          <w:cantSplit/>
        </w:trPr>
        <w:tc>
          <w:tcPr>
            <w:tcW w:type="dxa" w:w="259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Student / Capstone Open-Source Asset Value</w:t>
            </w:r>
          </w:p>
        </w:tc>
        <w:tc>
          <w:tcPr>
            <w:tcW w:type="dxa" w:w="4464"/>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Direct development value of modern React PWA codebase + verified data as an advanced B.Tech capstone / departmental tool</w:t>
            </w:r>
          </w:p>
        </w:tc>
        <w:tc>
          <w:tcPr>
            <w:tcW w:type="dxa" w:w="2304"/>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₹75,000 – ₹1.25 Lakhs</w:t>
              <w:br/>
              <w:t>($900 – $1,500 USD)</w:t>
            </w:r>
          </w:p>
        </w:tc>
      </w:tr>
      <w:tr>
        <w:trPr>
          <w:cantSplit/>
        </w:trPr>
        <w:tc>
          <w:tcPr>
            <w:tcW w:type="dxa" w:w="2592"/>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Proprietary Question Bank &amp; Content Value</w:t>
            </w:r>
          </w:p>
        </w:tc>
        <w:tc>
          <w:tcPr>
            <w:tcW w:type="dxa" w:w="4464"/>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4,574 authentic questions (LaTeX formatted) + 50 custom mock papers @ content acquisition rate (₹40–₹60/verified question)</w:t>
            </w:r>
          </w:p>
        </w:tc>
        <w:tc>
          <w:tcPr>
            <w:tcW w:type="dxa" w:w="2304"/>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₹1.8 Lakhs – ₹2.7 Lakhs</w:t>
              <w:br/>
              <w:t>($2,200 – $3,300 USD)</w:t>
            </w:r>
          </w:p>
        </w:tc>
      </w:tr>
      <w:tr>
        <w:trPr>
          <w:cantSplit/>
        </w:trPr>
        <w:tc>
          <w:tcPr>
            <w:tcW w:type="dxa" w:w="2592"/>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Turnkey Micro-SaaS / Test Prep Resale</w:t>
            </w:r>
          </w:p>
        </w:tc>
        <w:tc>
          <w:tcPr>
            <w:tcW w:type="dxa" w:w="4464"/>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Turnkey sale value of full platform, PWA engine, offline sync, and domain datasets to an EdTech publisher or coaching institute</w:t>
            </w:r>
          </w:p>
        </w:tc>
        <w:tc>
          <w:tcPr>
            <w:tcW w:type="dxa" w:w="2304"/>
            <w:vAlign w:val="center"/>
            <w:tcMar>
              <w:top w:w="80" w:type="dxa"/>
              <w:bottom w:w="80" w:type="dxa"/>
              <w:left w:w="100" w:type="dxa"/>
              <w:right w:w="100" w:type="dxa"/>
            </w:tcMar>
            <w:shd w:fill="F8FAFC"/>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₹2.5 Lakhs – ₹4.5 Lakhs</w:t>
              <w:br/>
              <w:t>($3,000 – $5,400 USD)</w:t>
            </w:r>
          </w:p>
        </w:tc>
      </w:tr>
      <w:tr>
        <w:trPr>
          <w:cantSplit/>
        </w:trPr>
        <w:tc>
          <w:tcPr>
            <w:tcW w:type="dxa" w:w="2592"/>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Annual Institutional B2B License Value</w:t>
            </w:r>
          </w:p>
        </w:tc>
        <w:tc>
          <w:tcPr>
            <w:tcW w:type="dxa" w:w="4464"/>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Annual recurring licensing fee for agricultural colleges (white-labeled internal test system @ ₹20,000–₹35,000/college/year)</w:t>
            </w:r>
          </w:p>
        </w:tc>
        <w:tc>
          <w:tcPr>
            <w:tcW w:type="dxa" w:w="2304"/>
            <w:vAlign w:val="center"/>
            <w:tcMar>
              <w:top w:w="80" w:type="dxa"/>
              <w:bottom w:w="80" w:type="dxa"/>
              <w:left w:w="100" w:type="dxa"/>
              <w:right w:w="100" w:type="dxa"/>
            </w:tcMar>
            <w:shd w:fill="FFFFFF"/>
            <w:tcBorders>
              <w:top w:val="single" w:sz="4" w:space="0" w:color="CBD5E1"/>
              <w:left w:val="single" w:sz="4" w:space="0" w:color="CBD5E1"/>
              <w:bottom w:val="single" w:sz="4" w:space="0" w:color="CBD5E1"/>
              <w:right w:val="single" w:sz="4" w:space="0" w:color="CBD5E1"/>
              <w:insideH w:val="none"/>
              <w:insideV w:val="none"/>
            </w:tcBorders>
          </w:tcPr>
          <w:p>
            <w:pPr>
              <w:spacing w:before="40" w:after="40"/>
            </w:pPr>
            <w:r>
              <w:rPr>
                <w:rFonts w:ascii="Arial" w:hAnsi="Arial"/>
                <w:color w:val="1E293B"/>
                <w:sz w:val="16"/>
              </w:rPr>
              <w:t>₹1.0 Lakh – ₹2.5 Lakhs/yr</w:t>
              <w:br/>
              <w:t>(across 5–8 colleges)</w:t>
            </w:r>
          </w:p>
        </w:tc>
      </w:tr>
    </w:tbl>
    <w:p>
      <w:pPr>
        <w:spacing w:after="60"/>
      </w:pPr>
    </w:p>
    <w:p>
      <w:pPr>
        <w:keepNext/>
        <w:spacing w:before="200" w:after="40"/>
      </w:pPr>
      <w:r>
        <w:rPr>
          <w:rFonts w:ascii="Arial" w:hAnsi="Arial"/>
          <w:b/>
          <w:color w:val="0F172A"/>
          <w:sz w:val="23"/>
        </w:rPr>
        <w:t>5. Target Beneficiaries: How the Portal Helps &amp; To Whom</w:t>
      </w:r>
    </w:p>
    <w:p>
      <w:pPr>
        <w:spacing w:before="0" w:after="60"/>
      </w:pPr>
      <w:r>
        <w:rPr>
          <w:color w:val="2563EB"/>
          <w:sz w:val="14"/>
        </w:rPr>
        <w:t>――――――――――――――――――――――――――――――――――――――――――――――――――――――</w:t>
      </w:r>
    </w:p>
    <w:p>
      <w:r>
        <w:t>The platform delivers tailored value to distinct groups across the agricultural education ecosystem:</w:t>
      </w:r>
    </w:p>
    <w:p>
      <w:pPr>
        <w:keepNext/>
        <w:spacing w:before="140" w:after="40"/>
      </w:pPr>
      <w:r>
        <w:rPr>
          <w:rFonts w:ascii="Arial" w:hAnsi="Arial"/>
          <w:b/>
          <w:color w:val="1E293B"/>
          <w:sz w:val="20"/>
        </w:rPr>
        <w:t>5.1 B.Tech Agricultural Engineering Final &amp; Pre-Final Year Students (GATE AG Aspirants)</w:t>
      </w:r>
    </w:p>
    <w:p>
      <w:r>
        <w:t>• Exact TCS iON CBT Exam Conditioning: Practicing on the 5-state palette, 180-min wall-clock timer, and on-screen scientific calculator eliminates exam-day interface anxiety.</w:t>
      </w:r>
    </w:p>
    <w:p>
      <w:r>
        <w:t>• 20-Year Official PYQs (2007–2026): Instant access to all 1,324 past questions with step-by-step KaTeX mathematical derivations rather than unverified PDF answer keys.</w:t>
      </w:r>
    </w:p>
    <w:p>
      <w:r>
        <w:t>• 50 Full-Length Mocks: Provides unmatched volume (3,250 multi-chain questions) to build mental stamina for the 3-hour examination.</w:t>
      </w:r>
    </w:p>
    <w:p>
      <w:pPr>
        <w:keepNext/>
        <w:spacing w:before="140" w:after="40"/>
      </w:pPr>
      <w:r>
        <w:rPr>
          <w:rFonts w:ascii="Arial" w:hAnsi="Arial"/>
          <w:b/>
          <w:color w:val="1E293B"/>
          <w:sz w:val="20"/>
        </w:rPr>
        <w:t>5.2 Rural &amp; Low-Bandwidth Students (Offline-First Resilience)</w:t>
      </w:r>
    </w:p>
    <w:p>
      <w:r>
        <w:t>• 100% Offline PWA Functionality: Tests can be attempted in hostels or rural areas without continuous internet; answers are safely stored in IndexedDB and auto-synced when back online.</w:t>
      </w:r>
    </w:p>
    <w:p>
      <w:pPr>
        <w:keepNext/>
        <w:spacing w:before="140" w:after="40"/>
      </w:pPr>
      <w:r>
        <w:rPr>
          <w:rFonts w:ascii="Arial" w:hAnsi="Arial"/>
          <w:b/>
          <w:color w:val="1E293B"/>
          <w:sz w:val="20"/>
        </w:rPr>
        <w:t>5.3 Aspirants of Allied Agricultural Exams (ICAR-JRF, SRF, State PSUs, FCI, Bank AFO)</w:t>
      </w:r>
    </w:p>
    <w:p>
      <w:r>
        <w:t>• Broad Technical Overlap: Topics like Tractor Power, Soil Erosion (USLE), Aquifer Hydraulics, and Post-Harvest Processing directly overlap with ICAR-JRF and State Agriculture Department examinations.</w:t>
      </w:r>
    </w:p>
    <w:p>
      <w:pPr>
        <w:keepNext/>
        <w:spacing w:before="140" w:after="40"/>
      </w:pPr>
      <w:r>
        <w:rPr>
          <w:rFonts w:ascii="Arial" w:hAnsi="Arial"/>
          <w:b/>
          <w:color w:val="1E293B"/>
          <w:sz w:val="20"/>
        </w:rPr>
        <w:t>5.4 Professors, Faculty Mentors &amp; College Departments</w:t>
      </w:r>
    </w:p>
    <w:p>
      <w:r>
        <w:t>• Custom PDF Worksheet Generator: Faculty can instantly generate topic-wise practice sheets or surprise tests with answer key appendices for classroom assignments.</w:t>
      </w:r>
    </w:p>
    <w:p>
      <w:r>
        <w:t>• Departmental Mock Benchmarking: Enables university departments to track batch performance and identify weak syllabus areas.</w:t>
      </w:r>
    </w:p>
    <w:p>
      <w:pPr>
        <w:keepNext/>
        <w:spacing w:before="200" w:after="40"/>
      </w:pPr>
      <w:r>
        <w:rPr>
          <w:rFonts w:ascii="Arial" w:hAnsi="Arial"/>
          <w:b/>
          <w:color w:val="0F172A"/>
          <w:sz w:val="23"/>
        </w:rPr>
        <w:t>6. Monetization Blueprint: How to Earn Using the Portal</w:t>
      </w:r>
    </w:p>
    <w:p>
      <w:pPr>
        <w:spacing w:before="0" w:after="60"/>
      </w:pPr>
      <w:r>
        <w:rPr>
          <w:color w:val="2563EB"/>
          <w:sz w:val="14"/>
        </w:rPr>
        <w:t>――――――――――――――――――――――――――――――――――――――――――――――――――――――</w:t>
      </w:r>
    </w:p>
    <w:p>
      <w:r>
        <w:t>Practical, ethical, and high-conversion revenue strategies tailored for the Indian agricultural engineering market:</w:t>
      </w:r>
    </w:p>
    <w:p>
      <w:pPr>
        <w:keepNext/>
        <w:spacing w:before="140" w:after="40"/>
      </w:pPr>
      <w:r>
        <w:rPr>
          <w:rFonts w:ascii="Arial" w:hAnsi="Arial"/>
          <w:b/>
          <w:color w:val="1E293B"/>
          <w:sz w:val="20"/>
        </w:rPr>
        <w:t>6.1 Freemium Model with 'GATE AG Pro Pass' (Direct-to-Student B2C)</w:t>
      </w:r>
    </w:p>
    <w:p>
      <w:r>
        <w:t>• Free Tier: Full access to 20-Year PYQ Archive (2007–2026), 5 Custom Mocks, Formula Sheet, and Community Hub.</w:t>
      </w:r>
    </w:p>
    <w:p>
      <w:r>
        <w:t>• Pro Pass (₹499 to ₹999 / year or ₹149 / month):</w:t>
      </w:r>
    </w:p>
    <w:p>
      <w:r>
        <w:t xml:space="preserve">  - Unlock remaining 45 Full-Length Mocks (Mocks 6 through 50).</w:t>
      </w:r>
    </w:p>
    <w:p>
      <w:r>
        <w:t xml:space="preserve">  - AI Doubt Solver unlimited credits.</w:t>
      </w:r>
    </w:p>
    <w:p>
      <w:r>
        <w:t xml:space="preserve">  - Deep Diagnostic Radar &amp; Section Weakness breakdown.</w:t>
      </w:r>
    </w:p>
    <w:p>
      <w:r>
        <w:t xml:space="preserve">  - Unlimited Custom PDF worksheet downloads with full step-by-step solutions.</w:t>
      </w:r>
    </w:p>
    <w:p>
      <w:r>
        <w:t>• Revenue Potential: 1,500 active aspirants @ ₹499/year = ₹7.48 Lakhs / year.</w:t>
      </w:r>
    </w:p>
    <w:p>
      <w:pPr>
        <w:keepNext/>
        <w:spacing w:before="140" w:after="40"/>
      </w:pPr>
      <w:r>
        <w:rPr>
          <w:rFonts w:ascii="Arial" w:hAnsi="Arial"/>
          <w:b/>
          <w:color w:val="1E293B"/>
          <w:sz w:val="20"/>
        </w:rPr>
        <w:t>6.2 College &amp; Departmental B2B SaaS Licensing</w:t>
      </w:r>
    </w:p>
    <w:p>
      <w:r>
        <w:t>• Package the portal as a dedicated institutional portal for State Agricultural Universities (SAUs) and ICAR institutes (e.g. CCS HAU, PAU Ludhiana, GBPUAT Pantnagar, TNAU Coimbatore).</w:t>
      </w:r>
    </w:p>
    <w:p>
      <w:r>
        <w:t>• Pricing: ₹25,000 – ₹40,000 per college/year for white-labeled department portal with faculty admin dashboard and batch rank tracking.</w:t>
      </w:r>
    </w:p>
    <w:p>
      <w:r>
        <w:t>• Revenue Potential: 10 colleges @ ₹30,000 = ₹3.00 Lakhs / year.</w:t>
      </w:r>
    </w:p>
    <w:p>
      <w:pPr>
        <w:keepNext/>
        <w:spacing w:before="140" w:after="40"/>
      </w:pPr>
      <w:r>
        <w:rPr>
          <w:rFonts w:ascii="Arial" w:hAnsi="Arial"/>
          <w:b/>
          <w:color w:val="1E293B"/>
          <w:sz w:val="20"/>
        </w:rPr>
        <w:t>6.3 High-Yield Formula Handbook &amp; Printed Mock Booklets</w:t>
      </w:r>
    </w:p>
    <w:p>
      <w:r>
        <w:t>• Publish a high-quality spiral-bound physical/digital book: 'GATE AG 14-Year High-Yield Formula &amp; Concept Compendium' and '50 Mocks Question Bank'.</w:t>
      </w:r>
    </w:p>
    <w:p>
      <w:r>
        <w:t>• Pricing: Digital PDF E-book @ ₹199; Printed Spiral Booklet @ ₹499.</w:t>
      </w:r>
    </w:p>
    <w:p>
      <w:pPr>
        <w:keepNext/>
        <w:spacing w:before="140" w:after="40"/>
      </w:pPr>
      <w:r>
        <w:rPr>
          <w:rFonts w:ascii="Arial" w:hAnsi="Arial"/>
          <w:b/>
          <w:color w:val="1E293B"/>
          <w:sz w:val="20"/>
        </w:rPr>
        <w:t>6.4 1-on-1 Ranker Mentorship &amp; Doubt Marketplace</w:t>
      </w:r>
    </w:p>
    <w:p>
      <w:r>
        <w:t>• Connect top GATE AG rankers and alumni with juniors for paid 1-on-1 guidance calls and personalized study planning (taking a 15–20% platform commission).</w:t>
      </w:r>
    </w:p>
    <w:p>
      <w:pPr>
        <w:keepNext/>
        <w:spacing w:before="200" w:after="40"/>
      </w:pPr>
      <w:r>
        <w:rPr>
          <w:rFonts w:ascii="Arial" w:hAnsi="Arial"/>
          <w:b/>
          <w:color w:val="0F172A"/>
          <w:sz w:val="23"/>
        </w:rPr>
        <w:t>7. Technical Limitations &amp; Operational Drawbacks (Honest Review)</w:t>
      </w:r>
    </w:p>
    <w:p>
      <w:pPr>
        <w:spacing w:before="0" w:after="60"/>
      </w:pPr>
      <w:r>
        <w:rPr>
          <w:color w:val="2563EB"/>
          <w:sz w:val="14"/>
        </w:rPr>
        <w:t>――――――――――――――――――――――――――――――――――――――――――――――――――――――</w:t>
      </w:r>
    </w:p>
    <w:p>
      <w:r>
        <w:t>1. Dataset Memory Footprint: Storing 4,574 questions in JSON (~18MB uncompressed) requires client memory; low-end budget smartphones (&lt;2GB RAM) may experience brief load pauses.</w:t>
      </w:r>
    </w:p>
    <w:p>
      <w:r>
        <w:t>2. PWA vs. Native Mobile Apps: Currently accessible via mobile browsers / PWA rather than native Google Play Store `.apk` binaries.</w:t>
      </w:r>
    </w:p>
    <w:p>
      <w:r>
        <w:t>3. Lack of Video Lectures: To keep hosting 100% free and offline, the platform provides rich text and KaTeX derivations rather than video hosting.</w:t>
      </w:r>
    </w:p>
    <w:p>
      <w:r>
        <w:t>4. Free-Tier Cloud Limits: Supabase free-tier database connections could throttle if &gt;500 students submit tests concurrently during a live national mock.</w:t>
      </w:r>
    </w:p>
    <w:p>
      <w:pPr>
        <w:keepNext/>
        <w:spacing w:before="200" w:after="40"/>
      </w:pPr>
      <w:r>
        <w:rPr>
          <w:rFonts w:ascii="Arial" w:hAnsi="Arial"/>
          <w:b/>
          <w:color w:val="0F172A"/>
          <w:sz w:val="23"/>
        </w:rPr>
        <w:t>8. Strategic Suggestions for Growth</w:t>
      </w:r>
    </w:p>
    <w:p>
      <w:pPr>
        <w:spacing w:before="0" w:after="60"/>
      </w:pPr>
      <w:r>
        <w:rPr>
          <w:color w:val="2563EB"/>
          <w:sz w:val="14"/>
        </w:rPr>
        <w:t>――――――――――――――――――――――――――――――――――――――――――――――――――――――</w:t>
      </w:r>
    </w:p>
    <w:p>
      <w:r>
        <w:t>1. Package PWA to Android APK via Capacitor for Google Play Store visibility.</w:t>
      </w:r>
    </w:p>
    <w:p>
      <w:r>
        <w:t>2. Implement Virtualized DOM Lists (`react-window`) to optimize memory on budget phones.</w:t>
      </w:r>
    </w:p>
    <w:p>
      <w:r>
        <w:t>3. Establish a Student Maintenance Squad at COAET CCS HAU to delegate question curation.</w:t>
      </w:r>
    </w:p>
    <w:p>
      <w:r>
        <w:t>4. Launch an annual live All-India Synchronous Mock Test series to drive user acquisition.</w:t>
      </w:r>
    </w:p>
    <w:p>
      <w:pPr>
        <w:keepNext/>
        <w:spacing w:before="200" w:after="40"/>
      </w:pPr>
      <w:r>
        <w:rPr>
          <w:rFonts w:ascii="Arial" w:hAnsi="Arial"/>
          <w:b/>
          <w:color w:val="0F172A"/>
          <w:sz w:val="23"/>
        </w:rPr>
        <w:t>9. 360° Personality &amp; Engineering Profile of Raghav Bansal</w:t>
      </w:r>
    </w:p>
    <w:p>
      <w:pPr>
        <w:spacing w:before="0" w:after="60"/>
      </w:pPr>
      <w:r>
        <w:rPr>
          <w:color w:val="2563EB"/>
          <w:sz w:val="14"/>
        </w:rPr>
        <w:t>――――――――――――――――――――――――――――――――――――――――――――――――――――――</w:t>
      </w:r>
    </w:p>
    <w:p>
      <w:pPr>
        <w:keepNext/>
        <w:spacing w:before="140" w:after="40"/>
      </w:pPr>
      <w:r>
        <w:rPr>
          <w:rFonts w:ascii="Arial" w:hAnsi="Arial"/>
          <w:b/>
          <w:color w:val="1E293B"/>
          <w:sz w:val="20"/>
        </w:rPr>
        <w:t>9.1 Core Strengths &amp; Rare Hybrid Competence</w:t>
      </w:r>
    </w:p>
    <w:p>
      <w:r>
        <w:t>• Rare Hybrid Mastery: Bridges the deep divide between Agricultural Engineering (kinematics, soil physics, drying kinetics) and modern Full-Stack Software Engineering (React 19, PWA, state machines).</w:t>
      </w:r>
    </w:p>
    <w:p>
      <w:r>
        <w:t>• High Aesthetic Standard: Insists on clean 2-theme design, high-contrast slate typography, and authentic TCS iON CBT interface fidelity.</w:t>
      </w:r>
    </w:p>
    <w:p>
      <w:r>
        <w:t>• Exceptional Execution Speed: Conceived, authored, and verified 4,574 questions and 710 test cases in concentrated marathon sessions.</w:t>
      </w:r>
    </w:p>
    <w:p>
      <w:pPr>
        <w:keepNext/>
        <w:spacing w:before="140" w:after="40"/>
      </w:pPr>
      <w:r>
        <w:rPr>
          <w:rFonts w:ascii="Arial" w:hAnsi="Arial"/>
          <w:b/>
          <w:color w:val="1E293B"/>
          <w:sz w:val="20"/>
        </w:rPr>
        <w:t>9.2 Flaws, Cognitive Blindspots &amp; Operational Drawbacks</w:t>
      </w:r>
    </w:p>
    <w:p>
      <w:r>
        <w:t>• Feature Creep Addiction: Tends to immediately jump into new subsystems (50 mocks, arcade games, XP systems) before letting previous modules stabilize.</w:t>
      </w:r>
    </w:p>
    <w:p>
      <w:r>
        <w:t>• High-Urgency Staccato Communication: Communicates in intense, capitalized bursts when under stress or high excitement.</w:t>
      </w:r>
    </w:p>
    <w:p>
      <w:r>
        <w:t>• Reactive Edge-Case Handling: Discovers edge-cases during implementation rather than mapping them upfront in a 1-page spec.</w:t>
      </w:r>
    </w:p>
    <w:p>
      <w:r>
        <w:t>• Burnout Risk: Working in multi-hour late-night marathon bursts alongside university coursework creates perfectionist fatigue.</w:t>
      </w:r>
    </w:p>
    <w:p>
      <w:pPr>
        <w:keepNext/>
        <w:spacing w:before="200" w:after="40"/>
      </w:pPr>
      <w:r>
        <w:rPr>
          <w:rFonts w:ascii="Arial" w:hAnsi="Arial"/>
          <w:b/>
          <w:color w:val="0F172A"/>
          <w:sz w:val="23"/>
        </w:rPr>
        <w:t>10. Formal Project Sign-off</w:t>
      </w:r>
    </w:p>
    <w:p>
      <w:pPr>
        <w:spacing w:before="0" w:after="60"/>
      </w:pPr>
      <w:r>
        <w:rPr>
          <w:color w:val="2563EB"/>
          <w:sz w:val="14"/>
        </w:rPr>
        <w:t>――――――――――――――――――――――――――――――――――――――――――――――――――――――</w:t>
      </w:r>
    </w:p>
    <w:p>
      <w:r>
        <w:t>This project represents a complete, production-ready engineering milestone built to empower the agricultural engineering student community.</w:t>
      </w:r>
    </w:p>
    <w:p>
      <w:pPr>
        <w:spacing w:before="160" w:line="288" w:lineRule="auto"/>
      </w:pPr>
      <w:r>
        <w:rPr>
          <w:b/>
          <w:color w:val="0F172A"/>
          <w:sz w:val="20"/>
        </w:rPr>
        <w:t>Raghav Bansal</w:t>
        <w:br/>
      </w:r>
      <w:r>
        <w:rPr>
          <w:color w:val="475569"/>
          <w:sz w:val="18"/>
        </w:rPr>
        <w:t>Lead Software Architect &amp; Agricultural Engineer</w:t>
        <w:br/>
        <w:t>College of Agricultural Engineering and Technology (COAET)</w:t>
        <w:br/>
        <w:t>CCS Haryana Agricultural University, Hisar (Haryana), India</w:t>
        <w:br/>
        <w:t>Date of Certification: September 2026</w:t>
      </w:r>
    </w:p>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COAET, CCS HAU Hisar • Lead Engineer: Raghav Bansal • 710 Tests Passed (100%)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6"/>
      </w:rPr>
      <w:t>GATE AG Full-Stack Platform | Master Project Report &amp; Monetization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33415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