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C05621"/>
          <w:spacing w:val="40"/>
          <w:sz w:val="26"/>
          <w:szCs w:val="26"/>
        </w:rPr>
        <w:t xml:space="preserve">GATE — AGRICULTURAL ENGINEERING (AG)</w:t>
      </w:r>
    </w:p>
    <w:p>
      <w:pPr>
        <w:spacing w:after="0" w:before="260"/>
        <w:jc w:val="center"/>
      </w:pPr>
      <w:r>
        <w:rPr>
          <w:rFonts w:ascii="Calibri" w:cs="Calibri" w:eastAsia="Calibri" w:hAnsi="Calibri"/>
          <w:b/>
          <w:bCs/>
          <w:color w:val="1F3864"/>
          <w:sz w:val="52"/>
          <w:szCs w:val="52"/>
        </w:rPr>
        <w:t xml:space="preserve">Trend Analysis 2011–2026</w:t>
      </w:r>
    </w:p>
    <w:p>
      <w:pPr>
        <w:spacing w:after="0" w:before="120"/>
        <w:jc w:val="center"/>
      </w:pPr>
      <w:r>
        <w:rPr>
          <w:rFonts w:ascii="Calibri" w:cs="Calibri" w:eastAsia="Calibri" w:hAnsi="Calibri"/>
          <w:b/>
          <w:bCs/>
          <w:color w:val="8B1A1A"/>
          <w:sz w:val="28"/>
          <w:szCs w:val="28"/>
        </w:rPr>
        <w:t xml:space="preserve">and Master Prompt for GATE 2027 Mock-Paper Generation</w:t>
      </w:r>
    </w:p>
    <w:p>
      <w:pPr>
        <w:spacing w:after="0" w:before="420"/>
        <w:jc w:val="center"/>
      </w:pPr>
      <w:r>
        <w:rPr>
          <w:rFonts w:ascii="Calibri" w:cs="Calibri" w:eastAsia="Calibri" w:hAnsi="Calibri"/>
          <w:i/>
          <w:iCs/>
          <w:color w:val="444444"/>
          <w:sz w:val="22"/>
          <w:szCs w:val="22"/>
        </w:rPr>
        <w:t xml:space="preserve">14 official papers  ·  899 questions  ·  1,385 marks analysed</w:t>
      </w:r>
    </w:p>
    <w:p>
      <w:pPr>
        <w:spacing w:after="0" w:before="1600"/>
        <w:jc w:val="center"/>
      </w:pPr>
      <w:r>
        <w:rPr>
          <w:rFonts w:ascii="Calibri" w:cs="Calibri" w:eastAsia="Calibri" w:hAnsi="Calibri"/>
          <w:color w:val="444444"/>
          <w:sz w:val="20"/>
          <w:szCs w:val="20"/>
        </w:rPr>
        <w:t xml:space="preserve">August 2026</w:t>
      </w:r>
    </w:p>
    <w:p>
      <w:r>
        <w:br w:type="page"/>
      </w:r>
    </w:p>
    <w:p>
      <w:pPr>
        <w:pStyle w:val="Heading1"/>
        <w:spacing w:after="180" w:before="360"/>
      </w:pPr>
      <w:r>
        <w:rPr>
          <w:rFonts w:ascii="Calibri" w:cs="Calibri" w:eastAsia="Calibri" w:hAnsi="Calibri"/>
          <w:b/>
          <w:bCs/>
          <w:color w:val="1F3864"/>
          <w:sz w:val="30"/>
          <w:szCs w:val="30"/>
        </w:rPr>
        <w:t xml:space="preserve">Part A — Trend Analysis</w:t>
      </w:r>
    </w:p>
    <w:p>
      <w:pPr>
        <w:pStyle w:val="Heading2"/>
        <w:spacing w:after="140" w:before="260"/>
      </w:pPr>
      <w:r>
        <w:rPr>
          <w:rFonts w:ascii="Calibri" w:cs="Calibri" w:eastAsia="Calibri" w:hAnsi="Calibri"/>
          <w:b/>
          <w:bCs/>
          <w:color w:val="8B1A1A"/>
          <w:sz w:val="25"/>
          <w:szCs w:val="25"/>
        </w:rPr>
        <w:t xml:space="preserve">A.1  Corpus and method</w:t>
      </w:r>
    </w:p>
    <w:p>
      <w:pPr>
        <w:spacing w:after="120" w:line="276"/>
        <w:jc w:val="both"/>
      </w:pPr>
      <w:r>
        <w:rPr>
          <w:rFonts w:ascii="Calibri" w:cs="Calibri" w:eastAsia="Calibri" w:hAnsi="Calibri"/>
          <w:color w:val="000000"/>
          <w:sz w:val="21"/>
          <w:szCs w:val="21"/>
        </w:rPr>
        <w:t xml:space="preserve">This analysis draws on fourteen fully solved GATE Agricultural Engineering papers — 2011, 2012, and 2015 through 2026. Each paper was parsed question by question, and every question was assigned three attributes: the syllabus section it belongs to, the official syllabus sub-section within that section, and its question type and mark value. In total 899 questions were classified.</w:t>
      </w:r>
    </w:p>
    <w:p>
      <w:pPr>
        <w:spacing w:after="120" w:line="276"/>
        <w:jc w:val="both"/>
      </w:pPr>
      <w:r>
        <w:rPr>
          <w:rFonts w:ascii="Calibri" w:cs="Calibri" w:eastAsia="Calibri" w:hAnsi="Calibri"/>
          <w:color w:val="000000"/>
          <w:sz w:val="21"/>
          <w:szCs w:val="21"/>
        </w:rPr>
        <w:t xml:space="preserve">Two source-level gaps should be noted. The 2016 document covers only the 55 subject questions; its General Aptitude section was not available, so that year contributes 85 marks rather than 100. The 2020 document is missing one two-mark subject question (Q.40), so that year contributes 98 marks. Neither gap materially affects the proportions below. Separately, the 2026 document’s own summary line reports 48 MCQ and 17 NAT, while its per-question type labels give 44 MCQ and 21 NAT; the per-question labels have been used here, since they are the more granular record.</w:t>
      </w:r>
    </w:p>
    <w:p>
      <w:pPr>
        <w:spacing w:after="120" w:line="276"/>
        <w:jc w:val="both"/>
      </w:pPr>
      <w:r>
        <w:rPr>
          <w:rFonts w:ascii="Calibri" w:cs="Calibri" w:eastAsia="Calibri" w:hAnsi="Calibri"/>
          <w:color w:val="000000"/>
          <w:sz w:val="21"/>
          <w:szCs w:val="21"/>
        </w:rPr>
        <w:t xml:space="preserve">Sub-topic classification uses the sub-section headings of the official GATE AG syllabus as they appear in the solved papers themselves — Hydrology, Soil Mechanics, Surveying and Leveling, Groundwater Hydrology, Wells and Pumps, Size Reduction and Material Handling, and so on. No topic name has been invented. Only two subject questions out of the 2019–2026 window resisted classification.</w:t>
      </w:r>
    </w:p>
    <w:p>
      <w:pPr>
        <w:pStyle w:val="Heading2"/>
        <w:spacing w:after="140" w:before="260"/>
      </w:pPr>
      <w:r>
        <w:rPr>
          <w:rFonts w:ascii="Calibri" w:cs="Calibri" w:eastAsia="Calibri" w:hAnsi="Calibri"/>
          <w:b/>
          <w:bCs/>
          <w:color w:val="8B1A1A"/>
          <w:sz w:val="25"/>
          <w:szCs w:val="25"/>
        </w:rPr>
        <w:t xml:space="preserve">A.2  The exam pattern, and how it has moved</w:t>
      </w:r>
    </w:p>
    <w:p>
      <w:pPr>
        <w:spacing w:after="120" w:line="276"/>
        <w:jc w:val="both"/>
      </w:pPr>
      <w:r>
        <w:rPr>
          <w:rFonts w:ascii="Calibri" w:cs="Calibri" w:eastAsia="Calibri" w:hAnsi="Calibri"/>
          <w:color w:val="000000"/>
          <w:sz w:val="21"/>
          <w:szCs w:val="21"/>
        </w:rPr>
        <w:t xml:space="preserve">The structural frame has been stable for the entire period: 65 questions, 100 marks, 180 minutes; General Aptitude worth 15 marks; the Agricultural Engineering subject worth 85 marks; 30 one-mark questions and 35 two-mark questions. Engineering Mathematics is not a separate section — it sits inside the subject paper and is numbered along with it.</w:t>
      </w:r>
    </w:p>
    <w:p>
      <w:pPr>
        <w:spacing w:after="120" w:line="276"/>
        <w:jc w:val="both"/>
      </w:pPr>
      <w:r>
        <w:rPr>
          <w:rFonts w:ascii="Calibri" w:cs="Calibri" w:eastAsia="Calibri" w:hAnsi="Calibri"/>
          <w:color w:val="000000"/>
          <w:sz w:val="21"/>
          <w:szCs w:val="21"/>
        </w:rPr>
        <w:t xml:space="preserve">What has moved is the question-type mix, and it has moved decisively.</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1200"/>
        <w:gridCol w:w="1500"/>
        <w:gridCol w:w="1500"/>
        <w:gridCol w:w="1500"/>
        <w:gridCol w:w="3660"/>
      </w:tblGrid>
      <w:tr>
        <w:trPr>
          <w:tblHeader/>
        </w:trPr>
        <w:tc>
          <w:tcPr>
            <w:tcW w:type="dxa" w:w="12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Year</w:t>
            </w:r>
          </w:p>
        </w:tc>
        <w:tc>
          <w:tcPr>
            <w:tcW w:type="dxa" w:w="15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MCQ</w:t>
            </w:r>
          </w:p>
        </w:tc>
        <w:tc>
          <w:tcPr>
            <w:tcW w:type="dxa" w:w="15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MSQ</w:t>
            </w:r>
          </w:p>
        </w:tc>
        <w:tc>
          <w:tcPr>
            <w:tcW w:type="dxa" w:w="15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NAT</w:t>
            </w:r>
          </w:p>
        </w:tc>
        <w:tc>
          <w:tcPr>
            <w:tcW w:type="dxa" w:w="36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NAT share of subject marks</w:t>
            </w:r>
          </w:p>
        </w:tc>
      </w:tr>
      <w:tr>
        <w:tc>
          <w:tcPr>
            <w:tcW w:type="dxa" w:w="1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2011</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65</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36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0 %</w:t>
            </w:r>
          </w:p>
        </w:tc>
      </w:tr>
      <w:tr>
        <w:tc>
          <w:tcPr>
            <w:tcW w:type="dxa" w:w="1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2012</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60</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5</w:t>
            </w:r>
          </w:p>
        </w:tc>
        <w:tc>
          <w:tcPr>
            <w:tcW w:type="dxa" w:w="36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12 %</w:t>
            </w:r>
          </w:p>
        </w:tc>
      </w:tr>
      <w:tr>
        <w:tc>
          <w:tcPr>
            <w:tcW w:type="dxa" w:w="1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2015</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37</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28</w:t>
            </w:r>
          </w:p>
        </w:tc>
        <w:tc>
          <w:tcPr>
            <w:tcW w:type="dxa" w:w="36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53 %</w:t>
            </w:r>
          </w:p>
        </w:tc>
      </w:tr>
      <w:tr>
        <w:tc>
          <w:tcPr>
            <w:tcW w:type="dxa" w:w="1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2016</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22</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33</w:t>
            </w:r>
          </w:p>
        </w:tc>
        <w:tc>
          <w:tcPr>
            <w:tcW w:type="dxa" w:w="36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66 %</w:t>
            </w:r>
          </w:p>
        </w:tc>
      </w:tr>
      <w:tr>
        <w:tc>
          <w:tcPr>
            <w:tcW w:type="dxa" w:w="1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2017</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35</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30</w:t>
            </w:r>
          </w:p>
        </w:tc>
        <w:tc>
          <w:tcPr>
            <w:tcW w:type="dxa" w:w="36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59 %</w:t>
            </w:r>
          </w:p>
        </w:tc>
      </w:tr>
      <w:tr>
        <w:tc>
          <w:tcPr>
            <w:tcW w:type="dxa" w:w="1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2018</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35</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30</w:t>
            </w:r>
          </w:p>
        </w:tc>
        <w:tc>
          <w:tcPr>
            <w:tcW w:type="dxa" w:w="36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66 %</w:t>
            </w:r>
          </w:p>
        </w:tc>
      </w:tr>
      <w:tr>
        <w:tc>
          <w:tcPr>
            <w:tcW w:type="dxa" w:w="1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2019</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43</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22</w:t>
            </w:r>
          </w:p>
        </w:tc>
        <w:tc>
          <w:tcPr>
            <w:tcW w:type="dxa" w:w="36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40 %</w:t>
            </w:r>
          </w:p>
        </w:tc>
      </w:tr>
      <w:tr>
        <w:tc>
          <w:tcPr>
            <w:tcW w:type="dxa" w:w="1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2020</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33</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31</w:t>
            </w:r>
          </w:p>
        </w:tc>
        <w:tc>
          <w:tcPr>
            <w:tcW w:type="dxa" w:w="36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60 %</w:t>
            </w:r>
          </w:p>
        </w:tc>
      </w:tr>
      <w:tr>
        <w:tc>
          <w:tcPr>
            <w:tcW w:type="dxa" w:w="1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2021</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33</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32</w:t>
            </w:r>
          </w:p>
        </w:tc>
        <w:tc>
          <w:tcPr>
            <w:tcW w:type="dxa" w:w="36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58 %</w:t>
            </w:r>
          </w:p>
        </w:tc>
      </w:tr>
      <w:tr>
        <w:tc>
          <w:tcPr>
            <w:tcW w:type="dxa" w:w="1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2022</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31</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34</w:t>
            </w:r>
          </w:p>
        </w:tc>
        <w:tc>
          <w:tcPr>
            <w:tcW w:type="dxa" w:w="36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62 %</w:t>
            </w:r>
          </w:p>
        </w:tc>
      </w:tr>
      <w:tr>
        <w:tc>
          <w:tcPr>
            <w:tcW w:type="dxa" w:w="1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2023</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39</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23</w:t>
            </w:r>
          </w:p>
        </w:tc>
        <w:tc>
          <w:tcPr>
            <w:tcW w:type="dxa" w:w="36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47 %</w:t>
            </w:r>
          </w:p>
        </w:tc>
      </w:tr>
      <w:tr>
        <w:tc>
          <w:tcPr>
            <w:tcW w:type="dxa" w:w="1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2024</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31</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4</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30</w:t>
            </w:r>
          </w:p>
        </w:tc>
        <w:tc>
          <w:tcPr>
            <w:tcW w:type="dxa" w:w="36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58 %</w:t>
            </w:r>
          </w:p>
        </w:tc>
      </w:tr>
      <w:tr>
        <w:tc>
          <w:tcPr>
            <w:tcW w:type="dxa" w:w="1200"/>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2025</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29</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6</w:t>
            </w:r>
          </w:p>
        </w:tc>
        <w:tc>
          <w:tcPr>
            <w:tcW w:type="dxa" w:w="150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30</w:t>
            </w:r>
          </w:p>
        </w:tc>
        <w:tc>
          <w:tcPr>
            <w:tcW w:type="dxa" w:w="3660"/>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62 %</w:t>
            </w:r>
          </w:p>
        </w:tc>
      </w:tr>
      <w:tr>
        <w:tc>
          <w:tcPr>
            <w:tcW w:type="dxa" w:w="12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7"/>
                <w:szCs w:val="17"/>
              </w:rPr>
              <w:t xml:space="preserve">2026</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44</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0</w:t>
            </w:r>
          </w:p>
        </w:tc>
        <w:tc>
          <w:tcPr>
            <w:tcW w:type="dxa" w:w="15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21</w:t>
            </w:r>
          </w:p>
        </w:tc>
        <w:tc>
          <w:tcPr>
            <w:tcW w:type="dxa" w:w="36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7"/>
                <w:szCs w:val="17"/>
              </w:rPr>
              <w:t xml:space="preserve">45 %</w:t>
            </w:r>
          </w:p>
        </w:tc>
      </w:tr>
    </w:tbl>
    <w:p>
      <w:pPr>
        <w:spacing w:after="200" w:line="276"/>
        <w:jc w:val="both"/>
      </w:pPr>
      <w:r>
        <w:rPr>
          <w:rFonts w:ascii="Calibri" w:cs="Calibri" w:eastAsia="Calibri" w:hAnsi="Calibri"/>
          <w:color w:val="000000"/>
          <w:sz w:val="21"/>
          <w:szCs w:val="21"/>
        </w:rPr>
        <w:t xml:space="preserve"/>
      </w:r>
    </w:p>
    <w:tbl>
      <w:tblPr>
        <w:tblW w:type="dxa" w:w="9360"/>
        <w:tblBorders>
          <w:top w:val="single" w:color="C05621" w:sz="12"/>
          <w:left w:val="single" w:color="C05621" w:sz="24"/>
          <w:bottom w:val="single" w:color="C05621" w:sz="12"/>
          <w:right w:val="single" w:color="C05621" w:sz="12"/>
          <w:insideH w:val="none"/>
          <w:insideV w:val="none"/>
        </w:tblBorders>
        <w:tblLayout w:type="fixed"/>
      </w:tblPr>
      <w:tblGrid>
        <w:gridCol w:w="9360"/>
      </w:tblGrid>
      <w:tr>
        <w:tc>
          <w:tcPr>
            <w:tcW w:type="dxa" w:w="9360"/>
            <w:shd w:fill="FFF7E6" w:color="auto" w:val="clear"/>
            <w:tcMar>
              <w:top w:type="dxa" w:w="140"/>
              <w:left w:type="dxa" w:w="180"/>
              <w:bottom w:type="dxa" w:w="140"/>
              <w:right w:type="dxa" w:w="160"/>
            </w:tcMar>
          </w:tcPr>
          <w:p>
            <w:pPr>
              <w:spacing w:after="80"/>
            </w:pPr>
            <w:r>
              <w:rPr>
                <w:rFonts w:ascii="Calibri" w:cs="Calibri" w:eastAsia="Calibri" w:hAnsi="Calibri"/>
                <w:b/>
                <w:bCs/>
                <w:color w:val="C05621"/>
                <w:sz w:val="21"/>
                <w:szCs w:val="21"/>
              </w:rPr>
              <w:t xml:space="preserve">Three pattern findings that shape the mock paper</w:t>
            </w:r>
          </w:p>
          <w:p>
            <w:pPr>
              <w:spacing w:after="60" w:line="264"/>
              <w:jc w:val="both"/>
            </w:pPr>
            <w:r>
              <w:rPr>
                <w:rFonts w:ascii="Calibri" w:cs="Calibri" w:eastAsia="Calibri" w:hAnsi="Calibri"/>
                <w:sz w:val="20"/>
                <w:szCs w:val="20"/>
              </w:rPr>
              <w:t xml:space="preserve">1.  NAT is now roughly half the subject paper. From zero in 2011, numerical-answer questions climbed to a stable band of 45–66 % of subject marks from 2015 onward. A mock paper built mainly on MCQs would misrepresent the exam badly.</w:t>
            </w:r>
          </w:p>
          <w:p>
            <w:pPr>
              <w:spacing w:after="60" w:line="264"/>
              <w:jc w:val="both"/>
            </w:pPr>
            <w:r>
              <w:rPr>
                <w:rFonts w:ascii="Calibri" w:cs="Calibri" w:eastAsia="Calibri" w:hAnsi="Calibri"/>
                <w:sz w:val="20"/>
                <w:szCs w:val="20"/>
              </w:rPr>
              <w:t xml:space="preserve">2.  MSQ has arrived, but stays small. Multiple-select questions first appear in AG in 2023 and run at 3–6 questions per paper in 2023–2025. The 2026 paper carried none. Treating MSQ as a small, variable component — about four questions — is the safe reading.</w:t>
            </w:r>
          </w:p>
          <w:p>
            <w:pPr>
              <w:spacing w:after="60" w:line="264"/>
              <w:jc w:val="both"/>
            </w:pPr>
            <w:r>
              <w:rPr>
                <w:rFonts w:ascii="Calibri" w:cs="Calibri" w:eastAsia="Calibri" w:hAnsi="Calibri"/>
                <w:sz w:val="20"/>
                <w:szCs w:val="20"/>
              </w:rPr>
              <w:t xml:space="preserve">3.  The MCQ/NAT ratio oscillates rather than trends. 2026 swung sharply back toward MCQ (44 MCQ, 21 NAT) after 2025 had swung the other way (29 MCQ, 30 NAT, 6 MSQ). Candidates should be prepared for either face of the exam, which argues for a mock mix near the five-year mean rather than a copy of the most recent year.</w:t>
            </w:r>
          </w:p>
        </w:tc>
      </w:tr>
    </w:tbl>
    <w:p>
      <w:pPr>
        <w:spacing w:after="200" w:line="276"/>
        <w:jc w:val="both"/>
      </w:pPr>
      <w:r>
        <w:rPr>
          <w:rFonts w:ascii="Calibri" w:cs="Calibri" w:eastAsia="Calibri" w:hAnsi="Calibri"/>
          <w:color w:val="000000"/>
          <w:sz w:val="21"/>
          <w:szCs w:val="21"/>
        </w:rPr>
        <w:t xml:space="preserve"/>
      </w:r>
    </w:p>
    <w:p>
      <w:r>
        <w:br w:type="page"/>
      </w:r>
    </w:p>
    <w:p>
      <w:pPr>
        <w:pStyle w:val="Heading2"/>
        <w:spacing w:after="140" w:before="260"/>
      </w:pPr>
      <w:r>
        <w:rPr>
          <w:rFonts w:ascii="Calibri" w:cs="Calibri" w:eastAsia="Calibri" w:hAnsi="Calibri"/>
          <w:b/>
          <w:bCs/>
          <w:color w:val="8B1A1A"/>
          <w:sz w:val="25"/>
          <w:szCs w:val="25"/>
        </w:rPr>
        <w:t xml:space="preserve">A.3  Section-wise weightage, 2011–2026</w:t>
      </w:r>
    </w:p>
    <w:p>
      <w:pPr>
        <w:spacing w:after="120" w:line="276"/>
        <w:jc w:val="both"/>
      </w:pPr>
      <w:r>
        <w:rPr>
          <w:rFonts w:ascii="Calibri" w:cs="Calibri" w:eastAsia="Calibri" w:hAnsi="Calibri"/>
          <w:color w:val="000000"/>
          <w:sz w:val="21"/>
          <w:szCs w:val="21"/>
        </w:rPr>
        <w:t xml:space="preserve">Marks awarded to each section in each paper. The final column averages the five most recent papers (2022–2026), which is the basis of the mock blueprint.</w:t>
      </w:r>
    </w:p>
    <w:tbl>
      <w:tblPr>
        <w:tblW w:type="dxa" w:w="862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2400"/>
        <w:gridCol w:w="380"/>
        <w:gridCol w:w="380"/>
        <w:gridCol w:w="380"/>
        <w:gridCol w:w="380"/>
        <w:gridCol w:w="380"/>
        <w:gridCol w:w="380"/>
        <w:gridCol w:w="380"/>
        <w:gridCol w:w="380"/>
        <w:gridCol w:w="380"/>
        <w:gridCol w:w="380"/>
        <w:gridCol w:w="380"/>
        <w:gridCol w:w="380"/>
        <w:gridCol w:w="380"/>
        <w:gridCol w:w="380"/>
        <w:gridCol w:w="900"/>
      </w:tblGrid>
      <w:tr>
        <w:trPr>
          <w:tblHeader/>
        </w:trPr>
        <w:tc>
          <w:tcPr>
            <w:tcW w:type="dxa" w:w="24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Section</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11</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12</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15</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16</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17</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18</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19</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20</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21</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22</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23</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24</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25</w:t>
            </w:r>
          </w:p>
        </w:tc>
        <w:tc>
          <w:tcPr>
            <w:tcW w:type="dxa" w:w="38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26</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5"/>
                <w:szCs w:val="15"/>
              </w:rPr>
              <w:t xml:space="preserve">Mean 22–26</w:t>
            </w:r>
          </w:p>
        </w:tc>
      </w:tr>
      <w:tr>
        <w:tc>
          <w:tcPr>
            <w:tcW w:type="dxa" w:w="2400"/>
            <w:tcMar>
              <w:top w:type="dxa" w:w="60"/>
              <w:left w:type="dxa" w:w="90"/>
              <w:bottom w:type="dxa" w:w="60"/>
              <w:right w:type="dxa" w:w="90"/>
            </w:tcMar>
          </w:tcPr>
          <w:p>
            <w:pPr>
              <w:spacing w:after="0" w:line="240"/>
              <w:jc w:val="left"/>
            </w:pPr>
            <w:r>
              <w:rPr>
                <w:rFonts w:ascii="Calibri" w:cs="Calibri" w:eastAsia="Calibri" w:hAnsi="Calibri"/>
                <w:color w:val="000000"/>
                <w:sz w:val="15"/>
                <w:szCs w:val="15"/>
              </w:rPr>
              <w:t xml:space="preserve">General Aptitude</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15.0</w:t>
            </w:r>
          </w:p>
        </w:tc>
      </w:tr>
      <w:tr>
        <w:tc>
          <w:tcPr>
            <w:tcW w:type="dxa" w:w="24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5"/>
                <w:szCs w:val="15"/>
              </w:rPr>
              <w:t xml:space="preserve">S1 Engineering Mathematics</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11</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11</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12.6</w:t>
            </w:r>
          </w:p>
        </w:tc>
      </w:tr>
      <w:tr>
        <w:tc>
          <w:tcPr>
            <w:tcW w:type="dxa" w:w="2400"/>
            <w:tcMar>
              <w:top w:type="dxa" w:w="60"/>
              <w:left w:type="dxa" w:w="90"/>
              <w:bottom w:type="dxa" w:w="60"/>
              <w:right w:type="dxa" w:w="90"/>
            </w:tcMar>
          </w:tcPr>
          <w:p>
            <w:pPr>
              <w:spacing w:after="0" w:line="240"/>
              <w:jc w:val="left"/>
            </w:pPr>
            <w:r>
              <w:rPr>
                <w:rFonts w:ascii="Calibri" w:cs="Calibri" w:eastAsia="Calibri" w:hAnsi="Calibri"/>
                <w:color w:val="000000"/>
                <w:sz w:val="15"/>
                <w:szCs w:val="15"/>
              </w:rPr>
              <w:t xml:space="preserve">S2 Farm Machinery</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11</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11</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9</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12</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12</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12</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14</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12</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7</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11</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11.2</w:t>
            </w:r>
          </w:p>
        </w:tc>
      </w:tr>
      <w:tr>
        <w:tc>
          <w:tcPr>
            <w:tcW w:type="dxa" w:w="24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5"/>
                <w:szCs w:val="15"/>
              </w:rPr>
              <w:t xml:space="preserve">S3 Farm Power</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14</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16</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14</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17</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13.8</w:t>
            </w:r>
          </w:p>
        </w:tc>
      </w:tr>
      <w:tr>
        <w:tc>
          <w:tcPr>
            <w:tcW w:type="dxa" w:w="2400"/>
            <w:tcMar>
              <w:top w:type="dxa" w:w="60"/>
              <w:left w:type="dxa" w:w="90"/>
              <w:bottom w:type="dxa" w:w="60"/>
              <w:right w:type="dxa" w:w="90"/>
            </w:tcMar>
          </w:tcPr>
          <w:p>
            <w:pPr>
              <w:spacing w:after="0" w:line="240"/>
              <w:jc w:val="left"/>
            </w:pPr>
            <w:r>
              <w:rPr>
                <w:rFonts w:ascii="Calibri" w:cs="Calibri" w:eastAsia="Calibri" w:hAnsi="Calibri"/>
                <w:color w:val="000000"/>
                <w:sz w:val="15"/>
                <w:szCs w:val="15"/>
              </w:rPr>
              <w:t xml:space="preserve">S4 Soil &amp; Water Cons. Engg</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19</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12</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21</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11</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16</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21</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17</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17</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16</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14</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15.8</w:t>
            </w:r>
          </w:p>
        </w:tc>
      </w:tr>
      <w:tr>
        <w:tc>
          <w:tcPr>
            <w:tcW w:type="dxa" w:w="24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5"/>
                <w:szCs w:val="15"/>
              </w:rPr>
              <w:t xml:space="preserve">S5 Irrigation &amp; Drainage</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8</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14</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7</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14</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9</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8</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7</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9</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11</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9.4</w:t>
            </w:r>
          </w:p>
        </w:tc>
      </w:tr>
      <w:tr>
        <w:tc>
          <w:tcPr>
            <w:tcW w:type="dxa" w:w="2400"/>
            <w:tcMar>
              <w:top w:type="dxa" w:w="60"/>
              <w:left w:type="dxa" w:w="90"/>
              <w:bottom w:type="dxa" w:w="60"/>
              <w:right w:type="dxa" w:w="90"/>
            </w:tcMar>
          </w:tcPr>
          <w:p>
            <w:pPr>
              <w:spacing w:after="0" w:line="240"/>
              <w:jc w:val="left"/>
            </w:pPr>
            <w:r>
              <w:rPr>
                <w:rFonts w:ascii="Calibri" w:cs="Calibri" w:eastAsia="Calibri" w:hAnsi="Calibri"/>
                <w:color w:val="000000"/>
                <w:sz w:val="15"/>
                <w:szCs w:val="15"/>
              </w:rPr>
              <w:t xml:space="preserve">S6 Agril. Process Engg</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9</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11</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12</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14</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14</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15</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16</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20</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8</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12</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900"/>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13.2</w:t>
            </w:r>
          </w:p>
        </w:tc>
      </w:tr>
      <w:tr>
        <w:tc>
          <w:tcPr>
            <w:tcW w:type="dxa" w:w="24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5"/>
                <w:szCs w:val="15"/>
              </w:rPr>
              <w:t xml:space="preserve">S7 Dairy &amp; Food Engg</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7</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12</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9</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9</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8</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7</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8</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3</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12</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10</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11</w:t>
            </w:r>
          </w:p>
        </w:tc>
        <w:tc>
          <w:tcPr>
            <w:tcW w:type="dxa" w:w="38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9</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5"/>
                <w:szCs w:val="15"/>
              </w:rPr>
              <w:t xml:space="preserve">9.0</w:t>
            </w:r>
          </w:p>
        </w:tc>
      </w:tr>
    </w:tbl>
    <w:p>
      <w:pPr>
        <w:spacing w:after="200" w:line="276"/>
        <w:jc w:val="both"/>
      </w:pPr>
      <w:r>
        <w:rPr>
          <w:rFonts w:ascii="Calibri" w:cs="Calibri" w:eastAsia="Calibri" w:hAnsi="Calibri"/>
          <w:color w:val="000000"/>
          <w:sz w:val="21"/>
          <w:szCs w:val="21"/>
        </w:rPr>
        <w:t xml:space="preserve"/>
      </w:r>
    </w:p>
    <w:p>
      <w:pPr>
        <w:pStyle w:val="Heading3"/>
        <w:spacing w:after="110" w:before="200"/>
      </w:pPr>
      <w:r>
        <w:rPr>
          <w:rFonts w:ascii="Calibri" w:cs="Calibri" w:eastAsia="Calibri" w:hAnsi="Calibri"/>
          <w:b/>
          <w:bCs/>
          <w:color w:val="C05621"/>
          <w:sz w:val="22"/>
          <w:szCs w:val="22"/>
        </w:rPr>
        <w:t xml:space="preserve">What the matrix shows</w:t>
      </w:r>
    </w:p>
    <w:p>
      <w:pPr>
        <w:pStyle w:val="ListParagraph"/>
        <w:numPr>
          <w:ilvl w:val="0"/>
          <w:numId w:val="1"/>
        </w:numPr>
        <w:spacing w:after="90" w:line="276"/>
        <w:jc w:val="both"/>
      </w:pPr>
      <w:r>
        <w:rPr>
          <w:rFonts w:ascii="Calibri" w:cs="Calibri" w:eastAsia="Calibri" w:hAnsi="Calibri"/>
          <w:sz w:val="21"/>
          <w:szCs w:val="21"/>
        </w:rPr>
        <w:t xml:space="preserve">Soil &amp; Water Conservation Engineering is consistently the heaviest subject section — 15.8 marks on the five-year mean, and never below 14 in that window. It deserves the largest single allocation.</w:t>
      </w:r>
    </w:p>
    <w:p>
      <w:pPr>
        <w:pStyle w:val="ListParagraph"/>
        <w:numPr>
          <w:ilvl w:val="0"/>
          <w:numId w:val="1"/>
        </w:numPr>
        <w:spacing w:after="90" w:line="276"/>
        <w:jc w:val="both"/>
      </w:pPr>
      <w:r>
        <w:rPr>
          <w:rFonts w:ascii="Calibri" w:cs="Calibri" w:eastAsia="Calibri" w:hAnsi="Calibri"/>
          <w:sz w:val="21"/>
          <w:szCs w:val="21"/>
        </w:rPr>
        <w:t xml:space="preserve">Farm Power is the second heaviest at 13.8, and has been rising: it averaged 13.1 across the fourteen papers but 13.8 in the last five, peaking at 17 in 2025.</w:t>
      </w:r>
    </w:p>
    <w:p>
      <w:pPr>
        <w:pStyle w:val="ListParagraph"/>
        <w:numPr>
          <w:ilvl w:val="0"/>
          <w:numId w:val="1"/>
        </w:numPr>
        <w:spacing w:after="90" w:line="276"/>
        <w:jc w:val="both"/>
      </w:pPr>
      <w:r>
        <w:rPr>
          <w:rFonts w:ascii="Calibri" w:cs="Calibri" w:eastAsia="Calibri" w:hAnsi="Calibri"/>
          <w:sz w:val="21"/>
          <w:szCs w:val="21"/>
        </w:rPr>
        <w:t xml:space="preserve">Agricultural Process Engineering (13.2) and Engineering Mathematics (12.6) are the stable middle. Engineering Mathematics is the single most predictable section in the paper — it has landed on exactly 13 marks in eleven of the fourteen papers.</w:t>
      </w:r>
    </w:p>
    <w:p>
      <w:pPr>
        <w:pStyle w:val="ListParagraph"/>
        <w:numPr>
          <w:ilvl w:val="0"/>
          <w:numId w:val="1"/>
        </w:numPr>
        <w:spacing w:after="90" w:line="276"/>
        <w:jc w:val="both"/>
      </w:pPr>
      <w:r>
        <w:rPr>
          <w:rFonts w:ascii="Calibri" w:cs="Calibri" w:eastAsia="Calibri" w:hAnsi="Calibri"/>
          <w:sz w:val="21"/>
          <w:szCs w:val="21"/>
        </w:rPr>
        <w:t xml:space="preserve">Farm Machinery is the most volatile section, swinging from 7 marks in 2025 to 14 in 2023. Its five-year mean of 11.2 is a reasonable central estimate, but a candidate should be ready for either extreme.</w:t>
      </w:r>
    </w:p>
    <w:p>
      <w:pPr>
        <w:pStyle w:val="ListParagraph"/>
        <w:numPr>
          <w:ilvl w:val="0"/>
          <w:numId w:val="1"/>
        </w:numPr>
        <w:spacing w:after="90" w:line="276"/>
        <w:jc w:val="both"/>
      </w:pPr>
      <w:r>
        <w:rPr>
          <w:rFonts w:ascii="Calibri" w:cs="Calibri" w:eastAsia="Calibri" w:hAnsi="Calibri"/>
          <w:sz w:val="21"/>
          <w:szCs w:val="21"/>
        </w:rPr>
        <w:t xml:space="preserve">Irrigation &amp; Drainage (9.4) and Dairy &amp; Food Engineering (9.0) are the lightest sections. Dairy &amp; Food dropped to a remarkable 3 marks in 2022 before recovering to 12 in 2023 — worth noting, because it means the section can never be safely skipped, but also should not be over-weighted.</w:t>
      </w:r>
    </w:p>
    <w:p>
      <w:r>
        <w:br w:type="page"/>
      </w:r>
    </w:p>
    <w:p>
      <w:pPr>
        <w:pStyle w:val="Heading2"/>
        <w:spacing w:after="140" w:before="260"/>
      </w:pPr>
      <w:r>
        <w:rPr>
          <w:rFonts w:ascii="Calibri" w:cs="Calibri" w:eastAsia="Calibri" w:hAnsi="Calibri"/>
          <w:b/>
          <w:bCs/>
          <w:color w:val="8B1A1A"/>
          <w:sz w:val="25"/>
          <w:szCs w:val="25"/>
        </w:rPr>
        <w:t xml:space="preserve">A.4  Sub-topic weightage within each section</w:t>
      </w:r>
    </w:p>
    <w:p>
      <w:pPr>
        <w:spacing w:after="120" w:line="276"/>
        <w:jc w:val="both"/>
      </w:pPr>
      <w:r>
        <w:rPr>
          <w:rFonts w:ascii="Calibri" w:cs="Calibri" w:eastAsia="Calibri" w:hAnsi="Calibri"/>
          <w:color w:val="000000"/>
          <w:sz w:val="21"/>
          <w:szCs w:val="21"/>
        </w:rPr>
        <w:t xml:space="preserve">For each section below, sub-topics are ranked by marks over the eight most recent papers (2019–2026). The "Years seen" column indicates how many of those eight papers contained at least one question on that sub-topic — a sub-topic that appears in 8 of 8 years is effectively guaranteed. The verdict column reads the eight-year and five-year figures together.</w:t>
      </w:r>
    </w:p>
    <w:p>
      <w:pPr>
        <w:pStyle w:val="Heading3"/>
        <w:spacing w:after="110" w:before="200"/>
      </w:pPr>
      <w:r>
        <w:rPr>
          <w:rFonts w:ascii="Calibri" w:cs="Calibri" w:eastAsia="Calibri" w:hAnsi="Calibri"/>
          <w:b/>
          <w:bCs/>
          <w:color w:val="C05621"/>
          <w:sz w:val="22"/>
          <w:szCs w:val="22"/>
        </w:rPr>
        <w:t xml:space="preserve">S1 · Engineering Mathematics</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4300"/>
        <w:gridCol w:w="1100"/>
        <w:gridCol w:w="1100"/>
        <w:gridCol w:w="1000"/>
        <w:gridCol w:w="1860"/>
      </w:tblGrid>
      <w:tr>
        <w:trPr>
          <w:tblHeader/>
        </w:trPr>
        <w:tc>
          <w:tcPr>
            <w:tcW w:type="dxa" w:w="43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Sub-topic (official syllabus wording)</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19–26</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22–26</w:t>
            </w:r>
          </w:p>
        </w:tc>
        <w:tc>
          <w:tcPr>
            <w:tcW w:type="dxa" w:w="10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Years seen</w:t>
            </w:r>
          </w:p>
        </w:tc>
        <w:tc>
          <w:tcPr>
            <w:tcW w:type="dxa" w:w="18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Verdict</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Calculus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35</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24</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Linear Algebra</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26</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19</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Probability and Statistics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17</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Differential Equations</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17</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10</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Numerical Methods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4</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Rare</w:t>
            </w:r>
          </w:p>
        </w:tc>
      </w:tr>
    </w:tbl>
    <w:p>
      <w:pPr>
        <w:spacing w:after="160" w:line="276"/>
        <w:jc w:val="both"/>
      </w:pPr>
      <w:r>
        <w:rPr>
          <w:rFonts w:ascii="Calibri" w:cs="Calibri" w:eastAsia="Calibri" w:hAnsi="Calibri"/>
          <w:color w:val="000000"/>
          <w:sz w:val="21"/>
          <w:szCs w:val="21"/>
        </w:rPr>
        <w:t xml:space="preserve"/>
      </w:r>
    </w:p>
    <w:p>
      <w:pPr>
        <w:pStyle w:val="Heading3"/>
        <w:spacing w:after="110" w:before="200"/>
      </w:pPr>
      <w:r>
        <w:rPr>
          <w:rFonts w:ascii="Calibri" w:cs="Calibri" w:eastAsia="Calibri" w:hAnsi="Calibri"/>
          <w:b/>
          <w:bCs/>
          <w:color w:val="C05621"/>
          <w:sz w:val="22"/>
          <w:szCs w:val="22"/>
        </w:rPr>
        <w:t xml:space="preserve">S2 · Farm Machinery</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4300"/>
        <w:gridCol w:w="1100"/>
        <w:gridCol w:w="1100"/>
        <w:gridCol w:w="1000"/>
        <w:gridCol w:w="1860"/>
      </w:tblGrid>
      <w:tr>
        <w:trPr>
          <w:tblHeader/>
        </w:trPr>
        <w:tc>
          <w:tcPr>
            <w:tcW w:type="dxa" w:w="43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Sub-topic (official syllabus wording)</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19–26</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22–26</w:t>
            </w:r>
          </w:p>
        </w:tc>
        <w:tc>
          <w:tcPr>
            <w:tcW w:type="dxa" w:w="10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Years seen</w:t>
            </w:r>
          </w:p>
        </w:tc>
        <w:tc>
          <w:tcPr>
            <w:tcW w:type="dxa" w:w="18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Verdict</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Soil tillage; forces on a tillage tool</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32</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18</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Machine Design — machine elements</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20</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15</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 rising</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Harvesting, threshing, mowing, chaff cutting</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14</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4</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3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Cooling</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Spraying &amp; plant protection</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10</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4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Rising</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Sowing, planting, fertilizer application</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5</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5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Cost analysis of implements and tractors</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6</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4</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4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Overload safety devices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Rare</w:t>
            </w:r>
          </w:p>
        </w:tc>
      </w:tr>
    </w:tbl>
    <w:p>
      <w:pPr>
        <w:spacing w:after="160" w:line="276"/>
        <w:jc w:val="both"/>
      </w:pPr>
      <w:r>
        <w:rPr>
          <w:rFonts w:ascii="Calibri" w:cs="Calibri" w:eastAsia="Calibri" w:hAnsi="Calibri"/>
          <w:color w:val="000000"/>
          <w:sz w:val="21"/>
          <w:szCs w:val="21"/>
        </w:rPr>
        <w:t xml:space="preserve"/>
      </w:r>
    </w:p>
    <w:p>
      <w:pPr>
        <w:pStyle w:val="Heading3"/>
        <w:spacing w:after="110" w:before="200"/>
      </w:pPr>
      <w:r>
        <w:rPr>
          <w:rFonts w:ascii="Calibri" w:cs="Calibri" w:eastAsia="Calibri" w:hAnsi="Calibri"/>
          <w:b/>
          <w:bCs/>
          <w:color w:val="C05621"/>
          <w:sz w:val="22"/>
          <w:szCs w:val="22"/>
        </w:rPr>
        <w:t xml:space="preserve">S3 · Farm Power</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4300"/>
        <w:gridCol w:w="1100"/>
        <w:gridCol w:w="1100"/>
        <w:gridCol w:w="1000"/>
        <w:gridCol w:w="1860"/>
      </w:tblGrid>
      <w:tr>
        <w:trPr>
          <w:tblHeader/>
        </w:trPr>
        <w:tc>
          <w:tcPr>
            <w:tcW w:type="dxa" w:w="43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Sub-topic (official syllabus wording)</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19–26</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22–26</w:t>
            </w:r>
          </w:p>
        </w:tc>
        <w:tc>
          <w:tcPr>
            <w:tcW w:type="dxa" w:w="10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Years seen</w:t>
            </w:r>
          </w:p>
        </w:tc>
        <w:tc>
          <w:tcPr>
            <w:tcW w:type="dxa" w:w="18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Verdict</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Sources of Power (wind, solar, biomass, bio-fuels)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21</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13</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Traction theory; mechanics of tractor chassis</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19</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13</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Power transmission (clutch, gearbox, differential)</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15</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4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Cooling</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Engine components &amp; I.C. engine systems</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10</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4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Rising</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Thermodynamic principles &amp; I.C. engine cycles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9</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5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Human engineering, ergonomics &amp; safety</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9</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5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Rising</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Fuels, combustion &amp; lubricants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5</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5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Steering &amp; hydraulic control systems</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6</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4</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5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bl>
    <w:p>
      <w:pPr>
        <w:spacing w:after="160" w:line="276"/>
        <w:jc w:val="both"/>
      </w:pPr>
      <w:r>
        <w:rPr>
          <w:rFonts w:ascii="Calibri" w:cs="Calibri" w:eastAsia="Calibri" w:hAnsi="Calibri"/>
          <w:color w:val="000000"/>
          <w:sz w:val="21"/>
          <w:szCs w:val="21"/>
        </w:rPr>
        <w:t xml:space="preserve"/>
      </w:r>
    </w:p>
    <w:p>
      <w:pPr>
        <w:pStyle w:val="Heading3"/>
        <w:spacing w:after="110" w:before="200"/>
      </w:pPr>
      <w:r>
        <w:rPr>
          <w:rFonts w:ascii="Calibri" w:cs="Calibri" w:eastAsia="Calibri" w:hAnsi="Calibri"/>
          <w:b/>
          <w:bCs/>
          <w:color w:val="C05621"/>
          <w:sz w:val="22"/>
          <w:szCs w:val="22"/>
        </w:rPr>
        <w:t xml:space="preserve">S4 · Soil &amp; Water Conservation Engineering</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4300"/>
        <w:gridCol w:w="1100"/>
        <w:gridCol w:w="1100"/>
        <w:gridCol w:w="1000"/>
        <w:gridCol w:w="1860"/>
      </w:tblGrid>
      <w:tr>
        <w:trPr>
          <w:tblHeader/>
        </w:trPr>
        <w:tc>
          <w:tcPr>
            <w:tcW w:type="dxa" w:w="43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Sub-topic (official syllabus wording)</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19–26</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22–26</w:t>
            </w:r>
          </w:p>
        </w:tc>
        <w:tc>
          <w:tcPr>
            <w:tcW w:type="dxa" w:w="10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Years seen</w:t>
            </w:r>
          </w:p>
        </w:tc>
        <w:tc>
          <w:tcPr>
            <w:tcW w:type="dxa" w:w="18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Verdict</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Hydrology</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39</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23</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Soil and Water Erosion</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29</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19</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Fluid Mechanics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29</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20</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Soil Mechanics</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21</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11</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Surveying and Leveling</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12</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5</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Watershed Management</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Rare</w:t>
            </w:r>
          </w:p>
        </w:tc>
      </w:tr>
    </w:tbl>
    <w:p>
      <w:pPr>
        <w:spacing w:after="160" w:line="276"/>
        <w:jc w:val="both"/>
      </w:pPr>
      <w:r>
        <w:rPr>
          <w:rFonts w:ascii="Calibri" w:cs="Calibri" w:eastAsia="Calibri" w:hAnsi="Calibri"/>
          <w:color w:val="000000"/>
          <w:sz w:val="21"/>
          <w:szCs w:val="21"/>
        </w:rPr>
        <w:t xml:space="preserve"/>
      </w:r>
    </w:p>
    <w:p>
      <w:pPr>
        <w:pStyle w:val="Heading3"/>
        <w:spacing w:after="110" w:before="200"/>
      </w:pPr>
      <w:r>
        <w:rPr>
          <w:rFonts w:ascii="Calibri" w:cs="Calibri" w:eastAsia="Calibri" w:hAnsi="Calibri"/>
          <w:b/>
          <w:bCs/>
          <w:color w:val="C05621"/>
          <w:sz w:val="22"/>
          <w:szCs w:val="22"/>
        </w:rPr>
        <w:t xml:space="preserve">S5 · Irrigation &amp; Drainage Engineering</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4300"/>
        <w:gridCol w:w="1100"/>
        <w:gridCol w:w="1100"/>
        <w:gridCol w:w="1000"/>
        <w:gridCol w:w="1860"/>
      </w:tblGrid>
      <w:tr>
        <w:trPr>
          <w:tblHeader/>
        </w:trPr>
        <w:tc>
          <w:tcPr>
            <w:tcW w:type="dxa" w:w="43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Sub-topic (official syllabus wording)</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19–26</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22–26</w:t>
            </w:r>
          </w:p>
        </w:tc>
        <w:tc>
          <w:tcPr>
            <w:tcW w:type="dxa" w:w="10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Years seen</w:t>
            </w:r>
          </w:p>
        </w:tc>
        <w:tc>
          <w:tcPr>
            <w:tcW w:type="dxa" w:w="18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Verdict</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Groundwater Hydrology</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19</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11</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Soil-Water-Plant Relationship</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18</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11</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6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Irrigation Water Conveyance &amp; Application Methods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15</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10</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Agricultural Drainage</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11</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Wells and Pumps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11</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6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bl>
    <w:p>
      <w:pPr>
        <w:spacing w:after="160" w:line="276"/>
        <w:jc w:val="both"/>
      </w:pPr>
      <w:r>
        <w:rPr>
          <w:rFonts w:ascii="Calibri" w:cs="Calibri" w:eastAsia="Calibri" w:hAnsi="Calibri"/>
          <w:color w:val="000000"/>
          <w:sz w:val="21"/>
          <w:szCs w:val="21"/>
        </w:rPr>
        <w:t xml:space="preserve"/>
      </w:r>
    </w:p>
    <w:p>
      <w:pPr>
        <w:pStyle w:val="Heading3"/>
        <w:spacing w:after="110" w:before="200"/>
      </w:pPr>
      <w:r>
        <w:rPr>
          <w:rFonts w:ascii="Calibri" w:cs="Calibri" w:eastAsia="Calibri" w:hAnsi="Calibri"/>
          <w:b/>
          <w:bCs/>
          <w:color w:val="C05621"/>
          <w:sz w:val="22"/>
          <w:szCs w:val="22"/>
        </w:rPr>
        <w:t xml:space="preserve">S6 · Agricultural Process Engineering</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4300"/>
        <w:gridCol w:w="1100"/>
        <w:gridCol w:w="1100"/>
        <w:gridCol w:w="1000"/>
        <w:gridCol w:w="1860"/>
      </w:tblGrid>
      <w:tr>
        <w:trPr>
          <w:tblHeader/>
        </w:trPr>
        <w:tc>
          <w:tcPr>
            <w:tcW w:type="dxa" w:w="43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Sub-topic (official syllabus wording)</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19–26</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22–26</w:t>
            </w:r>
          </w:p>
        </w:tc>
        <w:tc>
          <w:tcPr>
            <w:tcW w:type="dxa" w:w="10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Years seen</w:t>
            </w:r>
          </w:p>
        </w:tc>
        <w:tc>
          <w:tcPr>
            <w:tcW w:type="dxa" w:w="18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Verdict</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Size Reduction and Material Handling</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41</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22</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Evaporation and Drying</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38</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25</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Storage Systems</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13</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Steady</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Engineering properties of agricultural produce</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10</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10</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4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Rising</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Processing of Agriculture Produce</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7</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3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Cooling</w:t>
            </w:r>
          </w:p>
        </w:tc>
      </w:tr>
    </w:tbl>
    <w:p>
      <w:pPr>
        <w:spacing w:after="160" w:line="276"/>
        <w:jc w:val="both"/>
      </w:pPr>
      <w:r>
        <w:rPr>
          <w:rFonts w:ascii="Calibri" w:cs="Calibri" w:eastAsia="Calibri" w:hAnsi="Calibri"/>
          <w:color w:val="000000"/>
          <w:sz w:val="21"/>
          <w:szCs w:val="21"/>
        </w:rPr>
        <w:t xml:space="preserve"/>
      </w:r>
    </w:p>
    <w:p>
      <w:pPr>
        <w:pStyle w:val="Heading3"/>
        <w:spacing w:after="110" w:before="200"/>
      </w:pPr>
      <w:r>
        <w:rPr>
          <w:rFonts w:ascii="Calibri" w:cs="Calibri" w:eastAsia="Calibri" w:hAnsi="Calibri"/>
          <w:b/>
          <w:bCs/>
          <w:color w:val="C05621"/>
          <w:sz w:val="22"/>
          <w:szCs w:val="22"/>
        </w:rPr>
        <w:t xml:space="preserve">S7 · Dairy &amp; Food Engineering</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4300"/>
        <w:gridCol w:w="1100"/>
        <w:gridCol w:w="1100"/>
        <w:gridCol w:w="1000"/>
        <w:gridCol w:w="1860"/>
      </w:tblGrid>
      <w:tr>
        <w:trPr>
          <w:tblHeader/>
        </w:trPr>
        <w:tc>
          <w:tcPr>
            <w:tcW w:type="dxa" w:w="43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Sub-topic (official syllabus wording)</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19–26</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Marks 22–26</w:t>
            </w:r>
          </w:p>
        </w:tc>
        <w:tc>
          <w:tcPr>
            <w:tcW w:type="dxa" w:w="10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Years seen</w:t>
            </w:r>
          </w:p>
        </w:tc>
        <w:tc>
          <w:tcPr>
            <w:tcW w:type="dxa" w:w="18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6"/>
                <w:szCs w:val="16"/>
              </w:rPr>
              <w:t xml:space="preserve">Verdict</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Heat and Mass Transfer</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37</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24</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shd w:fill="F2F4F8" w:color="auto" w:val="clear"/>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Preservation of Food</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30</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21</w:t>
            </w:r>
          </w:p>
        </w:tc>
        <w:tc>
          <w:tcPr>
            <w:tcW w:type="dxa" w:w="100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8 / 8</w:t>
            </w:r>
          </w:p>
        </w:tc>
        <w:tc>
          <w:tcPr>
            <w:tcW w:type="dxa" w:w="1860"/>
            <w:shd w:fill="F2F4F8" w:color="auto" w:val="clear"/>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Core</w:t>
            </w:r>
          </w:p>
        </w:tc>
      </w:tr>
      <w:tr>
        <w:tc>
          <w:tcPr>
            <w:tcW w:type="dxa" w:w="4300"/>
            <w:tcMar>
              <w:top w:type="dxa" w:w="60"/>
              <w:left w:type="dxa" w:w="90"/>
              <w:bottom w:type="dxa" w:w="60"/>
              <w:right w:type="dxa" w:w="90"/>
            </w:tcMar>
          </w:tcPr>
          <w:p>
            <w:pPr>
              <w:spacing w:after="0" w:line="240"/>
              <w:jc w:val="left"/>
            </w:pPr>
            <w:r>
              <w:rPr>
                <w:rFonts w:ascii="Calibri" w:cs="Calibri" w:eastAsia="Calibri" w:hAnsi="Calibri"/>
                <w:color w:val="000000"/>
                <w:sz w:val="16"/>
                <w:szCs w:val="16"/>
              </w:rPr>
              <w:t xml:space="preserve">Unit Operations in Dairy and Food Engineering</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w:t>
            </w:r>
          </w:p>
        </w:tc>
        <w:tc>
          <w:tcPr>
            <w:tcW w:type="dxa" w:w="11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0</w:t>
            </w:r>
          </w:p>
        </w:tc>
        <w:tc>
          <w:tcPr>
            <w:tcW w:type="dxa" w:w="100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1 / 8</w:t>
            </w:r>
          </w:p>
        </w:tc>
        <w:tc>
          <w:tcPr>
            <w:tcW w:type="dxa" w:w="1860"/>
            <w:tcMar>
              <w:top w:type="dxa" w:w="60"/>
              <w:left w:type="dxa" w:w="90"/>
              <w:bottom w:type="dxa" w:w="60"/>
              <w:right w:type="dxa" w:w="90"/>
            </w:tcMar>
          </w:tcPr>
          <w:p>
            <w:pPr>
              <w:spacing w:after="0" w:line="240"/>
              <w:jc w:val="center"/>
            </w:pPr>
            <w:r>
              <w:rPr>
                <w:rFonts w:ascii="Calibri" w:cs="Calibri" w:eastAsia="Calibri" w:hAnsi="Calibri"/>
                <w:color w:val="000000"/>
                <w:sz w:val="16"/>
                <w:szCs w:val="16"/>
              </w:rPr>
              <w:t xml:space="preserve">Rare</w:t>
            </w:r>
          </w:p>
        </w:tc>
      </w:tr>
    </w:tbl>
    <w:p>
      <w:pPr>
        <w:spacing w:after="160" w:line="276"/>
        <w:jc w:val="both"/>
      </w:pPr>
      <w:r>
        <w:rPr>
          <w:rFonts w:ascii="Calibri" w:cs="Calibri" w:eastAsia="Calibri" w:hAnsi="Calibri"/>
          <w:color w:val="000000"/>
          <w:sz w:val="21"/>
          <w:szCs w:val="21"/>
        </w:rPr>
        <w:t xml:space="preserve"/>
      </w:r>
    </w:p>
    <w:tbl>
      <w:tblPr>
        <w:tblW w:type="dxa" w:w="9360"/>
        <w:tblBorders>
          <w:top w:val="single" w:color="1F3864" w:sz="12"/>
          <w:left w:val="single" w:color="1F3864" w:sz="24"/>
          <w:bottom w:val="single" w:color="1F3864" w:sz="12"/>
          <w:right w:val="single" w:color="1F3864" w:sz="12"/>
          <w:insideH w:val="none"/>
          <w:insideV w:val="none"/>
        </w:tblBorders>
        <w:tblLayout w:type="fixed"/>
      </w:tblPr>
      <w:tblGrid>
        <w:gridCol w:w="9360"/>
      </w:tblGrid>
      <w:tr>
        <w:tc>
          <w:tcPr>
            <w:tcW w:type="dxa" w:w="9360"/>
            <w:shd w:fill="F0F5FF" w:color="auto" w:val="clear"/>
            <w:tcMar>
              <w:top w:type="dxa" w:w="140"/>
              <w:left w:type="dxa" w:w="180"/>
              <w:bottom w:type="dxa" w:w="140"/>
              <w:right w:type="dxa" w:w="160"/>
            </w:tcMar>
          </w:tcPr>
          <w:p>
            <w:pPr>
              <w:spacing w:after="80"/>
            </w:pPr>
            <w:r>
              <w:rPr>
                <w:rFonts w:ascii="Calibri" w:cs="Calibri" w:eastAsia="Calibri" w:hAnsi="Calibri"/>
                <w:b/>
                <w:bCs/>
                <w:color w:val="1F3864"/>
                <w:sz w:val="21"/>
                <w:szCs w:val="21"/>
              </w:rPr>
              <w:t xml:space="preserve">The sub-topic picture in one paragraph</w:t>
            </w:r>
          </w:p>
          <w:p>
            <w:pPr>
              <w:spacing w:after="60" w:line="264"/>
              <w:jc w:val="both"/>
            </w:pPr>
            <w:r>
              <w:rPr>
                <w:rFonts w:ascii="Calibri" w:cs="Calibri" w:eastAsia="Calibri" w:hAnsi="Calibri"/>
                <w:sz w:val="20"/>
                <w:szCs w:val="20"/>
              </w:rPr>
              <w:t xml:space="preserve">Eleven sub-topics account for well over half of the subject paper and appear in every one of the last eight papers: Calculus and Linear Algebra; soil tillage and the forces on a tillage tool; machine elements; sources of power and traction theory; Hydrology, Soil and Water Erosion and Fluid Mechanics; Size Reduction and Material Handling; Evaporation and Drying; and Heat and Mass Transfer. Any mock paper that does not carry all eleven is not representative.</w:t>
            </w:r>
          </w:p>
          <w:p>
            <w:pPr>
              <w:spacing w:after="60" w:line="264"/>
              <w:jc w:val="both"/>
            </w:pPr>
            <w:r>
              <w:rPr>
                <w:rFonts w:ascii="Calibri" w:cs="Calibri" w:eastAsia="Calibri" w:hAnsi="Calibri"/>
                <w:sz w:val="20"/>
                <w:szCs w:val="20"/>
              </w:rPr>
              <w:t xml:space="preserve">At the other end, Numerical Methods, Watershed Management, overload safety devices, precision agriculture and Unit Operations in Dairy and Food Engineering each appear in only one or two of the last eight papers. These belong in a rotation pool — included occasionally across a series of mock papers rather than in every one.</w:t>
            </w:r>
          </w:p>
        </w:tc>
      </w:tr>
    </w:tbl>
    <w:p>
      <w:r>
        <w:br w:type="page"/>
      </w:r>
    </w:p>
    <w:p>
      <w:pPr>
        <w:pStyle w:val="Heading2"/>
        <w:spacing w:after="140" w:before="260"/>
      </w:pPr>
      <w:r>
        <w:rPr>
          <w:rFonts w:ascii="Calibri" w:cs="Calibri" w:eastAsia="Calibri" w:hAnsi="Calibri"/>
          <w:b/>
          <w:bCs/>
          <w:color w:val="8B1A1A"/>
          <w:sz w:val="25"/>
          <w:szCs w:val="25"/>
        </w:rPr>
        <w:t xml:space="preserve">A.5  The resulting blueprint</w:t>
      </w:r>
    </w:p>
    <w:p>
      <w:pPr>
        <w:spacing w:after="120" w:line="276"/>
        <w:jc w:val="both"/>
      </w:pPr>
      <w:r>
        <w:rPr>
          <w:rFonts w:ascii="Calibri" w:cs="Calibri" w:eastAsia="Calibri" w:hAnsi="Calibri"/>
          <w:color w:val="000000"/>
          <w:sz w:val="21"/>
          <w:szCs w:val="21"/>
        </w:rPr>
        <w:t xml:space="preserve">Combining the five-year section means with the five-year type mix, and forcing the totals to the fixed GATE frame of 30 one-mark and 35 two-mark questions, gives the following blueprint. This is the specification embedded in the master prompt in Part B.</w:t>
      </w:r>
    </w:p>
    <w:tbl>
      <w:tblPr>
        <w:tblW w:type="dxa" w:w="9360"/>
        <w:tblBorders>
          <w:top w:val="single" w:color="9AA5B1" w:sz="4"/>
          <w:left w:val="single" w:color="9AA5B1" w:sz="4"/>
          <w:bottom w:val="single" w:color="9AA5B1" w:sz="4"/>
          <w:right w:val="single" w:color="9AA5B1" w:sz="4"/>
          <w:insideH w:val="single" w:color="C6CDD5" w:sz="2"/>
          <w:insideV w:val="single" w:color="C6CDD5" w:sz="2"/>
        </w:tblBorders>
        <w:tblLayout w:type="fixed"/>
      </w:tblPr>
      <w:tblGrid>
        <w:gridCol w:w="3400"/>
        <w:gridCol w:w="1100"/>
        <w:gridCol w:w="1100"/>
        <w:gridCol w:w="900"/>
        <w:gridCol w:w="950"/>
        <w:gridCol w:w="950"/>
        <w:gridCol w:w="960"/>
      </w:tblGrid>
      <w:tr>
        <w:trPr>
          <w:tblHeader/>
        </w:trPr>
        <w:tc>
          <w:tcPr>
            <w:tcW w:type="dxa" w:w="34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Section</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1-mark Q</w:t>
            </w:r>
          </w:p>
        </w:tc>
        <w:tc>
          <w:tcPr>
            <w:tcW w:type="dxa" w:w="11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2-mark Q</w:t>
            </w:r>
          </w:p>
        </w:tc>
        <w:tc>
          <w:tcPr>
            <w:tcW w:type="dxa" w:w="90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Marks</w:t>
            </w:r>
          </w:p>
        </w:tc>
        <w:tc>
          <w:tcPr>
            <w:tcW w:type="dxa" w:w="95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MCQ</w:t>
            </w:r>
          </w:p>
        </w:tc>
        <w:tc>
          <w:tcPr>
            <w:tcW w:type="dxa" w:w="95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MSQ</w:t>
            </w:r>
          </w:p>
        </w:tc>
        <w:tc>
          <w:tcPr>
            <w:tcW w:type="dxa" w:w="960"/>
            <w:shd w:fill="1F386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7"/>
                <w:szCs w:val="17"/>
              </w:rPr>
              <w:t xml:space="preserve">NAT</w:t>
            </w:r>
          </w:p>
        </w:tc>
      </w:tr>
      <w:tr>
        <w:tc>
          <w:tcPr>
            <w:tcW w:type="dxa" w:w="34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General Aptitude</w:t>
            </w:r>
          </w:p>
        </w:tc>
        <w:tc>
          <w:tcPr>
            <w:tcW w:type="dxa" w:w="11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5</w:t>
            </w:r>
          </w:p>
        </w:tc>
        <w:tc>
          <w:tcPr>
            <w:tcW w:type="dxa" w:w="11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5</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15</w:t>
            </w:r>
          </w:p>
        </w:tc>
        <w:tc>
          <w:tcPr>
            <w:tcW w:type="dxa" w:w="95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10</w:t>
            </w:r>
          </w:p>
        </w:tc>
        <w:tc>
          <w:tcPr>
            <w:tcW w:type="dxa" w:w="95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0</w:t>
            </w:r>
          </w:p>
        </w:tc>
        <w:tc>
          <w:tcPr>
            <w:tcW w:type="dxa" w:w="96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0</w:t>
            </w:r>
          </w:p>
        </w:tc>
      </w:tr>
      <w:tr>
        <w:tc>
          <w:tcPr>
            <w:tcW w:type="dxa" w:w="34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S1 Engineering Mathematics</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5</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4</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13</w:t>
            </w:r>
          </w:p>
        </w:tc>
        <w:tc>
          <w:tcPr>
            <w:tcW w:type="dxa" w:w="95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6</w:t>
            </w:r>
          </w:p>
        </w:tc>
        <w:tc>
          <w:tcPr>
            <w:tcW w:type="dxa" w:w="95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0</w:t>
            </w:r>
          </w:p>
        </w:tc>
        <w:tc>
          <w:tcPr>
            <w:tcW w:type="dxa" w:w="96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3</w:t>
            </w:r>
          </w:p>
        </w:tc>
      </w:tr>
      <w:tr>
        <w:tc>
          <w:tcPr>
            <w:tcW w:type="dxa" w:w="34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S2 Farm Machinery</w:t>
            </w:r>
          </w:p>
        </w:tc>
        <w:tc>
          <w:tcPr>
            <w:tcW w:type="dxa" w:w="11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3</w:t>
            </w:r>
          </w:p>
        </w:tc>
        <w:tc>
          <w:tcPr>
            <w:tcW w:type="dxa" w:w="11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4</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11</w:t>
            </w:r>
          </w:p>
        </w:tc>
        <w:tc>
          <w:tcPr>
            <w:tcW w:type="dxa" w:w="95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3</w:t>
            </w:r>
          </w:p>
        </w:tc>
        <w:tc>
          <w:tcPr>
            <w:tcW w:type="dxa" w:w="95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0</w:t>
            </w:r>
          </w:p>
        </w:tc>
        <w:tc>
          <w:tcPr>
            <w:tcW w:type="dxa" w:w="96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4</w:t>
            </w:r>
          </w:p>
        </w:tc>
      </w:tr>
      <w:tr>
        <w:tc>
          <w:tcPr>
            <w:tcW w:type="dxa" w:w="34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S3 Farm Power</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4</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5</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14</w:t>
            </w:r>
          </w:p>
        </w:tc>
        <w:tc>
          <w:tcPr>
            <w:tcW w:type="dxa" w:w="95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3</w:t>
            </w:r>
          </w:p>
        </w:tc>
        <w:tc>
          <w:tcPr>
            <w:tcW w:type="dxa" w:w="95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0</w:t>
            </w:r>
          </w:p>
        </w:tc>
        <w:tc>
          <w:tcPr>
            <w:tcW w:type="dxa" w:w="96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6</w:t>
            </w:r>
          </w:p>
        </w:tc>
      </w:tr>
      <w:tr>
        <w:tc>
          <w:tcPr>
            <w:tcW w:type="dxa" w:w="34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S4 Soil &amp; Water Conservation Engg</w:t>
            </w:r>
          </w:p>
        </w:tc>
        <w:tc>
          <w:tcPr>
            <w:tcW w:type="dxa" w:w="11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4</w:t>
            </w:r>
          </w:p>
        </w:tc>
        <w:tc>
          <w:tcPr>
            <w:tcW w:type="dxa" w:w="11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6</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16</w:t>
            </w:r>
          </w:p>
        </w:tc>
        <w:tc>
          <w:tcPr>
            <w:tcW w:type="dxa" w:w="95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4</w:t>
            </w:r>
          </w:p>
        </w:tc>
        <w:tc>
          <w:tcPr>
            <w:tcW w:type="dxa" w:w="95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0</w:t>
            </w:r>
          </w:p>
        </w:tc>
        <w:tc>
          <w:tcPr>
            <w:tcW w:type="dxa" w:w="96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6</w:t>
            </w:r>
          </w:p>
        </w:tc>
      </w:tr>
      <w:tr>
        <w:tc>
          <w:tcPr>
            <w:tcW w:type="dxa" w:w="34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S5 Irrigation &amp; Drainage Engg</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2</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4</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10</w:t>
            </w:r>
          </w:p>
        </w:tc>
        <w:tc>
          <w:tcPr>
            <w:tcW w:type="dxa" w:w="95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w:t>
            </w:r>
          </w:p>
        </w:tc>
        <w:tc>
          <w:tcPr>
            <w:tcW w:type="dxa" w:w="95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w:t>
            </w:r>
          </w:p>
        </w:tc>
        <w:tc>
          <w:tcPr>
            <w:tcW w:type="dxa" w:w="96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4</w:t>
            </w:r>
          </w:p>
        </w:tc>
      </w:tr>
      <w:tr>
        <w:tc>
          <w:tcPr>
            <w:tcW w:type="dxa" w:w="3400"/>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S6 Agricultural Process Engg</w:t>
            </w:r>
          </w:p>
        </w:tc>
        <w:tc>
          <w:tcPr>
            <w:tcW w:type="dxa" w:w="11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5</w:t>
            </w:r>
          </w:p>
        </w:tc>
        <w:tc>
          <w:tcPr>
            <w:tcW w:type="dxa" w:w="11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4</w:t>
            </w:r>
          </w:p>
        </w:tc>
        <w:tc>
          <w:tcPr>
            <w:tcW w:type="dxa" w:w="90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13</w:t>
            </w:r>
          </w:p>
        </w:tc>
        <w:tc>
          <w:tcPr>
            <w:tcW w:type="dxa" w:w="95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2</w:t>
            </w:r>
          </w:p>
        </w:tc>
        <w:tc>
          <w:tcPr>
            <w:tcW w:type="dxa" w:w="95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w:t>
            </w:r>
          </w:p>
        </w:tc>
        <w:tc>
          <w:tcPr>
            <w:tcW w:type="dxa" w:w="960"/>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6</w:t>
            </w:r>
          </w:p>
        </w:tc>
      </w:tr>
      <w:tr>
        <w:tc>
          <w:tcPr>
            <w:tcW w:type="dxa" w:w="3400"/>
            <w:shd w:fill="F2F4F8" w:color="auto" w:val="clear"/>
            <w:tcMar>
              <w:top w:type="dxa" w:w="60"/>
              <w:left w:type="dxa" w:w="90"/>
              <w:bottom w:type="dxa" w:w="60"/>
              <w:right w:type="dxa" w:w="90"/>
            </w:tcMar>
          </w:tcPr>
          <w:p>
            <w:pPr>
              <w:spacing w:after="0" w:line="240"/>
              <w:jc w:val="left"/>
            </w:pPr>
            <w:r>
              <w:rPr>
                <w:rFonts w:ascii="Calibri" w:cs="Calibri" w:eastAsia="Calibri" w:hAnsi="Calibri"/>
                <w:b w:val="false"/>
                <w:bCs w:val="false"/>
                <w:color w:val="000000"/>
                <w:sz w:val="17"/>
                <w:szCs w:val="17"/>
              </w:rPr>
              <w:t xml:space="preserve">S7 Dairy &amp; Food Engg</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2</w:t>
            </w:r>
          </w:p>
        </w:tc>
        <w:tc>
          <w:tcPr>
            <w:tcW w:type="dxa" w:w="11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3</w:t>
            </w:r>
          </w:p>
        </w:tc>
        <w:tc>
          <w:tcPr>
            <w:tcW w:type="dxa" w:w="90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8</w:t>
            </w:r>
          </w:p>
        </w:tc>
        <w:tc>
          <w:tcPr>
            <w:tcW w:type="dxa" w:w="95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1</w:t>
            </w:r>
          </w:p>
        </w:tc>
        <w:tc>
          <w:tcPr>
            <w:tcW w:type="dxa" w:w="95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2</w:t>
            </w:r>
          </w:p>
        </w:tc>
        <w:tc>
          <w:tcPr>
            <w:tcW w:type="dxa" w:w="960"/>
            <w:shd w:fill="F2F4F8"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000000"/>
                <w:sz w:val="17"/>
                <w:szCs w:val="17"/>
              </w:rPr>
              <w:t xml:space="preserve">2</w:t>
            </w:r>
          </w:p>
        </w:tc>
      </w:tr>
      <w:tr>
        <w:tc>
          <w:tcPr>
            <w:tcW w:type="dxa" w:w="3400"/>
            <w:shd w:fill="FFF2CC" w:color="auto" w:val="clear"/>
            <w:tcMar>
              <w:top w:type="dxa" w:w="60"/>
              <w:left w:type="dxa" w:w="90"/>
              <w:bottom w:type="dxa" w:w="60"/>
              <w:right w:type="dxa" w:w="90"/>
            </w:tcMar>
          </w:tcPr>
          <w:p>
            <w:pPr>
              <w:spacing w:after="0" w:line="240"/>
              <w:jc w:val="left"/>
            </w:pPr>
            <w:r>
              <w:rPr>
                <w:rFonts w:ascii="Calibri" w:cs="Calibri" w:eastAsia="Calibri" w:hAnsi="Calibri"/>
                <w:b/>
                <w:bCs/>
                <w:color w:val="000000"/>
                <w:sz w:val="17"/>
                <w:szCs w:val="17"/>
              </w:rPr>
              <w:t xml:space="preserve">TOTAL</w:t>
            </w:r>
          </w:p>
        </w:tc>
        <w:tc>
          <w:tcPr>
            <w:tcW w:type="dxa" w:w="11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7"/>
                <w:szCs w:val="17"/>
              </w:rPr>
              <w:t xml:space="preserve">30</w:t>
            </w:r>
          </w:p>
        </w:tc>
        <w:tc>
          <w:tcPr>
            <w:tcW w:type="dxa" w:w="11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7"/>
                <w:szCs w:val="17"/>
              </w:rPr>
              <w:t xml:space="preserve">35</w:t>
            </w:r>
          </w:p>
        </w:tc>
        <w:tc>
          <w:tcPr>
            <w:tcW w:type="dxa" w:w="90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7"/>
                <w:szCs w:val="17"/>
              </w:rPr>
              <w:t xml:space="preserve">100</w:t>
            </w:r>
          </w:p>
        </w:tc>
        <w:tc>
          <w:tcPr>
            <w:tcW w:type="dxa" w:w="95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7"/>
                <w:szCs w:val="17"/>
              </w:rPr>
              <w:t xml:space="preserve">30</w:t>
            </w:r>
          </w:p>
        </w:tc>
        <w:tc>
          <w:tcPr>
            <w:tcW w:type="dxa" w:w="95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7"/>
                <w:szCs w:val="17"/>
              </w:rPr>
              <w:t xml:space="preserve">4</w:t>
            </w:r>
          </w:p>
        </w:tc>
        <w:tc>
          <w:tcPr>
            <w:tcW w:type="dxa" w:w="960"/>
            <w:shd w:fill="FFF2CC" w:color="auto" w:val="clear"/>
            <w:tcMar>
              <w:top w:type="dxa" w:w="60"/>
              <w:left w:type="dxa" w:w="90"/>
              <w:bottom w:type="dxa" w:w="60"/>
              <w:right w:type="dxa" w:w="90"/>
            </w:tcMar>
          </w:tcPr>
          <w:p>
            <w:pPr>
              <w:spacing w:after="0" w:line="240"/>
              <w:jc w:val="center"/>
            </w:pPr>
            <w:r>
              <w:rPr>
                <w:rFonts w:ascii="Calibri" w:cs="Calibri" w:eastAsia="Calibri" w:hAnsi="Calibri"/>
                <w:b/>
                <w:bCs/>
                <w:color w:val="000000"/>
                <w:sz w:val="17"/>
                <w:szCs w:val="17"/>
              </w:rPr>
              <w:t xml:space="preserve">31</w:t>
            </w:r>
          </w:p>
        </w:tc>
      </w:tr>
    </w:tbl>
    <w:p>
      <w:pPr>
        <w:spacing w:after="200" w:line="276"/>
        <w:jc w:val="both"/>
      </w:pPr>
      <w:r>
        <w:rPr>
          <w:rFonts w:ascii="Calibri" w:cs="Calibri" w:eastAsia="Calibri" w:hAnsi="Calibri"/>
          <w:color w:val="000000"/>
          <w:sz w:val="21"/>
          <w:szCs w:val="21"/>
        </w:rPr>
        <w:t xml:space="preserve"/>
      </w:r>
    </w:p>
    <w:p>
      <w:pPr>
        <w:spacing w:after="120" w:line="276"/>
        <w:jc w:val="both"/>
      </w:pPr>
      <w:r>
        <w:rPr>
          <w:rFonts w:ascii="Calibri" w:cs="Calibri" w:eastAsia="Calibri" w:hAnsi="Calibri"/>
          <w:color w:val="000000"/>
          <w:sz w:val="21"/>
          <w:szCs w:val="21"/>
        </w:rPr>
        <w:t xml:space="preserve">Two deliberate departures from a pure five-year average are worth flagging. First, Farm Power is set at 14 rather than its 13.8 mean and Soil &amp; Water Conservation at 16 rather than 15.8, because the rounding has to land somewhere and both sections are trending up. Second, MSQ is fixed at four questions even though 2026 carried none; a mock paper that omits MSQ entirely would leave candidates unrehearsed for a format that is scored without partial credit, which is where most candidates lose marks on it.</w:t>
      </w:r>
    </w:p>
    <w:p>
      <w:pPr>
        <w:pStyle w:val="Heading2"/>
        <w:spacing w:after="140" w:before="260"/>
      </w:pPr>
      <w:r>
        <w:rPr>
          <w:rFonts w:ascii="Calibri" w:cs="Calibri" w:eastAsia="Calibri" w:hAnsi="Calibri"/>
          <w:b/>
          <w:bCs/>
          <w:color w:val="8B1A1A"/>
          <w:sz w:val="25"/>
          <w:szCs w:val="25"/>
        </w:rPr>
        <w:t xml:space="preserve">A.6  Preparation observations that follow from the data</w:t>
      </w:r>
    </w:p>
    <w:p>
      <w:pPr>
        <w:pStyle w:val="ListParagraph"/>
        <w:numPr>
          <w:ilvl w:val="0"/>
          <w:numId w:val="1"/>
        </w:numPr>
        <w:spacing w:after="90" w:line="276"/>
        <w:jc w:val="both"/>
      </w:pPr>
      <w:r>
        <w:rPr>
          <w:rFonts w:ascii="Calibri" w:cs="Calibri" w:eastAsia="Calibri" w:hAnsi="Calibri"/>
          <w:sz w:val="21"/>
          <w:szCs w:val="21"/>
        </w:rPr>
        <w:t xml:space="preserve">The subject paper is now a numerical paper. With NAT running near half of subject marks and no negative marking on NAT, calculation speed and unit discipline matter more than option-elimination skill.</w:t>
      </w:r>
    </w:p>
    <w:p>
      <w:pPr>
        <w:pStyle w:val="ListParagraph"/>
        <w:numPr>
          <w:ilvl w:val="0"/>
          <w:numId w:val="1"/>
        </w:numPr>
        <w:spacing w:after="90" w:line="276"/>
        <w:jc w:val="both"/>
      </w:pPr>
      <w:r>
        <w:rPr>
          <w:rFonts w:ascii="Calibri" w:cs="Calibri" w:eastAsia="Calibri" w:hAnsi="Calibri"/>
          <w:sz w:val="21"/>
          <w:szCs w:val="21"/>
        </w:rPr>
        <w:t xml:space="preserve">Four sections — Soil &amp; Water Conservation, Farm Power, Agricultural Process Engineering and Engineering Mathematics — together carry roughly 57 of the 85 subject marks on recent evidence. A candidate short of time should secure these before the rest.</w:t>
      </w:r>
    </w:p>
    <w:p>
      <w:pPr>
        <w:pStyle w:val="ListParagraph"/>
        <w:numPr>
          <w:ilvl w:val="0"/>
          <w:numId w:val="1"/>
        </w:numPr>
        <w:spacing w:after="90" w:line="276"/>
        <w:jc w:val="both"/>
      </w:pPr>
      <w:r>
        <w:rPr>
          <w:rFonts w:ascii="Calibri" w:cs="Calibri" w:eastAsia="Calibri" w:hAnsi="Calibri"/>
          <w:sz w:val="21"/>
          <w:szCs w:val="21"/>
        </w:rPr>
        <w:t xml:space="preserve">Within Soil &amp; Water Conservation, three sub-topics (Hydrology, Soil and Water Erosion, Fluid Mechanics) carry the great majority of the section. Soil Mechanics and Surveying and Leveling are steady but smaller, and are frequently underestimated by candidates who treat the section as hydrology alone.</w:t>
      </w:r>
    </w:p>
    <w:p>
      <w:pPr>
        <w:pStyle w:val="ListParagraph"/>
        <w:numPr>
          <w:ilvl w:val="0"/>
          <w:numId w:val="1"/>
        </w:numPr>
        <w:spacing w:after="90" w:line="276"/>
        <w:jc w:val="both"/>
      </w:pPr>
      <w:r>
        <w:rPr>
          <w:rFonts w:ascii="Calibri" w:cs="Calibri" w:eastAsia="Calibri" w:hAnsi="Calibri"/>
          <w:sz w:val="21"/>
          <w:szCs w:val="21"/>
        </w:rPr>
        <w:t xml:space="preserve">Machine Design inside Farm Machinery is rising — 15 of the section’s last-five-year marks against 18 for tillage. Gears, belts, chains, sprockets and shaft design should not be treated as a peripheral topic.</w:t>
      </w:r>
    </w:p>
    <w:p>
      <w:pPr>
        <w:pStyle w:val="ListParagraph"/>
        <w:numPr>
          <w:ilvl w:val="0"/>
          <w:numId w:val="1"/>
        </w:numPr>
        <w:spacing w:after="90" w:line="276"/>
        <w:jc w:val="both"/>
      </w:pPr>
      <w:r>
        <w:rPr>
          <w:rFonts w:ascii="Calibri" w:cs="Calibri" w:eastAsia="Calibri" w:hAnsi="Calibri"/>
          <w:sz w:val="21"/>
          <w:szCs w:val="21"/>
        </w:rPr>
        <w:t xml:space="preserve">Human engineering, ergonomics and safety within Farm Power has strengthened noticeably in recent papers (2024 and 2025 both carried multiple questions), having been near-absent earlier. This is the clearest example in the data of a sub-topic that a candidate working only from older papers would miss.</w:t>
      </w:r>
    </w:p>
    <w:p>
      <w:r>
        <w:br w:type="page"/>
      </w:r>
    </w:p>
    <w:p>
      <w:pPr>
        <w:pStyle w:val="Heading1"/>
        <w:spacing w:after="180" w:before="360"/>
      </w:pPr>
      <w:r>
        <w:rPr>
          <w:rFonts w:ascii="Calibri" w:cs="Calibri" w:eastAsia="Calibri" w:hAnsi="Calibri"/>
          <w:b/>
          <w:bCs/>
          <w:color w:val="1F3864"/>
          <w:sz w:val="30"/>
          <w:szCs w:val="30"/>
        </w:rPr>
        <w:t xml:space="preserve">Part B — Master Prompt</w:t>
      </w:r>
    </w:p>
    <w:p>
      <w:pPr>
        <w:spacing w:after="120" w:line="276"/>
        <w:jc w:val="both"/>
      </w:pPr>
      <w:r>
        <w:rPr>
          <w:rFonts w:ascii="Calibri" w:cs="Calibri" w:eastAsia="Calibri" w:hAnsi="Calibri"/>
          <w:color w:val="000000"/>
          <w:sz w:val="21"/>
          <w:szCs w:val="21"/>
        </w:rPr>
        <w:t xml:space="preserve">The prompt below is self-contained. Paste it into a fresh conversation, optionally set the switches in §10, and it will produce a complete mock paper with key and solutions as a single DOCX. It is also supplied as a separate plain-text file so it can be copied without formatting artefacts.</w:t>
      </w:r>
    </w:p>
    <w:p>
      <w:pPr>
        <w:spacing w:after="240" w:line="276"/>
        <w:jc w:val="both"/>
      </w:pPr>
      <w:r>
        <w:rPr>
          <w:rFonts w:ascii="Calibri" w:cs="Calibri" w:eastAsia="Calibri" w:hAnsi="Calibri"/>
          <w:color w:val="000000"/>
          <w:sz w:val="21"/>
          <w:szCs w:val="21"/>
        </w:rPr>
        <w:t xml:space="preserve">The blueprint numbers in §2, §3 and §4 of the prompt are exactly those derived in Part A. If a future paper shifts the pattern, only those three sections need editing — the rest of the prompt is pattern-independent.</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MASTER PROMPT — GATE 2027 AGRICULTURAL ENGINEERING (AG) FULL MOCK PAPER</w:t>
      </w:r>
    </w:p>
    <w:p>
      <w:pPr>
        <w:spacing w:after="0" w:line="240"/>
        <w:jc w:val="left"/>
      </w:pPr>
      <w:r>
        <w:rPr>
          <w:rFonts w:ascii="Consolas" w:cs="Consolas" w:eastAsia="Consolas" w:hAnsi="Consolas"/>
          <w:sz w:val="16"/>
          <w:szCs w:val="16"/>
        </w:rPr>
        <w:t xml:space="preserve">Version 1.0 · Calibrated on 14 official AG papers (2011–2026, 899 questions)</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You are an experienced GATE Agricultural Engineering paper-setter and</w:t>
      </w:r>
    </w:p>
    <w:p>
      <w:pPr>
        <w:spacing w:after="0" w:line="240"/>
        <w:jc w:val="left"/>
      </w:pPr>
      <w:r>
        <w:rPr>
          <w:rFonts w:ascii="Consolas" w:cs="Consolas" w:eastAsia="Consolas" w:hAnsi="Consolas"/>
          <w:sz w:val="16"/>
          <w:szCs w:val="16"/>
        </w:rPr>
        <w:t xml:space="preserve">subject-matter expert. Produce ONE complete, original, full-length GATE</w:t>
      </w:r>
    </w:p>
    <w:p>
      <w:pPr>
        <w:spacing w:after="0" w:line="240"/>
        <w:jc w:val="left"/>
      </w:pPr>
      <w:r>
        <w:rPr>
          <w:rFonts w:ascii="Consolas" w:cs="Consolas" w:eastAsia="Consolas" w:hAnsi="Consolas"/>
          <w:sz w:val="16"/>
          <w:szCs w:val="16"/>
        </w:rPr>
        <w:t xml:space="preserve">AG mock question paper for the GATE 2027 examination, together with its</w:t>
      </w:r>
    </w:p>
    <w:p>
      <w:pPr>
        <w:spacing w:after="0" w:line="240"/>
        <w:jc w:val="left"/>
      </w:pPr>
      <w:r>
        <w:rPr>
          <w:rFonts w:ascii="Consolas" w:cs="Consolas" w:eastAsia="Consolas" w:hAnsi="Consolas"/>
          <w:sz w:val="16"/>
          <w:szCs w:val="16"/>
        </w:rPr>
        <w:t xml:space="preserve">official-style answer key and full worked solutions, delivered as a</w:t>
      </w:r>
    </w:p>
    <w:p>
      <w:pPr>
        <w:spacing w:after="0" w:line="240"/>
        <w:jc w:val="left"/>
      </w:pPr>
      <w:r>
        <w:rPr>
          <w:rFonts w:ascii="Consolas" w:cs="Consolas" w:eastAsia="Consolas" w:hAnsi="Consolas"/>
          <w:sz w:val="16"/>
          <w:szCs w:val="16"/>
        </w:rPr>
        <w:t xml:space="preserve">single DOCX file.</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1. NON-NEGOTIABLE EXAM PATTERN</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 Paper code: AG (Agricultural Engineering). Duration 180 minutes.</w:t>
      </w:r>
    </w:p>
    <w:p>
      <w:pPr>
        <w:spacing w:after="0" w:line="240"/>
        <w:jc w:val="left"/>
      </w:pPr>
      <w:r>
        <w:rPr>
          <w:rFonts w:ascii="Consolas" w:cs="Consolas" w:eastAsia="Consolas" w:hAnsi="Consolas"/>
          <w:sz w:val="16"/>
          <w:szCs w:val="16"/>
        </w:rPr>
        <w:t xml:space="preserve">• Total questions: 65. Total marks: 100.</w:t>
      </w:r>
    </w:p>
    <w:p>
      <w:pPr>
        <w:spacing w:after="0" w:line="240"/>
        <w:jc w:val="left"/>
      </w:pPr>
      <w:r>
        <w:rPr>
          <w:rFonts w:ascii="Consolas" w:cs="Consolas" w:eastAsia="Consolas" w:hAnsi="Consolas"/>
          <w:sz w:val="16"/>
          <w:szCs w:val="16"/>
        </w:rPr>
        <w:t xml:space="preserve">• General Aptitude (GA): Q.1–Q.10 → 15 marks</w:t>
      </w:r>
    </w:p>
    <w:p>
      <w:pPr>
        <w:spacing w:after="0" w:line="240"/>
        <w:jc w:val="left"/>
      </w:pPr>
      <w:r>
        <w:rPr>
          <w:rFonts w:ascii="Consolas" w:cs="Consolas" w:eastAsia="Consolas" w:hAnsi="Consolas"/>
          <w:sz w:val="16"/>
          <w:szCs w:val="16"/>
        </w:rPr>
        <w:t xml:space="preserve">    – Q.1–Q.5 carry 1 mark each; Q.6–Q.10 carry 2 marks each.</w:t>
      </w:r>
    </w:p>
    <w:p>
      <w:pPr>
        <w:spacing w:after="0" w:line="240"/>
        <w:jc w:val="left"/>
      </w:pPr>
      <w:r>
        <w:rPr>
          <w:rFonts w:ascii="Consolas" w:cs="Consolas" w:eastAsia="Consolas" w:hAnsi="Consolas"/>
          <w:sz w:val="16"/>
          <w:szCs w:val="16"/>
        </w:rPr>
        <w:t xml:space="preserve">    – GA is 100% MCQ. Do not use NAT or MSQ in GA.</w:t>
      </w:r>
    </w:p>
    <w:p>
      <w:pPr>
        <w:spacing w:after="0" w:line="240"/>
        <w:jc w:val="left"/>
      </w:pPr>
      <w:r>
        <w:rPr>
          <w:rFonts w:ascii="Consolas" w:cs="Consolas" w:eastAsia="Consolas" w:hAnsi="Consolas"/>
          <w:sz w:val="16"/>
          <w:szCs w:val="16"/>
        </w:rPr>
        <w:t xml:space="preserve">• Agricultural Engineering subject: Q.11–Q.65 → 85 marks</w:t>
      </w:r>
    </w:p>
    <w:p>
      <w:pPr>
        <w:spacing w:after="0" w:line="240"/>
        <w:jc w:val="left"/>
      </w:pPr>
      <w:r>
        <w:rPr>
          <w:rFonts w:ascii="Consolas" w:cs="Consolas" w:eastAsia="Consolas" w:hAnsi="Consolas"/>
          <w:sz w:val="16"/>
          <w:szCs w:val="16"/>
        </w:rPr>
        <w:t xml:space="preserve">    – Q.11–Q.35 carry 1 mark each (25 questions).</w:t>
      </w:r>
    </w:p>
    <w:p>
      <w:pPr>
        <w:spacing w:after="0" w:line="240"/>
        <w:jc w:val="left"/>
      </w:pPr>
      <w:r>
        <w:rPr>
          <w:rFonts w:ascii="Consolas" w:cs="Consolas" w:eastAsia="Consolas" w:hAnsi="Consolas"/>
          <w:sz w:val="16"/>
          <w:szCs w:val="16"/>
        </w:rPr>
        <w:t xml:space="preserve">    – Q.36–Q.65 carry 2 marks each (30 questions).</w:t>
      </w:r>
    </w:p>
    <w:p>
      <w:pPr>
        <w:spacing w:after="0" w:line="240"/>
        <w:jc w:val="left"/>
      </w:pPr>
      <w:r>
        <w:rPr>
          <w:rFonts w:ascii="Consolas" w:cs="Consolas" w:eastAsia="Consolas" w:hAnsi="Consolas"/>
          <w:sz w:val="16"/>
          <w:szCs w:val="16"/>
        </w:rPr>
        <w:t xml:space="preserve">• Question types and marking:</w:t>
      </w:r>
    </w:p>
    <w:p>
      <w:pPr>
        <w:spacing w:after="0" w:line="240"/>
        <w:jc w:val="left"/>
      </w:pPr>
      <w:r>
        <w:rPr>
          <w:rFonts w:ascii="Consolas" w:cs="Consolas" w:eastAsia="Consolas" w:hAnsi="Consolas"/>
          <w:sz w:val="16"/>
          <w:szCs w:val="16"/>
        </w:rPr>
        <w:t xml:space="preserve">    – MCQ: four options (A)–(D), exactly one correct.</w:t>
      </w:r>
    </w:p>
    <w:p>
      <w:pPr>
        <w:spacing w:after="0" w:line="240"/>
        <w:jc w:val="left"/>
      </w:pPr>
      <w:r>
        <w:rPr>
          <w:rFonts w:ascii="Consolas" w:cs="Consolas" w:eastAsia="Consolas" w:hAnsi="Consolas"/>
          <w:sz w:val="16"/>
          <w:szCs w:val="16"/>
        </w:rPr>
        <w:t xml:space="preserve">      Negative marking: −1/3 for a 1-mark MCQ, −2/3 for a 2-mark MCQ.</w:t>
      </w:r>
    </w:p>
    <w:p>
      <w:pPr>
        <w:spacing w:after="0" w:line="240"/>
        <w:jc w:val="left"/>
      </w:pPr>
      <w:r>
        <w:rPr>
          <w:rFonts w:ascii="Consolas" w:cs="Consolas" w:eastAsia="Consolas" w:hAnsi="Consolas"/>
          <w:sz w:val="16"/>
          <w:szCs w:val="16"/>
        </w:rPr>
        <w:t xml:space="preserve">    – MSQ: four options, one OR MORE correct. No negative marking,</w:t>
      </w:r>
    </w:p>
    <w:p>
      <w:pPr>
        <w:spacing w:after="0" w:line="240"/>
        <w:jc w:val="left"/>
      </w:pPr>
      <w:r>
        <w:rPr>
          <w:rFonts w:ascii="Consolas" w:cs="Consolas" w:eastAsia="Consolas" w:hAnsi="Consolas"/>
          <w:sz w:val="16"/>
          <w:szCs w:val="16"/>
        </w:rPr>
        <w:t xml:space="preserve">      no partial credit.</w:t>
      </w:r>
    </w:p>
    <w:p>
      <w:pPr>
        <w:spacing w:after="0" w:line="240"/>
        <w:jc w:val="left"/>
      </w:pPr>
      <w:r>
        <w:rPr>
          <w:rFonts w:ascii="Consolas" w:cs="Consolas" w:eastAsia="Consolas" w:hAnsi="Consolas"/>
          <w:sz w:val="16"/>
          <w:szCs w:val="16"/>
        </w:rPr>
        <w:t xml:space="preserve">    – NAT: numerical answer typed in; no options. No negative marking.</w:t>
      </w:r>
    </w:p>
    <w:p>
      <w:pPr>
        <w:spacing w:after="0" w:line="240"/>
        <w:jc w:val="left"/>
      </w:pPr>
      <w:r>
        <w:rPr>
          <w:rFonts w:ascii="Consolas" w:cs="Consolas" w:eastAsia="Consolas" w:hAnsi="Consolas"/>
          <w:sz w:val="16"/>
          <w:szCs w:val="16"/>
        </w:rPr>
        <w:t xml:space="preserve">      Always state the required unit and the rounding instruction</w:t>
      </w:r>
    </w:p>
    <w:p>
      <w:pPr>
        <w:spacing w:after="0" w:line="240"/>
        <w:jc w:val="left"/>
      </w:pPr>
      <w:r>
        <w:rPr>
          <w:rFonts w:ascii="Consolas" w:cs="Consolas" w:eastAsia="Consolas" w:hAnsi="Consolas"/>
          <w:sz w:val="16"/>
          <w:szCs w:val="16"/>
        </w:rPr>
        <w:t xml:space="preserve">      (e.g. "round off to two decimal places").</w:t>
      </w:r>
    </w:p>
    <w:p>
      <w:pPr>
        <w:spacing w:after="0" w:line="240"/>
        <w:jc w:val="left"/>
      </w:pPr>
      <w:r>
        <w:rPr>
          <w:rFonts w:ascii="Consolas" w:cs="Consolas" w:eastAsia="Consolas" w:hAnsi="Consolas"/>
          <w:sz w:val="16"/>
          <w:szCs w:val="16"/>
        </w:rPr>
        <w:t xml:space="preserve">• Engineering Mathematics is part of the AG subject syllabus, NOT a</w:t>
      </w:r>
    </w:p>
    <w:p>
      <w:pPr>
        <w:spacing w:after="0" w:line="240"/>
        <w:jc w:val="left"/>
      </w:pPr>
      <w:r>
        <w:rPr>
          <w:rFonts w:ascii="Consolas" w:cs="Consolas" w:eastAsia="Consolas" w:hAnsi="Consolas"/>
          <w:sz w:val="16"/>
          <w:szCs w:val="16"/>
        </w:rPr>
        <w:t xml:space="preserve">  separate section, and its questions are numbered within Q.11–Q.65.</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2. MANDATORY BLUEPRINT — SECTION WEIGHTAGE</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Match these totals exactly. They are derived from the 2022–2026 papers.</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  Section                                    1-mk  2-mk  Marks</w:t>
      </w:r>
    </w:p>
    <w:p>
      <w:pPr>
        <w:spacing w:after="0" w:line="240"/>
        <w:jc w:val="left"/>
      </w:pPr>
      <w:r>
        <w:rPr>
          <w:rFonts w:ascii="Consolas" w:cs="Consolas" w:eastAsia="Consolas" w:hAnsi="Consolas"/>
          <w:sz w:val="16"/>
          <w:szCs w:val="16"/>
        </w:rPr>
        <w:t xml:space="preserve">  GA — General Aptitude                        5     5     15</w:t>
      </w:r>
    </w:p>
    <w:p>
      <w:pPr>
        <w:spacing w:after="0" w:line="240"/>
        <w:jc w:val="left"/>
      </w:pPr>
      <w:r>
        <w:rPr>
          <w:rFonts w:ascii="Consolas" w:cs="Consolas" w:eastAsia="Consolas" w:hAnsi="Consolas"/>
          <w:sz w:val="16"/>
          <w:szCs w:val="16"/>
        </w:rPr>
        <w:t xml:space="preserve">  S1 — Engineering Mathematics                 5     4     13</w:t>
      </w:r>
    </w:p>
    <w:p>
      <w:pPr>
        <w:spacing w:after="0" w:line="240"/>
        <w:jc w:val="left"/>
      </w:pPr>
      <w:r>
        <w:rPr>
          <w:rFonts w:ascii="Consolas" w:cs="Consolas" w:eastAsia="Consolas" w:hAnsi="Consolas"/>
          <w:sz w:val="16"/>
          <w:szCs w:val="16"/>
        </w:rPr>
        <w:t xml:space="preserve">  S2 — Farm Machinery                          3     4     11</w:t>
      </w:r>
    </w:p>
    <w:p>
      <w:pPr>
        <w:spacing w:after="0" w:line="240"/>
        <w:jc w:val="left"/>
      </w:pPr>
      <w:r>
        <w:rPr>
          <w:rFonts w:ascii="Consolas" w:cs="Consolas" w:eastAsia="Consolas" w:hAnsi="Consolas"/>
          <w:sz w:val="16"/>
          <w:szCs w:val="16"/>
        </w:rPr>
        <w:t xml:space="preserve">  S3 — Farm Power                              4     5     14</w:t>
      </w:r>
    </w:p>
    <w:p>
      <w:pPr>
        <w:spacing w:after="0" w:line="240"/>
        <w:jc w:val="left"/>
      </w:pPr>
      <w:r>
        <w:rPr>
          <w:rFonts w:ascii="Consolas" w:cs="Consolas" w:eastAsia="Consolas" w:hAnsi="Consolas"/>
          <w:sz w:val="16"/>
          <w:szCs w:val="16"/>
        </w:rPr>
        <w:t xml:space="preserve">  S4 — Soil &amp; Water Conservation Engineering   4     6     16</w:t>
      </w:r>
    </w:p>
    <w:p>
      <w:pPr>
        <w:spacing w:after="0" w:line="240"/>
        <w:jc w:val="left"/>
      </w:pPr>
      <w:r>
        <w:rPr>
          <w:rFonts w:ascii="Consolas" w:cs="Consolas" w:eastAsia="Consolas" w:hAnsi="Consolas"/>
          <w:sz w:val="16"/>
          <w:szCs w:val="16"/>
        </w:rPr>
        <w:t xml:space="preserve">  S5 — Irrigation &amp; Drainage Engineering       2     4     10</w:t>
      </w:r>
    </w:p>
    <w:p>
      <w:pPr>
        <w:spacing w:after="0" w:line="240"/>
        <w:jc w:val="left"/>
      </w:pPr>
      <w:r>
        <w:rPr>
          <w:rFonts w:ascii="Consolas" w:cs="Consolas" w:eastAsia="Consolas" w:hAnsi="Consolas"/>
          <w:sz w:val="16"/>
          <w:szCs w:val="16"/>
        </w:rPr>
        <w:t xml:space="preserve">  S6 — Agricultural Process Engineering        5     4     13</w:t>
      </w:r>
    </w:p>
    <w:p>
      <w:pPr>
        <w:spacing w:after="0" w:line="240"/>
        <w:jc w:val="left"/>
      </w:pPr>
      <w:r>
        <w:rPr>
          <w:rFonts w:ascii="Consolas" w:cs="Consolas" w:eastAsia="Consolas" w:hAnsi="Consolas"/>
          <w:sz w:val="16"/>
          <w:szCs w:val="16"/>
        </w:rPr>
        <w:t xml:space="preserve">  S7 — Dairy &amp; Food Engineering                2     3      8</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  TOTAL                                       30    35    100</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3. MANDATORY BLUEPRINT — QUESTION-TYPE MIX</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  Section   Total Q   MCQ   MSQ   NAT</w:t>
      </w:r>
    </w:p>
    <w:p>
      <w:pPr>
        <w:spacing w:after="0" w:line="240"/>
        <w:jc w:val="left"/>
      </w:pPr>
      <w:r>
        <w:rPr>
          <w:rFonts w:ascii="Consolas" w:cs="Consolas" w:eastAsia="Consolas" w:hAnsi="Consolas"/>
          <w:sz w:val="16"/>
          <w:szCs w:val="16"/>
        </w:rPr>
        <w:t xml:space="preserve">  GA           10      10     0     0</w:t>
      </w:r>
    </w:p>
    <w:p>
      <w:pPr>
        <w:spacing w:after="0" w:line="240"/>
        <w:jc w:val="left"/>
      </w:pPr>
      <w:r>
        <w:rPr>
          <w:rFonts w:ascii="Consolas" w:cs="Consolas" w:eastAsia="Consolas" w:hAnsi="Consolas"/>
          <w:sz w:val="16"/>
          <w:szCs w:val="16"/>
        </w:rPr>
        <w:t xml:space="preserve">  S1            9       6     0     3</w:t>
      </w:r>
    </w:p>
    <w:p>
      <w:pPr>
        <w:spacing w:after="0" w:line="240"/>
        <w:jc w:val="left"/>
      </w:pPr>
      <w:r>
        <w:rPr>
          <w:rFonts w:ascii="Consolas" w:cs="Consolas" w:eastAsia="Consolas" w:hAnsi="Consolas"/>
          <w:sz w:val="16"/>
          <w:szCs w:val="16"/>
        </w:rPr>
        <w:t xml:space="preserve">  S2            7       3     0     4</w:t>
      </w:r>
    </w:p>
    <w:p>
      <w:pPr>
        <w:spacing w:after="0" w:line="240"/>
        <w:jc w:val="left"/>
      </w:pPr>
      <w:r>
        <w:rPr>
          <w:rFonts w:ascii="Consolas" w:cs="Consolas" w:eastAsia="Consolas" w:hAnsi="Consolas"/>
          <w:sz w:val="16"/>
          <w:szCs w:val="16"/>
        </w:rPr>
        <w:t xml:space="preserve">  S3            9       3     0     6</w:t>
      </w:r>
    </w:p>
    <w:p>
      <w:pPr>
        <w:spacing w:after="0" w:line="240"/>
        <w:jc w:val="left"/>
      </w:pPr>
      <w:r>
        <w:rPr>
          <w:rFonts w:ascii="Consolas" w:cs="Consolas" w:eastAsia="Consolas" w:hAnsi="Consolas"/>
          <w:sz w:val="16"/>
          <w:szCs w:val="16"/>
        </w:rPr>
        <w:t xml:space="preserve">  S4           10       4     0     6</w:t>
      </w:r>
    </w:p>
    <w:p>
      <w:pPr>
        <w:spacing w:after="0" w:line="240"/>
        <w:jc w:val="left"/>
      </w:pPr>
      <w:r>
        <w:rPr>
          <w:rFonts w:ascii="Consolas" w:cs="Consolas" w:eastAsia="Consolas" w:hAnsi="Consolas"/>
          <w:sz w:val="16"/>
          <w:szCs w:val="16"/>
        </w:rPr>
        <w:t xml:space="preserve">  S5            6       1     1     4</w:t>
      </w:r>
    </w:p>
    <w:p>
      <w:pPr>
        <w:spacing w:after="0" w:line="240"/>
        <w:jc w:val="left"/>
      </w:pPr>
      <w:r>
        <w:rPr>
          <w:rFonts w:ascii="Consolas" w:cs="Consolas" w:eastAsia="Consolas" w:hAnsi="Consolas"/>
          <w:sz w:val="16"/>
          <w:szCs w:val="16"/>
        </w:rPr>
        <w:t xml:space="preserve">  S6            9       2     1     6</w:t>
      </w:r>
    </w:p>
    <w:p>
      <w:pPr>
        <w:spacing w:after="0" w:line="240"/>
        <w:jc w:val="left"/>
      </w:pPr>
      <w:r>
        <w:rPr>
          <w:rFonts w:ascii="Consolas" w:cs="Consolas" w:eastAsia="Consolas" w:hAnsi="Consolas"/>
          <w:sz w:val="16"/>
          <w:szCs w:val="16"/>
        </w:rPr>
        <w:t xml:space="preserve">  S7            5       1     2     2</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  TOTAL        65      30     4    31</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Distribute MSQ across 2-mark and 1-mark slots (recent papers place them</w:t>
      </w:r>
    </w:p>
    <w:p>
      <w:pPr>
        <w:spacing w:after="0" w:line="240"/>
        <w:jc w:val="left"/>
      </w:pPr>
      <w:r>
        <w:rPr>
          <w:rFonts w:ascii="Consolas" w:cs="Consolas" w:eastAsia="Consolas" w:hAnsi="Consolas"/>
          <w:sz w:val="16"/>
          <w:szCs w:val="16"/>
        </w:rPr>
        <w:t xml:space="preserve">in both). Never exceed 4 MSQ in the whole paper.</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4. MANDATORY BLUEPRINT — SUB-TOPIC WEIGHTAGE</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Allocate marks within each section as follows. Sub-section names are</w:t>
      </w:r>
    </w:p>
    <w:p>
      <w:pPr>
        <w:spacing w:after="0" w:line="240"/>
        <w:jc w:val="left"/>
      </w:pPr>
      <w:r>
        <w:rPr>
          <w:rFonts w:ascii="Consolas" w:cs="Consolas" w:eastAsia="Consolas" w:hAnsi="Consolas"/>
          <w:sz w:val="16"/>
          <w:szCs w:val="16"/>
        </w:rPr>
        <w:t xml:space="preserve">those of the official GATE AG syllabus; do not invent new ones.</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S1 · Engineering Mathematics (13)</w:t>
      </w:r>
    </w:p>
    <w:p>
      <w:pPr>
        <w:spacing w:after="0" w:line="240"/>
        <w:jc w:val="left"/>
      </w:pPr>
      <w:r>
        <w:rPr>
          <w:rFonts w:ascii="Consolas" w:cs="Consolas" w:eastAsia="Consolas" w:hAnsi="Consolas"/>
          <w:sz w:val="16"/>
          <w:szCs w:val="16"/>
        </w:rPr>
        <w:t xml:space="preserve">   Calculus 5 · Linear Algebra 4 · Differential Equations 2 ·</w:t>
      </w:r>
    </w:p>
    <w:p>
      <w:pPr>
        <w:spacing w:after="0" w:line="240"/>
        <w:jc w:val="left"/>
      </w:pPr>
      <w:r>
        <w:rPr>
          <w:rFonts w:ascii="Consolas" w:cs="Consolas" w:eastAsia="Consolas" w:hAnsi="Consolas"/>
          <w:sz w:val="16"/>
          <w:szCs w:val="16"/>
        </w:rPr>
        <w:t xml:space="preserve">   Probability and Statistics 2</w:t>
      </w:r>
    </w:p>
    <w:p>
      <w:pPr>
        <w:spacing w:after="0" w:line="240"/>
        <w:jc w:val="left"/>
      </w:pPr>
      <w:r>
        <w:rPr>
          <w:rFonts w:ascii="Consolas" w:cs="Consolas" w:eastAsia="Consolas" w:hAnsi="Consolas"/>
          <w:sz w:val="16"/>
          <w:szCs w:val="16"/>
        </w:rPr>
        <w:t xml:space="preserve">   [Rotation pool: Numerical Methods, Vector Calculus — swap ONE</w:t>
      </w:r>
    </w:p>
    <w:p>
      <w:pPr>
        <w:spacing w:after="0" w:line="240"/>
        <w:jc w:val="left"/>
      </w:pPr>
      <w:r>
        <w:rPr>
          <w:rFonts w:ascii="Consolas" w:cs="Consolas" w:eastAsia="Consolas" w:hAnsi="Consolas"/>
          <w:sz w:val="16"/>
          <w:szCs w:val="16"/>
        </w:rPr>
        <w:t xml:space="preserve">    of these in for 1–2 marks in alternate mock papers.]</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S2 · Farm Machinery (11)</w:t>
      </w:r>
    </w:p>
    <w:p>
      <w:pPr>
        <w:spacing w:after="0" w:line="240"/>
        <w:jc w:val="left"/>
      </w:pPr>
      <w:r>
        <w:rPr>
          <w:rFonts w:ascii="Consolas" w:cs="Consolas" w:eastAsia="Consolas" w:hAnsi="Consolas"/>
          <w:sz w:val="16"/>
          <w:szCs w:val="16"/>
        </w:rPr>
        <w:t xml:space="preserve">   Farm Machinery: soil tillage &amp; forces on a tillage tool 4 ·</w:t>
      </w:r>
    </w:p>
    <w:p>
      <w:pPr>
        <w:spacing w:after="0" w:line="240"/>
        <w:jc w:val="left"/>
      </w:pPr>
      <w:r>
        <w:rPr>
          <w:rFonts w:ascii="Consolas" w:cs="Consolas" w:eastAsia="Consolas" w:hAnsi="Consolas"/>
          <w:sz w:val="16"/>
          <w:szCs w:val="16"/>
        </w:rPr>
        <w:t xml:space="preserve">   Machine Design: machine elements (gears, pulleys, chains,</w:t>
      </w:r>
    </w:p>
    <w:p>
      <w:pPr>
        <w:spacing w:after="0" w:line="240"/>
        <w:jc w:val="left"/>
      </w:pPr>
      <w:r>
        <w:rPr>
          <w:rFonts w:ascii="Consolas" w:cs="Consolas" w:eastAsia="Consolas" w:hAnsi="Consolas"/>
          <w:sz w:val="16"/>
          <w:szCs w:val="16"/>
        </w:rPr>
        <w:t xml:space="preserve">   sprockets, belts, shafts) 3 · equipment for spraying 2 ·</w:t>
      </w:r>
    </w:p>
    <w:p>
      <w:pPr>
        <w:spacing w:after="0" w:line="240"/>
        <w:jc w:val="left"/>
      </w:pPr>
      <w:r>
        <w:rPr>
          <w:rFonts w:ascii="Consolas" w:cs="Consolas" w:eastAsia="Consolas" w:hAnsi="Consolas"/>
          <w:sz w:val="16"/>
          <w:szCs w:val="16"/>
        </w:rPr>
        <w:t xml:space="preserve">   equipment for sowing/planting/fertilizer application 1 ·</w:t>
      </w:r>
    </w:p>
    <w:p>
      <w:pPr>
        <w:spacing w:after="0" w:line="240"/>
        <w:jc w:val="left"/>
      </w:pPr>
      <w:r>
        <w:rPr>
          <w:rFonts w:ascii="Consolas" w:cs="Consolas" w:eastAsia="Consolas" w:hAnsi="Consolas"/>
          <w:sz w:val="16"/>
          <w:szCs w:val="16"/>
        </w:rPr>
        <w:t xml:space="preserve">   cost analysis of implements and tractors 1</w:t>
      </w:r>
    </w:p>
    <w:p>
      <w:pPr>
        <w:spacing w:after="0" w:line="240"/>
        <w:jc w:val="left"/>
      </w:pPr>
      <w:r>
        <w:rPr>
          <w:rFonts w:ascii="Consolas" w:cs="Consolas" w:eastAsia="Consolas" w:hAnsi="Consolas"/>
          <w:sz w:val="16"/>
          <w:szCs w:val="16"/>
        </w:rPr>
        <w:t xml:space="preserve">   [Rotation pool: harvesting/threshing/mowing/chaff cutting;</w:t>
      </w:r>
    </w:p>
    <w:p>
      <w:pPr>
        <w:spacing w:after="0" w:line="240"/>
        <w:jc w:val="left"/>
      </w:pPr>
      <w:r>
        <w:rPr>
          <w:rFonts w:ascii="Consolas" w:cs="Consolas" w:eastAsia="Consolas" w:hAnsi="Consolas"/>
          <w:sz w:val="16"/>
          <w:szCs w:val="16"/>
        </w:rPr>
        <w:t xml:space="preserve">    overload safety devices; precision agriculture.]</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S3 · Farm Power (14)</w:t>
      </w:r>
    </w:p>
    <w:p>
      <w:pPr>
        <w:spacing w:after="0" w:line="240"/>
        <w:jc w:val="left"/>
      </w:pPr>
      <w:r>
        <w:rPr>
          <w:rFonts w:ascii="Consolas" w:cs="Consolas" w:eastAsia="Consolas" w:hAnsi="Consolas"/>
          <w:sz w:val="16"/>
          <w:szCs w:val="16"/>
        </w:rPr>
        <w:t xml:space="preserve">   Sources of Power (wind, solar, biomass, bio-fuels, human, animal) 3 ·</w:t>
      </w:r>
    </w:p>
    <w:p>
      <w:pPr>
        <w:spacing w:after="0" w:line="240"/>
        <w:jc w:val="left"/>
      </w:pPr>
      <w:r>
        <w:rPr>
          <w:rFonts w:ascii="Consolas" w:cs="Consolas" w:eastAsia="Consolas" w:hAnsi="Consolas"/>
          <w:sz w:val="16"/>
          <w:szCs w:val="16"/>
        </w:rPr>
        <w:t xml:space="preserve">   Tractors &amp; Power Tillers: traction theory and mechanics of tractor</w:t>
      </w:r>
    </w:p>
    <w:p>
      <w:pPr>
        <w:spacing w:after="0" w:line="240"/>
        <w:jc w:val="left"/>
      </w:pPr>
      <w:r>
        <w:rPr>
          <w:rFonts w:ascii="Consolas" w:cs="Consolas" w:eastAsia="Consolas" w:hAnsi="Consolas"/>
          <w:sz w:val="16"/>
          <w:szCs w:val="16"/>
        </w:rPr>
        <w:t xml:space="preserve">   chassis 3 · Farm Power: engine components &amp; I.C. engine systems 2 ·</w:t>
      </w:r>
    </w:p>
    <w:p>
      <w:pPr>
        <w:spacing w:after="0" w:line="240"/>
        <w:jc w:val="left"/>
      </w:pPr>
      <w:r>
        <w:rPr>
          <w:rFonts w:ascii="Consolas" w:cs="Consolas" w:eastAsia="Consolas" w:hAnsi="Consolas"/>
          <w:sz w:val="16"/>
          <w:szCs w:val="16"/>
        </w:rPr>
        <w:t xml:space="preserve">   thermodynamic principles &amp; I.C. engine cycles 2 · human engineering,</w:t>
      </w:r>
    </w:p>
    <w:p>
      <w:pPr>
        <w:spacing w:after="0" w:line="240"/>
        <w:jc w:val="left"/>
      </w:pPr>
      <w:r>
        <w:rPr>
          <w:rFonts w:ascii="Consolas" w:cs="Consolas" w:eastAsia="Consolas" w:hAnsi="Consolas"/>
          <w:sz w:val="16"/>
          <w:szCs w:val="16"/>
        </w:rPr>
        <w:t xml:space="preserve">   ergonomics and safety 2 · power transmission (clutch, gear box,</w:t>
      </w:r>
    </w:p>
    <w:p>
      <w:pPr>
        <w:spacing w:after="0" w:line="240"/>
        <w:jc w:val="left"/>
      </w:pPr>
      <w:r>
        <w:rPr>
          <w:rFonts w:ascii="Consolas" w:cs="Consolas" w:eastAsia="Consolas" w:hAnsi="Consolas"/>
          <w:sz w:val="16"/>
          <w:szCs w:val="16"/>
        </w:rPr>
        <w:t xml:space="preserve">   differential, final drive, brakes) 1 · fuels, combustion and</w:t>
      </w:r>
    </w:p>
    <w:p>
      <w:pPr>
        <w:spacing w:after="0" w:line="240"/>
        <w:jc w:val="left"/>
      </w:pPr>
      <w:r>
        <w:rPr>
          <w:rFonts w:ascii="Consolas" w:cs="Consolas" w:eastAsia="Consolas" w:hAnsi="Consolas"/>
          <w:sz w:val="16"/>
          <w:szCs w:val="16"/>
        </w:rPr>
        <w:t xml:space="preserve">   lubricants 1</w:t>
      </w:r>
    </w:p>
    <w:p>
      <w:pPr>
        <w:spacing w:after="0" w:line="240"/>
        <w:jc w:val="left"/>
      </w:pPr>
      <w:r>
        <w:rPr>
          <w:rFonts w:ascii="Consolas" w:cs="Consolas" w:eastAsia="Consolas" w:hAnsi="Consolas"/>
          <w:sz w:val="16"/>
          <w:szCs w:val="16"/>
        </w:rPr>
        <w:t xml:space="preserve">   [Rotation pool: steering &amp; hydraulic control systems; three-point</w:t>
      </w:r>
    </w:p>
    <w:p>
      <w:pPr>
        <w:spacing w:after="0" w:line="240"/>
        <w:jc w:val="left"/>
      </w:pPr>
      <w:r>
        <w:rPr>
          <w:rFonts w:ascii="Consolas" w:cs="Consolas" w:eastAsia="Consolas" w:hAnsi="Consolas"/>
          <w:sz w:val="16"/>
          <w:szCs w:val="16"/>
        </w:rPr>
        <w:t xml:space="preserve">    hitch; tractor tests and performance; power measurement.]</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S4 · Soil &amp; Water Conservation Engineering (16)</w:t>
      </w:r>
    </w:p>
    <w:p>
      <w:pPr>
        <w:spacing w:after="0" w:line="240"/>
        <w:jc w:val="left"/>
      </w:pPr>
      <w:r>
        <w:rPr>
          <w:rFonts w:ascii="Consolas" w:cs="Consolas" w:eastAsia="Consolas" w:hAnsi="Consolas"/>
          <w:sz w:val="16"/>
          <w:szCs w:val="16"/>
        </w:rPr>
        <w:t xml:space="preserve">   Hydrology 5 · Fluid Mechanics 4 · Soil and Water Erosion 4 ·</w:t>
      </w:r>
    </w:p>
    <w:p>
      <w:pPr>
        <w:spacing w:after="0" w:line="240"/>
        <w:jc w:val="left"/>
      </w:pPr>
      <w:r>
        <w:rPr>
          <w:rFonts w:ascii="Consolas" w:cs="Consolas" w:eastAsia="Consolas" w:hAnsi="Consolas"/>
          <w:sz w:val="16"/>
          <w:szCs w:val="16"/>
        </w:rPr>
        <w:t xml:space="preserve">   Soil Mechanics 2 · Surveying and Leveling 1</w:t>
      </w:r>
    </w:p>
    <w:p>
      <w:pPr>
        <w:spacing w:after="0" w:line="240"/>
        <w:jc w:val="left"/>
      </w:pPr>
      <w:r>
        <w:rPr>
          <w:rFonts w:ascii="Consolas" w:cs="Consolas" w:eastAsia="Consolas" w:hAnsi="Consolas"/>
          <w:sz w:val="16"/>
          <w:szCs w:val="16"/>
        </w:rPr>
        <w:t xml:space="preserve">   [Rotation pool: Watershed Management.]</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S5 · Irrigation &amp; Drainage Engineering (10)</w:t>
      </w:r>
    </w:p>
    <w:p>
      <w:pPr>
        <w:spacing w:after="0" w:line="240"/>
        <w:jc w:val="left"/>
      </w:pPr>
      <w:r>
        <w:rPr>
          <w:rFonts w:ascii="Consolas" w:cs="Consolas" w:eastAsia="Consolas" w:hAnsi="Consolas"/>
          <w:sz w:val="16"/>
          <w:szCs w:val="16"/>
        </w:rPr>
        <w:t xml:space="preserve">   Groundwater Hydrology 2 · Soil-Water-Plant Relationship 2 ·</w:t>
      </w:r>
    </w:p>
    <w:p>
      <w:pPr>
        <w:spacing w:after="0" w:line="240"/>
        <w:jc w:val="left"/>
      </w:pPr>
      <w:r>
        <w:rPr>
          <w:rFonts w:ascii="Consolas" w:cs="Consolas" w:eastAsia="Consolas" w:hAnsi="Consolas"/>
          <w:sz w:val="16"/>
          <w:szCs w:val="16"/>
        </w:rPr>
        <w:t xml:space="preserve">   Irrigation Water Conveyance and Application Methods 2 ·</w:t>
      </w:r>
    </w:p>
    <w:p>
      <w:pPr>
        <w:spacing w:after="0" w:line="240"/>
        <w:jc w:val="left"/>
      </w:pPr>
      <w:r>
        <w:rPr>
          <w:rFonts w:ascii="Consolas" w:cs="Consolas" w:eastAsia="Consolas" w:hAnsi="Consolas"/>
          <w:sz w:val="16"/>
          <w:szCs w:val="16"/>
        </w:rPr>
        <w:t xml:space="preserve">   Wells and Pumps 2 · Agricultural Drainage 2</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S6 · Agricultural Process Engineering (13)</w:t>
      </w:r>
    </w:p>
    <w:p>
      <w:pPr>
        <w:spacing w:after="0" w:line="240"/>
        <w:jc w:val="left"/>
      </w:pPr>
      <w:r>
        <w:rPr>
          <w:rFonts w:ascii="Consolas" w:cs="Consolas" w:eastAsia="Consolas" w:hAnsi="Consolas"/>
          <w:sz w:val="16"/>
          <w:szCs w:val="16"/>
        </w:rPr>
        <w:t xml:space="preserve">   Evaporation and Drying 5 · Size Reduction and Material Handling 4 ·</w:t>
      </w:r>
    </w:p>
    <w:p>
      <w:pPr>
        <w:spacing w:after="0" w:line="240"/>
        <w:jc w:val="left"/>
      </w:pPr>
      <w:r>
        <w:rPr>
          <w:rFonts w:ascii="Consolas" w:cs="Consolas" w:eastAsia="Consolas" w:hAnsi="Consolas"/>
          <w:sz w:val="16"/>
          <w:szCs w:val="16"/>
        </w:rPr>
        <w:t xml:space="preserve">   Engineering properties of agricultural produce 2 ·</w:t>
      </w:r>
    </w:p>
    <w:p>
      <w:pPr>
        <w:spacing w:after="0" w:line="240"/>
        <w:jc w:val="left"/>
      </w:pPr>
      <w:r>
        <w:rPr>
          <w:rFonts w:ascii="Consolas" w:cs="Consolas" w:eastAsia="Consolas" w:hAnsi="Consolas"/>
          <w:sz w:val="16"/>
          <w:szCs w:val="16"/>
        </w:rPr>
        <w:t xml:space="preserve">   Storage Systems 2</w:t>
      </w:r>
    </w:p>
    <w:p>
      <w:pPr>
        <w:spacing w:after="0" w:line="240"/>
        <w:jc w:val="left"/>
      </w:pPr>
      <w:r>
        <w:rPr>
          <w:rFonts w:ascii="Consolas" w:cs="Consolas" w:eastAsia="Consolas" w:hAnsi="Consolas"/>
          <w:sz w:val="16"/>
          <w:szCs w:val="16"/>
        </w:rPr>
        <w:t xml:space="preserve">   [Rotation pool: Processing of Agriculture Produce.]</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S7 · Dairy &amp; Food Engineering (8)</w:t>
      </w:r>
    </w:p>
    <w:p>
      <w:pPr>
        <w:spacing w:after="0" w:line="240"/>
        <w:jc w:val="left"/>
      </w:pPr>
      <w:r>
        <w:rPr>
          <w:rFonts w:ascii="Consolas" w:cs="Consolas" w:eastAsia="Consolas" w:hAnsi="Consolas"/>
          <w:sz w:val="16"/>
          <w:szCs w:val="16"/>
        </w:rPr>
        <w:t xml:space="preserve">   Heat and Mass Transfer 4 · Preservation of Food 4</w:t>
      </w:r>
    </w:p>
    <w:p>
      <w:pPr>
        <w:spacing w:after="0" w:line="240"/>
        <w:jc w:val="left"/>
      </w:pPr>
      <w:r>
        <w:rPr>
          <w:rFonts w:ascii="Consolas" w:cs="Consolas" w:eastAsia="Consolas" w:hAnsi="Consolas"/>
          <w:sz w:val="16"/>
          <w:szCs w:val="16"/>
        </w:rPr>
        <w:t xml:space="preserve">   [Rotation pool: Unit Operations in Dairy and Food Engineering.]</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GA · General Aptitude (15)</w:t>
      </w:r>
    </w:p>
    <w:p>
      <w:pPr>
        <w:spacing w:after="0" w:line="240"/>
        <w:jc w:val="left"/>
      </w:pPr>
      <w:r>
        <w:rPr>
          <w:rFonts w:ascii="Consolas" w:cs="Consolas" w:eastAsia="Consolas" w:hAnsi="Consolas"/>
          <w:sz w:val="16"/>
          <w:szCs w:val="16"/>
        </w:rPr>
        <w:t xml:space="preserve">   Quantitative Aptitude 6 · Verbal Aptitude 3 ·</w:t>
      </w:r>
    </w:p>
    <w:p>
      <w:pPr>
        <w:spacing w:after="0" w:line="240"/>
        <w:jc w:val="left"/>
      </w:pPr>
      <w:r>
        <w:rPr>
          <w:rFonts w:ascii="Consolas" w:cs="Consolas" w:eastAsia="Consolas" w:hAnsi="Consolas"/>
          <w:sz w:val="16"/>
          <w:szCs w:val="16"/>
        </w:rPr>
        <w:t xml:space="preserve">   Analytical Aptitude 3 · Spatial Aptitude 2 ·</w:t>
      </w:r>
    </w:p>
    <w:p>
      <w:pPr>
        <w:spacing w:after="0" w:line="240"/>
        <w:jc w:val="left"/>
      </w:pPr>
      <w:r>
        <w:rPr>
          <w:rFonts w:ascii="Consolas" w:cs="Consolas" w:eastAsia="Consolas" w:hAnsi="Consolas"/>
          <w:sz w:val="16"/>
          <w:szCs w:val="16"/>
        </w:rPr>
        <w:t xml:space="preserve">   Data interpretation (chart/table) 1</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5. ORIGINALITY REQUIREMENT</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 No question may be an exact or near-exact reproduction of any question</w:t>
      </w:r>
    </w:p>
    <w:p>
      <w:pPr>
        <w:spacing w:after="0" w:line="240"/>
        <w:jc w:val="left"/>
      </w:pPr>
      <w:r>
        <w:rPr>
          <w:rFonts w:ascii="Consolas" w:cs="Consolas" w:eastAsia="Consolas" w:hAnsi="Consolas"/>
          <w:sz w:val="16"/>
          <w:szCs w:val="16"/>
        </w:rPr>
        <w:t xml:space="preserve">  from any past GATE AG paper (2007–2026) or from any coaching test</w:t>
      </w:r>
    </w:p>
    <w:p>
      <w:pPr>
        <w:spacing w:after="0" w:line="240"/>
        <w:jc w:val="left"/>
      </w:pPr>
      <w:r>
        <w:rPr>
          <w:rFonts w:ascii="Consolas" w:cs="Consolas" w:eastAsia="Consolas" w:hAnsi="Consolas"/>
          <w:sz w:val="16"/>
          <w:szCs w:val="16"/>
        </w:rPr>
        <w:t xml:space="preserve">  series.</w:t>
      </w:r>
    </w:p>
    <w:p>
      <w:pPr>
        <w:spacing w:after="0" w:line="240"/>
        <w:jc w:val="left"/>
      </w:pPr>
      <w:r>
        <w:rPr>
          <w:rFonts w:ascii="Consolas" w:cs="Consolas" w:eastAsia="Consolas" w:hAnsi="Consolas"/>
          <w:sz w:val="16"/>
          <w:szCs w:val="16"/>
        </w:rPr>
        <w:t xml:space="preserve">• Similarity of CONCEPT is expected and desirable — the same standard</w:t>
      </w:r>
    </w:p>
    <w:p>
      <w:pPr>
        <w:spacing w:after="0" w:line="240"/>
        <w:jc w:val="left"/>
      </w:pPr>
      <w:r>
        <w:rPr>
          <w:rFonts w:ascii="Consolas" w:cs="Consolas" w:eastAsia="Consolas" w:hAnsi="Consolas"/>
          <w:sz w:val="16"/>
          <w:szCs w:val="16"/>
        </w:rPr>
        <w:t xml:space="preserve">  formulae, the same physical situations, the same solution methods.</w:t>
      </w:r>
    </w:p>
    <w:p>
      <w:pPr>
        <w:spacing w:after="0" w:line="240"/>
        <w:jc w:val="left"/>
      </w:pPr>
      <w:r>
        <w:rPr>
          <w:rFonts w:ascii="Consolas" w:cs="Consolas" w:eastAsia="Consolas" w:hAnsi="Consolas"/>
          <w:sz w:val="16"/>
          <w:szCs w:val="16"/>
        </w:rPr>
        <w:t xml:space="preserve">  What must differ is the specific numerical data, the framing of the</w:t>
      </w:r>
    </w:p>
    <w:p>
      <w:pPr>
        <w:spacing w:after="0" w:line="240"/>
        <w:jc w:val="left"/>
      </w:pPr>
      <w:r>
        <w:rPr>
          <w:rFonts w:ascii="Consolas" w:cs="Consolas" w:eastAsia="Consolas" w:hAnsi="Consolas"/>
          <w:sz w:val="16"/>
          <w:szCs w:val="16"/>
        </w:rPr>
        <w:t xml:space="preserve">  scenario, the quantity being asked for, and the answer.</w:t>
      </w:r>
    </w:p>
    <w:p>
      <w:pPr>
        <w:spacing w:after="0" w:line="240"/>
        <w:jc w:val="left"/>
      </w:pPr>
      <w:r>
        <w:rPr>
          <w:rFonts w:ascii="Consolas" w:cs="Consolas" w:eastAsia="Consolas" w:hAnsi="Consolas"/>
          <w:sz w:val="16"/>
          <w:szCs w:val="16"/>
        </w:rPr>
        <w:t xml:space="preserve">• Practical rule: if a past question asked for draft given speed and</w:t>
      </w:r>
    </w:p>
    <w:p>
      <w:pPr>
        <w:spacing w:after="0" w:line="240"/>
        <w:jc w:val="left"/>
      </w:pPr>
      <w:r>
        <w:rPr>
          <w:rFonts w:ascii="Consolas" w:cs="Consolas" w:eastAsia="Consolas" w:hAnsi="Consolas"/>
          <w:sz w:val="16"/>
          <w:szCs w:val="16"/>
        </w:rPr>
        <w:t xml:space="preserve">  power, ask for drawbar power given draft and slip; if a past question</w:t>
      </w:r>
    </w:p>
    <w:p>
      <w:pPr>
        <w:spacing w:after="0" w:line="240"/>
        <w:jc w:val="left"/>
      </w:pPr>
      <w:r>
        <w:rPr>
          <w:rFonts w:ascii="Consolas" w:cs="Consolas" w:eastAsia="Consolas" w:hAnsi="Consolas"/>
          <w:sz w:val="16"/>
          <w:szCs w:val="16"/>
        </w:rPr>
        <w:t xml:space="preserve">  gave the wheel diameter, give the rolling radius. Invert the unknown,</w:t>
      </w:r>
    </w:p>
    <w:p>
      <w:pPr>
        <w:spacing w:after="0" w:line="240"/>
        <w:jc w:val="left"/>
      </w:pPr>
      <w:r>
        <w:rPr>
          <w:rFonts w:ascii="Consolas" w:cs="Consolas" w:eastAsia="Consolas" w:hAnsi="Consolas"/>
          <w:sz w:val="16"/>
          <w:szCs w:val="16"/>
        </w:rPr>
        <w:t xml:space="preserve">  change the crop/machine/fluid, and re-pick every number.</w:t>
      </w:r>
    </w:p>
    <w:p>
      <w:pPr>
        <w:spacing w:after="0" w:line="240"/>
        <w:jc w:val="left"/>
      </w:pPr>
      <w:r>
        <w:rPr>
          <w:rFonts w:ascii="Consolas" w:cs="Consolas" w:eastAsia="Consolas" w:hAnsi="Consolas"/>
          <w:sz w:val="16"/>
          <w:szCs w:val="16"/>
        </w:rPr>
        <w:t xml:space="preserve">• Never reuse a past question's exact option set.</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6. DIFFICULTY CALIBRATION — SLIGHTLY HARDER THAN THE ACTUAL PAPER</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Pitch the paper one notch above the real exam, but never beyond syllabus</w:t>
      </w:r>
    </w:p>
    <w:p>
      <w:pPr>
        <w:spacing w:after="0" w:line="240"/>
        <w:jc w:val="left"/>
      </w:pPr>
      <w:r>
        <w:rPr>
          <w:rFonts w:ascii="Consolas" w:cs="Consolas" w:eastAsia="Consolas" w:hAnsi="Consolas"/>
          <w:sz w:val="16"/>
          <w:szCs w:val="16"/>
        </w:rPr>
        <w:t xml:space="preserve">scope. Achieve this by:</w:t>
      </w:r>
    </w:p>
    <w:p>
      <w:pPr>
        <w:spacing w:after="0" w:line="240"/>
        <w:jc w:val="left"/>
      </w:pPr>
      <w:r>
        <w:rPr>
          <w:rFonts w:ascii="Consolas" w:cs="Consolas" w:eastAsia="Consolas" w:hAnsi="Consolas"/>
          <w:sz w:val="16"/>
          <w:szCs w:val="16"/>
        </w:rPr>
        <w:t xml:space="preserve">• Making roughly 1 in 4 two-mark NAT questions a TWO-STEP problem — the</w:t>
      </w:r>
    </w:p>
    <w:p>
      <w:pPr>
        <w:spacing w:after="0" w:line="240"/>
        <w:jc w:val="left"/>
      </w:pPr>
      <w:r>
        <w:rPr>
          <w:rFonts w:ascii="Consolas" w:cs="Consolas" w:eastAsia="Consolas" w:hAnsi="Consolas"/>
          <w:sz w:val="16"/>
          <w:szCs w:val="16"/>
        </w:rPr>
        <w:t xml:space="preserve">  output of one standard formula feeds the input of a second.</w:t>
      </w:r>
    </w:p>
    <w:p>
      <w:pPr>
        <w:spacing w:after="0" w:line="240"/>
        <w:jc w:val="left"/>
      </w:pPr>
      <w:r>
        <w:rPr>
          <w:rFonts w:ascii="Consolas" w:cs="Consolas" w:eastAsia="Consolas" w:hAnsi="Consolas"/>
          <w:sz w:val="16"/>
          <w:szCs w:val="16"/>
        </w:rPr>
        <w:t xml:space="preserve">• Requiring at least one unit conversion in about half of the NAT items</w:t>
      </w:r>
    </w:p>
    <w:p>
      <w:pPr>
        <w:spacing w:after="0" w:line="240"/>
        <w:jc w:val="left"/>
      </w:pPr>
      <w:r>
        <w:rPr>
          <w:rFonts w:ascii="Consolas" w:cs="Consolas" w:eastAsia="Consolas" w:hAnsi="Consolas"/>
          <w:sz w:val="16"/>
          <w:szCs w:val="16"/>
        </w:rPr>
        <w:t xml:space="preserve">  (kg/ha ↔ g/m², kW ↔ hp, mm/h ↔ m/s, kJ/kg ↔ kcal/kg, lpm ↔ m³/s).</w:t>
      </w:r>
    </w:p>
    <w:p>
      <w:pPr>
        <w:spacing w:after="0" w:line="240"/>
        <w:jc w:val="left"/>
      </w:pPr>
      <w:r>
        <w:rPr>
          <w:rFonts w:ascii="Consolas" w:cs="Consolas" w:eastAsia="Consolas" w:hAnsi="Consolas"/>
          <w:sz w:val="16"/>
          <w:szCs w:val="16"/>
        </w:rPr>
        <w:t xml:space="preserve">• Writing MCQ distractors that are the results of specific, plausible</w:t>
      </w:r>
    </w:p>
    <w:p>
      <w:pPr>
        <w:spacing w:after="0" w:line="240"/>
        <w:jc w:val="left"/>
      </w:pPr>
      <w:r>
        <w:rPr>
          <w:rFonts w:ascii="Consolas" w:cs="Consolas" w:eastAsia="Consolas" w:hAnsi="Consolas"/>
          <w:sz w:val="16"/>
          <w:szCs w:val="16"/>
        </w:rPr>
        <w:t xml:space="preserve">  errors — a forgotten efficiency factor, a radius/diameter slip, a</w:t>
      </w:r>
    </w:p>
    <w:p>
      <w:pPr>
        <w:spacing w:after="0" w:line="240"/>
        <w:jc w:val="left"/>
      </w:pPr>
      <w:r>
        <w:rPr>
          <w:rFonts w:ascii="Consolas" w:cs="Consolas" w:eastAsia="Consolas" w:hAnsi="Consolas"/>
          <w:sz w:val="16"/>
          <w:szCs w:val="16"/>
        </w:rPr>
        <w:t xml:space="preserve">  Celsius/Kelvin slip, a per-hectare/per-row slip — never random numbers.</w:t>
      </w:r>
    </w:p>
    <w:p>
      <w:pPr>
        <w:spacing w:after="0" w:line="240"/>
        <w:jc w:val="left"/>
      </w:pPr>
      <w:r>
        <w:rPr>
          <w:rFonts w:ascii="Consolas" w:cs="Consolas" w:eastAsia="Consolas" w:hAnsi="Consolas"/>
          <w:sz w:val="16"/>
          <w:szCs w:val="16"/>
        </w:rPr>
        <w:t xml:space="preserve">• Including 2–3 "assertion-style" or "which of the following is/are</w:t>
      </w:r>
    </w:p>
    <w:p>
      <w:pPr>
        <w:spacing w:after="0" w:line="240"/>
        <w:jc w:val="left"/>
      </w:pPr>
      <w:r>
        <w:rPr>
          <w:rFonts w:ascii="Consolas" w:cs="Consolas" w:eastAsia="Consolas" w:hAnsi="Consolas"/>
          <w:sz w:val="16"/>
          <w:szCs w:val="16"/>
        </w:rPr>
        <w:t xml:space="preserve">  correct" conceptual items where superficial recall is insufficient.</w:t>
      </w:r>
    </w:p>
    <w:p>
      <w:pPr>
        <w:spacing w:after="0" w:line="240"/>
        <w:jc w:val="left"/>
      </w:pPr>
      <w:r>
        <w:rPr>
          <w:rFonts w:ascii="Consolas" w:cs="Consolas" w:eastAsia="Consolas" w:hAnsi="Consolas"/>
          <w:sz w:val="16"/>
          <w:szCs w:val="16"/>
        </w:rPr>
        <w:t xml:space="preserve">• Keeping every question solvable within about 3 minutes by a</w:t>
      </w:r>
    </w:p>
    <w:p>
      <w:pPr>
        <w:spacing w:after="0" w:line="240"/>
        <w:jc w:val="left"/>
      </w:pPr>
      <w:r>
        <w:rPr>
          <w:rFonts w:ascii="Consolas" w:cs="Consolas" w:eastAsia="Consolas" w:hAnsi="Consolas"/>
          <w:sz w:val="16"/>
          <w:szCs w:val="16"/>
        </w:rPr>
        <w:t xml:space="preserve">  well-prepared candidate. Do NOT create problems requiring iteration,</w:t>
      </w:r>
    </w:p>
    <w:p>
      <w:pPr>
        <w:spacing w:after="0" w:line="240"/>
        <w:jc w:val="left"/>
      </w:pPr>
      <w:r>
        <w:rPr>
          <w:rFonts w:ascii="Consolas" w:cs="Consolas" w:eastAsia="Consolas" w:hAnsi="Consolas"/>
          <w:sz w:val="16"/>
          <w:szCs w:val="16"/>
        </w:rPr>
        <w:t xml:space="preserve">  trial-and-error root finding, or data not supplied in the question.</w:t>
      </w:r>
    </w:p>
    <w:p>
      <w:pPr>
        <w:spacing w:after="0" w:line="240"/>
        <w:jc w:val="left"/>
      </w:pPr>
      <w:r>
        <w:rPr>
          <w:rFonts w:ascii="Consolas" w:cs="Consolas" w:eastAsia="Consolas" w:hAnsi="Consolas"/>
          <w:sz w:val="16"/>
          <w:szCs w:val="16"/>
        </w:rPr>
        <w:t xml:space="preserve">• Do not raise difficulty by making questions ambiguous or by hiding</w:t>
      </w:r>
    </w:p>
    <w:p>
      <w:pPr>
        <w:spacing w:after="0" w:line="240"/>
        <w:jc w:val="left"/>
      </w:pPr>
      <w:r>
        <w:rPr>
          <w:rFonts w:ascii="Consolas" w:cs="Consolas" w:eastAsia="Consolas" w:hAnsi="Consolas"/>
          <w:sz w:val="16"/>
          <w:szCs w:val="16"/>
        </w:rPr>
        <w:t xml:space="preserve">  required data. Every question must be fully determinate.</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7. QUESTION-WRITING STANDARDS</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 Use SI units throughout. State every given quantity with its unit.</w:t>
      </w:r>
    </w:p>
    <w:p>
      <w:pPr>
        <w:spacing w:after="0" w:line="240"/>
        <w:jc w:val="left"/>
      </w:pPr>
      <w:r>
        <w:rPr>
          <w:rFonts w:ascii="Consolas" w:cs="Consolas" w:eastAsia="Consolas" w:hAnsi="Consolas"/>
          <w:sz w:val="16"/>
          <w:szCs w:val="16"/>
        </w:rPr>
        <w:t xml:space="preserve">• Supply every constant the candidate needs (specific heat, latent heat,</w:t>
      </w:r>
    </w:p>
    <w:p>
      <w:pPr>
        <w:spacing w:after="0" w:line="240"/>
        <w:jc w:val="left"/>
      </w:pPr>
      <w:r>
        <w:rPr>
          <w:rFonts w:ascii="Consolas" w:cs="Consolas" w:eastAsia="Consolas" w:hAnsi="Consolas"/>
          <w:sz w:val="16"/>
          <w:szCs w:val="16"/>
        </w:rPr>
        <w:t xml:space="preserve">  density, gravitational acceleration, k values, etc.) inside the</w:t>
      </w:r>
    </w:p>
    <w:p>
      <w:pPr>
        <w:spacing w:after="0" w:line="240"/>
        <w:jc w:val="left"/>
      </w:pPr>
      <w:r>
        <w:rPr>
          <w:rFonts w:ascii="Consolas" w:cs="Consolas" w:eastAsia="Consolas" w:hAnsi="Consolas"/>
          <w:sz w:val="16"/>
          <w:szCs w:val="16"/>
        </w:rPr>
        <w:t xml:space="preserve">  question. Assume no data book.</w:t>
      </w:r>
    </w:p>
    <w:p>
      <w:pPr>
        <w:spacing w:after="0" w:line="240"/>
        <w:jc w:val="left"/>
      </w:pPr>
      <w:r>
        <w:rPr>
          <w:rFonts w:ascii="Consolas" w:cs="Consolas" w:eastAsia="Consolas" w:hAnsi="Consolas"/>
          <w:sz w:val="16"/>
          <w:szCs w:val="16"/>
        </w:rPr>
        <w:t xml:space="preserve">• For NAT items, ensure the answer is a clean, verifiable number and</w:t>
      </w:r>
    </w:p>
    <w:p>
      <w:pPr>
        <w:spacing w:after="0" w:line="240"/>
        <w:jc w:val="left"/>
      </w:pPr>
      <w:r>
        <w:rPr>
          <w:rFonts w:ascii="Consolas" w:cs="Consolas" w:eastAsia="Consolas" w:hAnsi="Consolas"/>
          <w:sz w:val="16"/>
          <w:szCs w:val="16"/>
        </w:rPr>
        <w:t xml:space="preserve">  state the tolerance band the way GATE does, e.g.</w:t>
      </w:r>
    </w:p>
    <w:p>
      <w:pPr>
        <w:spacing w:after="0" w:line="240"/>
        <w:jc w:val="left"/>
      </w:pPr>
      <w:r>
        <w:rPr>
          <w:rFonts w:ascii="Consolas" w:cs="Consolas" w:eastAsia="Consolas" w:hAnsi="Consolas"/>
          <w:sz w:val="16"/>
          <w:szCs w:val="16"/>
        </w:rPr>
        <w:t xml:space="preserve">  "Answer: 12.40 to 12.60".</w:t>
      </w:r>
    </w:p>
    <w:p>
      <w:pPr>
        <w:spacing w:after="0" w:line="240"/>
        <w:jc w:val="left"/>
      </w:pPr>
      <w:r>
        <w:rPr>
          <w:rFonts w:ascii="Consolas" w:cs="Consolas" w:eastAsia="Consolas" w:hAnsi="Consolas"/>
          <w:sz w:val="16"/>
          <w:szCs w:val="16"/>
        </w:rPr>
        <w:t xml:space="preserve">• Where the original exam would print a figure (tillage tool force</w:t>
      </w:r>
    </w:p>
    <w:p>
      <w:pPr>
        <w:spacing w:after="0" w:line="240"/>
        <w:jc w:val="left"/>
      </w:pPr>
      <w:r>
        <w:rPr>
          <w:rFonts w:ascii="Consolas" w:cs="Consolas" w:eastAsia="Consolas" w:hAnsi="Consolas"/>
          <w:sz w:val="16"/>
          <w:szCs w:val="16"/>
        </w:rPr>
        <w:t xml:space="preserve">  diagram, hydrograph, gear train, psychrometric point, hydraulic</w:t>
      </w:r>
    </w:p>
    <w:p>
      <w:pPr>
        <w:spacing w:after="0" w:line="240"/>
        <w:jc w:val="left"/>
      </w:pPr>
      <w:r>
        <w:rPr>
          <w:rFonts w:ascii="Consolas" w:cs="Consolas" w:eastAsia="Consolas" w:hAnsi="Consolas"/>
          <w:sz w:val="16"/>
          <w:szCs w:val="16"/>
        </w:rPr>
        <w:t xml:space="preserve">  structure, dot/figure series in GA), describe the figure precisely in</w:t>
      </w:r>
    </w:p>
    <w:p>
      <w:pPr>
        <w:spacing w:after="0" w:line="240"/>
        <w:jc w:val="left"/>
      </w:pPr>
      <w:r>
        <w:rPr>
          <w:rFonts w:ascii="Consolas" w:cs="Consolas" w:eastAsia="Consolas" w:hAnsi="Consolas"/>
          <w:sz w:val="16"/>
          <w:szCs w:val="16"/>
        </w:rPr>
        <w:t xml:space="preserve">  words AND supply all dimensions numerically, so the question is</w:t>
      </w:r>
    </w:p>
    <w:p>
      <w:pPr>
        <w:spacing w:after="0" w:line="240"/>
        <w:jc w:val="left"/>
      </w:pPr>
      <w:r>
        <w:rPr>
          <w:rFonts w:ascii="Consolas" w:cs="Consolas" w:eastAsia="Consolas" w:hAnsi="Consolas"/>
          <w:sz w:val="16"/>
          <w:szCs w:val="16"/>
        </w:rPr>
        <w:t xml:space="preserve">  solvable without the drawing. Add a bracketed note:</w:t>
      </w:r>
    </w:p>
    <w:p>
      <w:pPr>
        <w:spacing w:after="0" w:line="240"/>
        <w:jc w:val="left"/>
      </w:pPr>
      <w:r>
        <w:rPr>
          <w:rFonts w:ascii="Consolas" w:cs="Consolas" w:eastAsia="Consolas" w:hAnsi="Consolas"/>
          <w:sz w:val="16"/>
          <w:szCs w:val="16"/>
        </w:rPr>
        <w:t xml:space="preserve">  [Figure description: …]</w:t>
      </w:r>
    </w:p>
    <w:p>
      <w:pPr>
        <w:spacing w:after="0" w:line="240"/>
        <w:jc w:val="left"/>
      </w:pPr>
      <w:r>
        <w:rPr>
          <w:rFonts w:ascii="Consolas" w:cs="Consolas" w:eastAsia="Consolas" w:hAnsi="Consolas"/>
          <w:sz w:val="16"/>
          <w:szCs w:val="16"/>
        </w:rPr>
        <w:t xml:space="preserve">• Indian agricultural context is expected: crops, machinery and units in</w:t>
      </w:r>
    </w:p>
    <w:p>
      <w:pPr>
        <w:spacing w:after="0" w:line="240"/>
        <w:jc w:val="left"/>
      </w:pPr>
      <w:r>
        <w:rPr>
          <w:rFonts w:ascii="Consolas" w:cs="Consolas" w:eastAsia="Consolas" w:hAnsi="Consolas"/>
          <w:sz w:val="16"/>
          <w:szCs w:val="16"/>
        </w:rPr>
        <w:t xml:space="preserve">  common Indian use (hectare, quintal, mm of rainfall, kW tractors).</w:t>
      </w:r>
    </w:p>
    <w:p>
      <w:pPr>
        <w:spacing w:after="0" w:line="240"/>
        <w:jc w:val="left"/>
      </w:pPr>
      <w:r>
        <w:rPr>
          <w:rFonts w:ascii="Consolas" w:cs="Consolas" w:eastAsia="Consolas" w:hAnsi="Consolas"/>
          <w:sz w:val="16"/>
          <w:szCs w:val="16"/>
        </w:rPr>
        <w:t xml:space="preserve">• Every question must be independently solvable; no question may depend</w:t>
      </w:r>
    </w:p>
    <w:p>
      <w:pPr>
        <w:spacing w:after="0" w:line="240"/>
        <w:jc w:val="left"/>
      </w:pPr>
      <w:r>
        <w:rPr>
          <w:rFonts w:ascii="Consolas" w:cs="Consolas" w:eastAsia="Consolas" w:hAnsi="Consolas"/>
          <w:sz w:val="16"/>
          <w:szCs w:val="16"/>
        </w:rPr>
        <w:t xml:space="preserve">  on the answer to another.</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8. REQUIRED OUTPUT — ONE DOCX FILE</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Produce a single DOCX containing, in this order:</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  (a) COVER PAGE — title "GATE 2027 — Agricultural Engineering (AG) —</w:t>
      </w:r>
    </w:p>
    <w:p>
      <w:pPr>
        <w:spacing w:after="0" w:line="240"/>
        <w:jc w:val="left"/>
      </w:pPr>
      <w:r>
        <w:rPr>
          <w:rFonts w:ascii="Consolas" w:cs="Consolas" w:eastAsia="Consolas" w:hAnsi="Consolas"/>
          <w:sz w:val="16"/>
          <w:szCs w:val="16"/>
        </w:rPr>
        <w:t xml:space="preserve">      Full-Length Mock Paper", paper code, duration, maximum marks,</w:t>
      </w:r>
    </w:p>
    <w:p>
      <w:pPr>
        <w:spacing w:after="0" w:line="240"/>
        <w:jc w:val="left"/>
      </w:pPr>
      <w:r>
        <w:rPr>
          <w:rFonts w:ascii="Consolas" w:cs="Consolas" w:eastAsia="Consolas" w:hAnsi="Consolas"/>
          <w:sz w:val="16"/>
          <w:szCs w:val="16"/>
        </w:rPr>
        <w:t xml:space="preserve">      total questions, and a short instructions block reproducing the</w:t>
      </w:r>
    </w:p>
    <w:p>
      <w:pPr>
        <w:spacing w:after="0" w:line="240"/>
        <w:jc w:val="left"/>
      </w:pPr>
      <w:r>
        <w:rPr>
          <w:rFonts w:ascii="Consolas" w:cs="Consolas" w:eastAsia="Consolas" w:hAnsi="Consolas"/>
          <w:sz w:val="16"/>
          <w:szCs w:val="16"/>
        </w:rPr>
        <w:t xml:space="preserve">      GATE marking scheme.</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  (b) THE QUESTION PAPER — Q.1 to Q.65 in serial order, exactly as a</w:t>
      </w:r>
    </w:p>
    <w:p>
      <w:pPr>
        <w:spacing w:after="0" w:line="240"/>
        <w:jc w:val="left"/>
      </w:pPr>
      <w:r>
        <w:rPr>
          <w:rFonts w:ascii="Consolas" w:cs="Consolas" w:eastAsia="Consolas" w:hAnsi="Consolas"/>
          <w:sz w:val="16"/>
          <w:szCs w:val="16"/>
        </w:rPr>
        <w:t xml:space="preserve">      candidate would see it: question number, marks, question type tag,</w:t>
      </w:r>
    </w:p>
    <w:p>
      <w:pPr>
        <w:spacing w:after="0" w:line="240"/>
        <w:jc w:val="left"/>
      </w:pPr>
      <w:r>
        <w:rPr>
          <w:rFonts w:ascii="Consolas" w:cs="Consolas" w:eastAsia="Consolas" w:hAnsi="Consolas"/>
          <w:sz w:val="16"/>
          <w:szCs w:val="16"/>
        </w:rPr>
        <w:t xml:space="preserve">      question statement, and options where applicable. No answers,</w:t>
      </w:r>
    </w:p>
    <w:p>
      <w:pPr>
        <w:spacing w:after="0" w:line="240"/>
        <w:jc w:val="left"/>
      </w:pPr>
      <w:r>
        <w:rPr>
          <w:rFonts w:ascii="Consolas" w:cs="Consolas" w:eastAsia="Consolas" w:hAnsi="Consolas"/>
          <w:sz w:val="16"/>
          <w:szCs w:val="16"/>
        </w:rPr>
        <w:t xml:space="preserve">      no hints, no topic labels in this part.</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  (c) ANSWER KEY TABLE — a compact table with columns:</w:t>
      </w:r>
    </w:p>
    <w:p>
      <w:pPr>
        <w:spacing w:after="0" w:line="240"/>
        <w:jc w:val="left"/>
      </w:pPr>
      <w:r>
        <w:rPr>
          <w:rFonts w:ascii="Consolas" w:cs="Consolas" w:eastAsia="Consolas" w:hAnsi="Consolas"/>
          <w:sz w:val="16"/>
          <w:szCs w:val="16"/>
        </w:rPr>
        <w:t xml:space="preserve">      Q.No. | Section | Sub-topic (official syllabus wording) | Type |</w:t>
      </w:r>
    </w:p>
    <w:p>
      <w:pPr>
        <w:spacing w:after="0" w:line="240"/>
        <w:jc w:val="left"/>
      </w:pPr>
      <w:r>
        <w:rPr>
          <w:rFonts w:ascii="Consolas" w:cs="Consolas" w:eastAsia="Consolas" w:hAnsi="Consolas"/>
          <w:sz w:val="16"/>
          <w:szCs w:val="16"/>
        </w:rPr>
        <w:t xml:space="preserve">      Marks | Answer (option letter(s) or NAT range).</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  (d) DETAILED SOLUTIONS — Q.1 to Q.65, each as a block:</w:t>
      </w:r>
    </w:p>
    <w:p>
      <w:pPr>
        <w:spacing w:after="0" w:line="240"/>
        <w:jc w:val="left"/>
      </w:pPr>
      <w:r>
        <w:rPr>
          <w:rFonts w:ascii="Consolas" w:cs="Consolas" w:eastAsia="Consolas" w:hAnsi="Consolas"/>
          <w:sz w:val="16"/>
          <w:szCs w:val="16"/>
        </w:rPr>
        <w:t xml:space="preserve">        Q.No. · Section · Topic (official syllabus wording) ·</w:t>
      </w:r>
    </w:p>
    <w:p>
      <w:pPr>
        <w:spacing w:after="0" w:line="240"/>
        <w:jc w:val="left"/>
      </w:pPr>
      <w:r>
        <w:rPr>
          <w:rFonts w:ascii="Consolas" w:cs="Consolas" w:eastAsia="Consolas" w:hAnsi="Consolas"/>
          <w:sz w:val="16"/>
          <w:szCs w:val="16"/>
        </w:rPr>
        <w:t xml:space="preserve">        Type &amp; Marks · Question statement (repeated in full) ·</w:t>
      </w:r>
    </w:p>
    <w:p>
      <w:pPr>
        <w:spacing w:after="0" w:line="240"/>
        <w:jc w:val="left"/>
      </w:pPr>
      <w:r>
        <w:rPr>
          <w:rFonts w:ascii="Consolas" w:cs="Consolas" w:eastAsia="Consolas" w:hAnsi="Consolas"/>
          <w:sz w:val="16"/>
          <w:szCs w:val="16"/>
        </w:rPr>
        <w:t xml:space="preserve">        Answer · Detailed Explanation.</w:t>
      </w:r>
    </w:p>
    <w:p>
      <w:pPr>
        <w:spacing w:after="0" w:line="240"/>
        <w:jc w:val="left"/>
      </w:pPr>
      <w:r>
        <w:rPr>
          <w:rFonts w:ascii="Consolas" w:cs="Consolas" w:eastAsia="Consolas" w:hAnsi="Consolas"/>
          <w:sz w:val="16"/>
          <w:szCs w:val="16"/>
        </w:rPr>
        <w:t xml:space="preserve">      Each explanation must show the governing formula, substitution of</w:t>
      </w:r>
    </w:p>
    <w:p>
      <w:pPr>
        <w:spacing w:after="0" w:line="240"/>
        <w:jc w:val="left"/>
      </w:pPr>
      <w:r>
        <w:rPr>
          <w:rFonts w:ascii="Consolas" w:cs="Consolas" w:eastAsia="Consolas" w:hAnsi="Consolas"/>
          <w:sz w:val="16"/>
          <w:szCs w:val="16"/>
        </w:rPr>
        <w:t xml:space="preserve">      values with units, the arithmetic, and the final answer with unit.</w:t>
      </w:r>
    </w:p>
    <w:p>
      <w:pPr>
        <w:spacing w:after="0" w:line="240"/>
        <w:jc w:val="left"/>
      </w:pPr>
      <w:r>
        <w:rPr>
          <w:rFonts w:ascii="Consolas" w:cs="Consolas" w:eastAsia="Consolas" w:hAnsi="Consolas"/>
          <w:sz w:val="16"/>
          <w:szCs w:val="16"/>
        </w:rPr>
        <w:t xml:space="preserve">      For MCQs, additionally state in one line why each wrong option is</w:t>
      </w:r>
    </w:p>
    <w:p>
      <w:pPr>
        <w:spacing w:after="0" w:line="240"/>
        <w:jc w:val="left"/>
      </w:pPr>
      <w:r>
        <w:rPr>
          <w:rFonts w:ascii="Consolas" w:cs="Consolas" w:eastAsia="Consolas" w:hAnsi="Consolas"/>
          <w:sz w:val="16"/>
          <w:szCs w:val="16"/>
        </w:rPr>
        <w:t xml:space="preserve">      wrong. For MSQs, justify the status of all four options.</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  (e) BLUEPRINT VERIFICATION TABLE — section × marks × question-type</w:t>
      </w:r>
    </w:p>
    <w:p>
      <w:pPr>
        <w:spacing w:after="0" w:line="240"/>
        <w:jc w:val="left"/>
      </w:pPr>
      <w:r>
        <w:rPr>
          <w:rFonts w:ascii="Consolas" w:cs="Consolas" w:eastAsia="Consolas" w:hAnsi="Consolas"/>
          <w:sz w:val="16"/>
          <w:szCs w:val="16"/>
        </w:rPr>
        <w:t xml:space="preserve">      counts for the paper you actually produced, so the blueprint in</w:t>
      </w:r>
    </w:p>
    <w:p>
      <w:pPr>
        <w:spacing w:after="0" w:line="240"/>
        <w:jc w:val="left"/>
      </w:pPr>
      <w:r>
        <w:rPr>
          <w:rFonts w:ascii="Consolas" w:cs="Consolas" w:eastAsia="Consolas" w:hAnsi="Consolas"/>
          <w:sz w:val="16"/>
          <w:szCs w:val="16"/>
        </w:rPr>
        <w:t xml:space="preserve">      §2–§4 can be checked at a glance.</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Formatting: A4, clear heading hierarchy, numbered questions, tables with</w:t>
      </w:r>
    </w:p>
    <w:p>
      <w:pPr>
        <w:spacing w:after="0" w:line="240"/>
        <w:jc w:val="left"/>
      </w:pPr>
      <w:r>
        <w:rPr>
          <w:rFonts w:ascii="Consolas" w:cs="Consolas" w:eastAsia="Consolas" w:hAnsi="Consolas"/>
          <w:sz w:val="16"/>
          <w:szCs w:val="16"/>
        </w:rPr>
        <w:t xml:space="preserve">visible borders, and a header/footer carrying the paper title and page</w:t>
      </w:r>
    </w:p>
    <w:p>
      <w:pPr>
        <w:spacing w:after="0" w:line="240"/>
        <w:jc w:val="left"/>
      </w:pPr>
      <w:r>
        <w:rPr>
          <w:rFonts w:ascii="Consolas" w:cs="Consolas" w:eastAsia="Consolas" w:hAnsi="Consolas"/>
          <w:sz w:val="16"/>
          <w:szCs w:val="16"/>
        </w:rPr>
        <w:t xml:space="preserve">number. Devanagari is not required; the paper is in English.</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9. SELF-CHECK BEFORE YOU DELIVER</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Verify and confirm each of these in the Blueprint Verification Table:</w:t>
      </w:r>
    </w:p>
    <w:p>
      <w:pPr>
        <w:spacing w:after="0" w:line="240"/>
        <w:jc w:val="left"/>
      </w:pPr>
      <w:r>
        <w:rPr>
          <w:rFonts w:ascii="Consolas" w:cs="Consolas" w:eastAsia="Consolas" w:hAnsi="Consolas"/>
          <w:sz w:val="16"/>
          <w:szCs w:val="16"/>
        </w:rPr>
        <w:t xml:space="preserve">  □ Exactly 65 questions, exactly 100 marks.</w:t>
      </w:r>
    </w:p>
    <w:p>
      <w:pPr>
        <w:spacing w:after="0" w:line="240"/>
        <w:jc w:val="left"/>
      </w:pPr>
      <w:r>
        <w:rPr>
          <w:rFonts w:ascii="Consolas" w:cs="Consolas" w:eastAsia="Consolas" w:hAnsi="Consolas"/>
          <w:sz w:val="16"/>
          <w:szCs w:val="16"/>
        </w:rPr>
        <w:t xml:space="preserve">  □ Q.1–Q.5 and Q.11–Q.35 are 1 mark; Q.6–Q.10 and Q.36–Q.65 are 2 marks.</w:t>
      </w:r>
    </w:p>
    <w:p>
      <w:pPr>
        <w:spacing w:after="0" w:line="240"/>
        <w:jc w:val="left"/>
      </w:pPr>
      <w:r>
        <w:rPr>
          <w:rFonts w:ascii="Consolas" w:cs="Consolas" w:eastAsia="Consolas" w:hAnsi="Consolas"/>
          <w:sz w:val="16"/>
          <w:szCs w:val="16"/>
        </w:rPr>
        <w:t xml:space="preserve">  □ Section marks match §2 exactly.</w:t>
      </w:r>
    </w:p>
    <w:p>
      <w:pPr>
        <w:spacing w:after="0" w:line="240"/>
        <w:jc w:val="left"/>
      </w:pPr>
      <w:r>
        <w:rPr>
          <w:rFonts w:ascii="Consolas" w:cs="Consolas" w:eastAsia="Consolas" w:hAnsi="Consolas"/>
          <w:sz w:val="16"/>
          <w:szCs w:val="16"/>
        </w:rPr>
        <w:t xml:space="preserve">  □ Type counts match §3 exactly (30 MCQ, 4 MSQ, 31 NAT).</w:t>
      </w:r>
    </w:p>
    <w:p>
      <w:pPr>
        <w:spacing w:after="0" w:line="240"/>
        <w:jc w:val="left"/>
      </w:pPr>
      <w:r>
        <w:rPr>
          <w:rFonts w:ascii="Consolas" w:cs="Consolas" w:eastAsia="Consolas" w:hAnsi="Consolas"/>
          <w:sz w:val="16"/>
          <w:szCs w:val="16"/>
        </w:rPr>
        <w:t xml:space="preserve">  □ Sub-topic marks match §4 (rotation-pool swaps noted explicitly).</w:t>
      </w:r>
    </w:p>
    <w:p>
      <w:pPr>
        <w:spacing w:after="0" w:line="240"/>
        <w:jc w:val="left"/>
      </w:pPr>
      <w:r>
        <w:rPr>
          <w:rFonts w:ascii="Consolas" w:cs="Consolas" w:eastAsia="Consolas" w:hAnsi="Consolas"/>
          <w:sz w:val="16"/>
          <w:szCs w:val="16"/>
        </w:rPr>
        <w:t xml:space="preserve">  □ Every NAT question states its unit and rounding, and its key gives a</w:t>
      </w:r>
    </w:p>
    <w:p>
      <w:pPr>
        <w:spacing w:after="0" w:line="240"/>
        <w:jc w:val="left"/>
      </w:pPr>
      <w:r>
        <w:rPr>
          <w:rFonts w:ascii="Consolas" w:cs="Consolas" w:eastAsia="Consolas" w:hAnsi="Consolas"/>
          <w:sz w:val="16"/>
          <w:szCs w:val="16"/>
        </w:rPr>
        <w:t xml:space="preserve">    tolerance range.</w:t>
      </w:r>
    </w:p>
    <w:p>
      <w:pPr>
        <w:spacing w:after="0" w:line="240"/>
        <w:jc w:val="left"/>
      </w:pPr>
      <w:r>
        <w:rPr>
          <w:rFonts w:ascii="Consolas" w:cs="Consolas" w:eastAsia="Consolas" w:hAnsi="Consolas"/>
          <w:sz w:val="16"/>
          <w:szCs w:val="16"/>
        </w:rPr>
        <w:t xml:space="preserve">  □ Every numerical answer has been re-derived independently and matches</w:t>
      </w:r>
    </w:p>
    <w:p>
      <w:pPr>
        <w:spacing w:after="0" w:line="240"/>
        <w:jc w:val="left"/>
      </w:pPr>
      <w:r>
        <w:rPr>
          <w:rFonts w:ascii="Consolas" w:cs="Consolas" w:eastAsia="Consolas" w:hAnsi="Consolas"/>
          <w:sz w:val="16"/>
          <w:szCs w:val="16"/>
        </w:rPr>
        <w:t xml:space="preserve">    the key.</w:t>
      </w:r>
    </w:p>
    <w:p>
      <w:pPr>
        <w:spacing w:after="0" w:line="240"/>
        <w:jc w:val="left"/>
      </w:pPr>
      <w:r>
        <w:rPr>
          <w:rFonts w:ascii="Consolas" w:cs="Consolas" w:eastAsia="Consolas" w:hAnsi="Consolas"/>
          <w:sz w:val="16"/>
          <w:szCs w:val="16"/>
        </w:rPr>
        <w:t xml:space="preserve">  □ No question duplicates a past GATE AG question.</w:t>
      </w:r>
    </w:p>
    <w:p>
      <w:pPr>
        <w:spacing w:after="0" w:line="240"/>
        <w:jc w:val="left"/>
      </w:pPr>
      <w:r>
        <w:rPr>
          <w:rFonts w:ascii="Consolas" w:cs="Consolas" w:eastAsia="Consolas" w:hAnsi="Consolas"/>
          <w:sz w:val="16"/>
          <w:szCs w:val="16"/>
        </w:rPr>
        <w:t xml:space="preserve">  □ Every question is solvable from the data given in it.</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If any check fails, fix the paper before delivering — do not deliver a</w:t>
      </w:r>
    </w:p>
    <w:p>
      <w:pPr>
        <w:spacing w:after="0" w:line="240"/>
        <w:jc w:val="left"/>
      </w:pPr>
      <w:r>
        <w:rPr>
          <w:rFonts w:ascii="Consolas" w:cs="Consolas" w:eastAsia="Consolas" w:hAnsi="Consolas"/>
          <w:sz w:val="16"/>
          <w:szCs w:val="16"/>
        </w:rPr>
        <w:t xml:space="preserve">paper with a note that the blueprint was not met.</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10. OPTIONAL SWITCHES (state these when invoking, or delete)</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 SET NUMBER: [1 / 2 / 3 …] — use a different rotation-pool selection</w:t>
      </w:r>
    </w:p>
    <w:p>
      <w:pPr>
        <w:spacing w:after="0" w:line="240"/>
        <w:jc w:val="left"/>
      </w:pPr>
      <w:r>
        <w:rPr>
          <w:rFonts w:ascii="Consolas" w:cs="Consolas" w:eastAsia="Consolas" w:hAnsi="Consolas"/>
          <w:sz w:val="16"/>
          <w:szCs w:val="16"/>
        </w:rPr>
        <w:t xml:space="preserve">  and a fresh set of numerical data for each set.</w:t>
      </w:r>
    </w:p>
    <w:p>
      <w:pPr>
        <w:spacing w:after="0" w:line="240"/>
        <w:jc w:val="left"/>
      </w:pPr>
      <w:r>
        <w:rPr>
          <w:rFonts w:ascii="Consolas" w:cs="Consolas" w:eastAsia="Consolas" w:hAnsi="Consolas"/>
          <w:sz w:val="16"/>
          <w:szCs w:val="16"/>
        </w:rPr>
        <w:t xml:space="preserve">• DIFFICULTY: [actual / slightly harder (default) / hard]</w:t>
      </w:r>
    </w:p>
    <w:p>
      <w:pPr>
        <w:spacing w:after="0" w:line="240"/>
        <w:jc w:val="left"/>
      </w:pPr>
      <w:r>
        <w:rPr>
          <w:rFonts w:ascii="Consolas" w:cs="Consolas" w:eastAsia="Consolas" w:hAnsi="Consolas"/>
          <w:sz w:val="16"/>
          <w:szCs w:val="16"/>
        </w:rPr>
        <w:t xml:space="preserve">• EMPHASIS: [name a section to over-weight by up to 2 marks, taking</w:t>
      </w:r>
    </w:p>
    <w:p>
      <w:pPr>
        <w:spacing w:after="0" w:line="240"/>
        <w:jc w:val="left"/>
      </w:pPr>
      <w:r>
        <w:rPr>
          <w:rFonts w:ascii="Consolas" w:cs="Consolas" w:eastAsia="Consolas" w:hAnsi="Consolas"/>
          <w:sz w:val="16"/>
          <w:szCs w:val="16"/>
        </w:rPr>
        <w:t xml:space="preserve">  those marks from S5 or S7]</w:t>
      </w:r>
    </w:p>
    <w:p>
      <w:pPr>
        <w:spacing w:after="0" w:line="240"/>
        <w:jc w:val="left"/>
      </w:pPr>
      <w:r>
        <w:rPr>
          <w:rFonts w:ascii="Consolas" w:cs="Consolas" w:eastAsia="Consolas" w:hAnsi="Consolas"/>
          <w:sz w:val="16"/>
          <w:szCs w:val="16"/>
        </w:rPr>
        <w:t xml:space="preserve">• LANGUAGE OF SOLUTIONS: [English (default) / English with Hindi</w:t>
      </w:r>
    </w:p>
    <w:p>
      <w:pPr>
        <w:spacing w:after="0" w:line="240"/>
        <w:jc w:val="left"/>
      </w:pPr>
      <w:r>
        <w:rPr>
          <w:rFonts w:ascii="Consolas" w:cs="Consolas" w:eastAsia="Consolas" w:hAnsi="Consolas"/>
          <w:sz w:val="16"/>
          <w:szCs w:val="16"/>
        </w:rPr>
        <w:t xml:space="preserve">  technical glosses]</w:t>
      </w:r>
    </w:p>
    <w:p>
      <w:pPr>
        <w:spacing w:after="0" w:line="240"/>
        <w:jc w:val="left"/>
      </w:pPr>
      <w:r>
        <w:rPr>
          <w:rFonts w:ascii="Consolas" w:cs="Consolas" w:eastAsia="Consolas" w:hAnsi="Consolas"/>
          <w:sz w:val="16"/>
          <w:szCs w:val="16"/>
        </w:rPr>
        <w:t xml:space="preserve"> </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END OF MASTER PROMPT</w:t>
      </w:r>
    </w:p>
    <w:p>
      <w:pPr>
        <w:spacing w:after="0" w:line="240"/>
        <w:jc w:val="left"/>
      </w:pPr>
      <w:r>
        <w:rPr>
          <w:rFonts w:ascii="Consolas" w:cs="Consolas" w:eastAsia="Consolas" w:hAnsi="Consolas"/>
          <w:sz w:val="16"/>
          <w:szCs w:val="16"/>
        </w:rPr>
        <w:t xml:space="preserve">════════════════════════════════════════════════════════════════════════</w:t>
      </w:r>
    </w:p>
    <w:p>
      <w:pPr>
        <w:spacing w:after="0" w:line="240"/>
        <w:jc w:val="left"/>
      </w:pPr>
      <w:r>
        <w:rPr>
          <w:rFonts w:ascii="Consolas" w:cs="Consolas" w:eastAsia="Consolas" w:hAnsi="Consolas"/>
          <w:sz w:val="16"/>
          <w:szCs w:val="16"/>
        </w:rPr>
        <w:t xml:space="preserve"> </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4"/>
        <w:sz w:val="15"/>
        <w:szCs w:val="15"/>
      </w:rPr>
      <w:t xml:space="preserve">Prepared for GATE 2027 preparation · derived from 14 official AG papers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5621" w:sz="6" w:space="4"/>
      </w:pBdr>
      <w:spacing w:after="60"/>
      <w:jc w:val="right"/>
    </w:pPr>
    <w:r>
      <w:rPr>
        <w:rFonts w:ascii="Calibri" w:cs="Calibri" w:eastAsia="Calibri" w:hAnsi="Calibri"/>
        <w:color w:val="444444"/>
        <w:sz w:val="16"/>
        <w:szCs w:val="16"/>
      </w:rPr>
      <w:t xml:space="preserve">GATE AG — Trend Analysis 2011–2026 &amp; Mock-Paper Master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2026-08-21T07:25:30.827Z</dcterms:created>
  <dcterms:modified xsi:type="dcterms:W3CDTF">2026-08-21T07:25:30.827Z</dcterms:modified>
</cp:coreProperties>
</file>

<file path=docProps/custom.xml><?xml version="1.0" encoding="utf-8"?>
<Properties xmlns="http://schemas.openxmlformats.org/officeDocument/2006/custom-properties" xmlns:vt="http://schemas.openxmlformats.org/officeDocument/2006/docPropsVTypes"/>
</file>