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675FE" w14:textId="1FE50770" w:rsidR="00A16D83" w:rsidRPr="00B92CB8" w:rsidRDefault="0070309A">
      <w:pPr>
        <w:spacing w:before="560"/>
        <w:jc w:val="center"/>
        <w:rPr>
          <w:rFonts w:asciiTheme="majorHAnsi" w:hAnsiTheme="majorHAnsi"/>
          <w:b/>
          <w:bCs/>
          <w:color w:val="000000" w:themeColor="text1"/>
          <w:sz w:val="56"/>
          <w:szCs w:val="56"/>
        </w:rPr>
      </w:pPr>
      <w:r w:rsidRPr="00B92CB8">
        <w:rPr>
          <w:rFonts w:asciiTheme="majorHAnsi" w:hAnsiTheme="majorHAnsi"/>
          <w:b/>
          <w:bCs/>
          <w:color w:val="000000" w:themeColor="text1"/>
          <w:sz w:val="56"/>
          <w:szCs w:val="56"/>
        </w:rPr>
        <w:t>RAG</w:t>
      </w:r>
      <w:r w:rsidR="009B678E" w:rsidRPr="00B92CB8">
        <w:rPr>
          <w:rFonts w:asciiTheme="majorHAnsi" w:hAnsiTheme="majorHAnsi"/>
          <w:b/>
          <w:bCs/>
          <w:color w:val="000000" w:themeColor="text1"/>
          <w:sz w:val="56"/>
          <w:szCs w:val="56"/>
        </w:rPr>
        <w:t>Warrant</w:t>
      </w:r>
    </w:p>
    <w:p w14:paraId="4E8965F1"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0818B222" w14:textId="6EA91928"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r w:rsidR="001B2F24">
        <w:rPr>
          <w:rFonts w:asciiTheme="majorHAnsi" w:hAnsiTheme="majorHAnsi"/>
          <w:color w:val="000000" w:themeColor="text1"/>
          <w:sz w:val="23"/>
        </w:rPr>
        <w:t xml:space="preserve">, </w:t>
      </w:r>
      <w:r w:rsidR="00567359">
        <w:rPr>
          <w:rFonts w:asciiTheme="majorHAnsi" w:hAnsiTheme="majorHAnsi"/>
          <w:color w:val="000000" w:themeColor="text1"/>
          <w:sz w:val="23"/>
        </w:rPr>
        <w:t>Zach Pocque</w:t>
      </w:r>
      <w:r w:rsidR="00226EE5">
        <w:rPr>
          <w:rFonts w:asciiTheme="majorHAnsi" w:hAnsiTheme="majorHAnsi"/>
          <w:color w:val="000000" w:themeColor="text1"/>
          <w:sz w:val="23"/>
        </w:rPr>
        <w:t xml:space="preserve">tte, </w:t>
      </w:r>
      <w:r w:rsidR="00F531AC">
        <w:rPr>
          <w:rFonts w:asciiTheme="majorHAnsi" w:hAnsiTheme="majorHAnsi"/>
          <w:color w:val="000000" w:themeColor="text1"/>
          <w:sz w:val="23"/>
        </w:rPr>
        <w:t>E</w:t>
      </w:r>
      <w:r w:rsidR="00470F50">
        <w:rPr>
          <w:rFonts w:asciiTheme="majorHAnsi" w:hAnsiTheme="majorHAnsi"/>
          <w:color w:val="000000" w:themeColor="text1"/>
          <w:sz w:val="23"/>
        </w:rPr>
        <w:t>ric Kinsley</w:t>
      </w:r>
    </w:p>
    <w:p w14:paraId="36768530" w14:textId="2DC8AEF4"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 xml:space="preserve">Independent open-source research project  |  </w:t>
      </w:r>
      <w:r w:rsidR="006F67A7">
        <w:rPr>
          <w:rFonts w:asciiTheme="majorHAnsi" w:hAnsiTheme="majorHAnsi"/>
          <w:color w:val="000000" w:themeColor="text1"/>
          <w:sz w:val="18"/>
        </w:rPr>
        <w:t>Septe</w:t>
      </w:r>
      <w:r w:rsidR="00000C7D">
        <w:rPr>
          <w:rFonts w:asciiTheme="majorHAnsi" w:hAnsiTheme="majorHAnsi"/>
          <w:color w:val="000000" w:themeColor="text1"/>
          <w:sz w:val="18"/>
        </w:rPr>
        <w:t>mber</w:t>
      </w:r>
      <w:r w:rsidRPr="002A2802">
        <w:rPr>
          <w:rFonts w:asciiTheme="majorHAnsi" w:hAnsiTheme="majorHAnsi"/>
          <w:color w:val="000000" w:themeColor="text1"/>
          <w:sz w:val="18"/>
        </w:rPr>
        <w:t xml:space="preserve"> 2026  |  Preprint version 0.1.1-rc1</w:t>
      </w:r>
    </w:p>
    <w:p w14:paraId="7BE05D2C"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69635FE9" w14:textId="70C501D6"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w:t>
      </w:r>
      <w:r w:rsidR="009676DA">
        <w:rPr>
          <w:rFonts w:asciiTheme="majorHAnsi" w:hAnsiTheme="majorHAnsi"/>
          <w:color w:val="000000" w:themeColor="text1"/>
          <w:sz w:val="19"/>
        </w:rPr>
        <w:t>RAGWarrant</w:t>
      </w:r>
      <w:r w:rsidRPr="002A2802">
        <w:rPr>
          <w:rFonts w:asciiTheme="majorHAnsi" w:hAnsiTheme="majorHAnsi"/>
          <w:color w:val="000000" w:themeColor="text1"/>
          <w:sz w:val="19"/>
        </w:rPr>
        <w:t xml:space="preserve">, an open-source promotion-control framework that treats deployment as a constrained evidence decision rather than a leaderboard choice. </w:t>
      </w:r>
      <w:r w:rsidR="0090312D">
        <w:rPr>
          <w:rFonts w:asciiTheme="majorHAnsi" w:hAnsiTheme="majorHAnsi"/>
          <w:color w:val="000000" w:themeColor="text1"/>
          <w:sz w:val="19"/>
        </w:rPr>
        <w:t>RAGWarrant</w:t>
      </w:r>
      <w:r w:rsidRPr="002A2802">
        <w:rPr>
          <w:rFonts w:asciiTheme="majorHAnsi" w:hAnsiTheme="majorHAnsi"/>
          <w:color w:val="000000" w:themeColor="text1"/>
          <w:sz w:val="19"/>
        </w:rPr>
        <w:t xml:space="preserve">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2463624F"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13BF436C" w14:textId="365BE204" w:rsidR="00A16D83" w:rsidRPr="002A2802" w:rsidRDefault="0034031E">
      <w:pPr>
        <w:spacing w:after="20"/>
        <w:rPr>
          <w:rFonts w:asciiTheme="majorHAnsi" w:hAnsiTheme="majorHAnsi"/>
          <w:color w:val="000000" w:themeColor="text1"/>
        </w:rPr>
      </w:pPr>
      <w:r>
        <w:t xml:space="preserve">Code and artifacts: </w:t>
      </w:r>
      <w:r w:rsidR="009A7557" w:rsidRPr="009A7557">
        <w:t>https://github.com/RAGWarrant/ragwarrant-governance</w:t>
      </w:r>
    </w:p>
    <w:p w14:paraId="2B8A4E18"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v0.1.1-rc1  |  Commit: ff529005bf7d00a0c3f79ba991563f3923d63205</w:t>
      </w:r>
    </w:p>
    <w:p w14:paraId="73E2A99C"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5991BD0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470DC3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760D5A8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79568AF0" w14:textId="451C7502"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addresses that decision layer. Its central abstraction is not a new answer-quality metric or a universal optimizer. It is an evidence-preserving promotion controller. </w:t>
      </w:r>
      <w:r>
        <w:rPr>
          <w:rFonts w:asciiTheme="majorHAnsi" w:hAnsiTheme="majorHAnsi"/>
          <w:color w:val="000000" w:themeColor="text1"/>
        </w:rPr>
        <w:t>RAGWarrant</w:t>
      </w:r>
      <w:r w:rsidR="0034031E" w:rsidRPr="002A2802">
        <w:rPr>
          <w:rFonts w:asciiTheme="majorHAnsi" w:hAnsiTheme="majorHAnsi"/>
          <w:color w:val="000000" w:themeColor="text1"/>
        </w:rPr>
        <w:t xml:space="preserv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14:paraId="081D0550" w14:textId="73715568" w:rsidR="00F4612D" w:rsidRDefault="0090312D">
      <w:pPr>
        <w:pStyle w:val="BodyText"/>
      </w:pPr>
      <w:r>
        <w:t>RAGWarrant</w:t>
      </w:r>
      <w:r w:rsidR="00DC3F14">
        <w:t xml:space="preserve"> is intended to govern RAG policy promotion, not to discover, certify, or imply a globally optimal RAG configuration.</w:t>
      </w:r>
    </w:p>
    <w:p w14:paraId="5C6185B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24545590" w14:textId="69DD5C6B"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 distinction matters because deployment authority is often implicit. In a research notebook, the highest validation score may become the de facto recommendation; in an enterprise workflow, a cost dashboard or latency trace may play the same role. </w:t>
      </w:r>
      <w:r w:rsidR="0090312D">
        <w:rPr>
          <w:rFonts w:asciiTheme="majorHAnsi" w:hAnsiTheme="majorHAnsi"/>
          <w:color w:val="000000" w:themeColor="text1"/>
        </w:rPr>
        <w:t>RAGWarrant</w:t>
      </w:r>
      <w:r w:rsidRPr="002A2802">
        <w:rPr>
          <w:rFonts w:asciiTheme="majorHAnsi" w:hAnsiTheme="majorHAnsi"/>
          <w:color w:val="000000" w:themeColor="text1"/>
        </w:rPr>
        <w:t xml:space="preserve">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52634E1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46B81EA6"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2581129"/>
                    </a:xfrm>
                    <a:prstGeom prst="rect">
                      <a:avLst/>
                    </a:prstGeom>
                  </pic:spPr>
                </pic:pic>
              </a:graphicData>
            </a:graphic>
          </wp:inline>
        </w:drawing>
      </w:r>
    </w:p>
    <w:p w14:paraId="207CB307" w14:textId="6FD137EE"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 xml:space="preserve">Figure 1. </w:t>
      </w:r>
      <w:r w:rsidR="0090312D">
        <w:rPr>
          <w:rFonts w:asciiTheme="majorHAnsi" w:hAnsiTheme="majorHAnsi"/>
          <w:color w:val="000000" w:themeColor="text1"/>
          <w:sz w:val="16"/>
        </w:rPr>
        <w:t>RAGWarrant</w:t>
      </w:r>
      <w:r w:rsidRPr="002A2802">
        <w:rPr>
          <w:rFonts w:asciiTheme="majorHAnsi" w:hAnsiTheme="majorHAnsi"/>
          <w:color w:val="000000" w:themeColor="text1"/>
          <w:sz w:val="16"/>
        </w:rPr>
        <w:t xml:space="preserve"> converts candidate-policy evidence into an auditable promotion decision; artifacts, telemetry, and negative results feed the next evaluation cycle.</w:t>
      </w:r>
    </w:p>
    <w:p w14:paraId="6AECDC8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1BD4D7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4F57377F" w14:textId="7DFDC75D"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w:t>
      </w:r>
      <w:r w:rsidR="0090312D">
        <w:rPr>
          <w:rFonts w:asciiTheme="majorHAnsi" w:hAnsiTheme="majorHAnsi"/>
          <w:color w:val="000000" w:themeColor="text1"/>
        </w:rPr>
        <w:t>RAGWarrant</w:t>
      </w:r>
      <w:r w:rsidRPr="002A2802">
        <w:rPr>
          <w:rFonts w:asciiTheme="majorHAnsi" w:hAnsiTheme="majorHAnsi"/>
          <w:color w:val="000000" w:themeColor="text1"/>
        </w:rPr>
        <w:t xml:space="preserve"> consumes these measurements as bounded evidence; it does not replace their metric semantics.</w:t>
      </w:r>
    </w:p>
    <w:p w14:paraId="5FF8D0C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76DA992" w14:textId="35BE60C8"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NIST's AI Risk Management Framework and Generative AI Profile organize lifecycle governance around Govern, Map, Measure, and Manage, and ISO/IEC 42001 specifies an AI management system [11-13]. </w:t>
      </w:r>
      <w:r w:rsidR="0090312D">
        <w:rPr>
          <w:rFonts w:asciiTheme="majorHAnsi" w:hAnsiTheme="majorHAnsi"/>
          <w:color w:val="000000" w:themeColor="text1"/>
        </w:rPr>
        <w:t>RAGWarrant</w:t>
      </w:r>
      <w:r w:rsidRPr="002A2802">
        <w:rPr>
          <w:rFonts w:asciiTheme="majorHAnsi" w:hAnsiTheme="majorHAnsi"/>
          <w:color w:val="000000" w:themeColor="text1"/>
        </w:rPr>
        <w:t xml:space="preserve">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549DCD5F" w14:textId="77777777">
        <w:trPr>
          <w:cantSplit/>
          <w:tblHeader/>
          <w:jc w:val="center"/>
        </w:trPr>
        <w:tc>
          <w:tcPr>
            <w:tcW w:w="1944" w:type="dxa"/>
            <w:shd w:val="clear" w:color="auto" w:fill="DCE8EF"/>
            <w:tcMar>
              <w:top w:w="70" w:type="dxa"/>
              <w:left w:w="90" w:type="dxa"/>
              <w:bottom w:w="70" w:type="dxa"/>
              <w:right w:w="90" w:type="dxa"/>
            </w:tcMar>
            <w:vAlign w:val="center"/>
          </w:tcPr>
          <w:p w14:paraId="750F32F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6323CB6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6F402BB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0BDA6693" w14:textId="307C0E9E" w:rsidR="00A16D83" w:rsidRPr="002A2802" w:rsidRDefault="0090312D">
            <w:pPr>
              <w:spacing w:after="0" w:line="240" w:lineRule="auto"/>
              <w:jc w:val="center"/>
              <w:rPr>
                <w:rFonts w:asciiTheme="majorHAnsi" w:hAnsiTheme="majorHAnsi"/>
                <w:color w:val="000000" w:themeColor="text1"/>
              </w:rPr>
            </w:pPr>
            <w:r>
              <w:rPr>
                <w:rFonts w:asciiTheme="majorHAnsi" w:hAnsiTheme="majorHAnsi"/>
                <w:color w:val="000000" w:themeColor="text1"/>
                <w:sz w:val="15"/>
              </w:rPr>
              <w:t>RAGWarrant</w:t>
            </w:r>
            <w:r w:rsidR="0034031E" w:rsidRPr="002A2802">
              <w:rPr>
                <w:rFonts w:asciiTheme="majorHAnsi" w:hAnsiTheme="majorHAnsi"/>
                <w:color w:val="000000" w:themeColor="text1"/>
                <w:sz w:val="15"/>
              </w:rPr>
              <w:t xml:space="preserve"> relationship</w:t>
            </w:r>
          </w:p>
        </w:tc>
      </w:tr>
      <w:tr w:rsidR="00A16D83" w:rsidRPr="002A2802" w14:paraId="34D9D7B1" w14:textId="77777777">
        <w:trPr>
          <w:cantSplit/>
          <w:jc w:val="center"/>
        </w:trPr>
        <w:tc>
          <w:tcPr>
            <w:tcW w:w="1944" w:type="dxa"/>
            <w:tcMar>
              <w:top w:w="70" w:type="dxa"/>
              <w:left w:w="90" w:type="dxa"/>
              <w:bottom w:w="70" w:type="dxa"/>
              <w:right w:w="90" w:type="dxa"/>
            </w:tcMar>
            <w:vAlign w:val="center"/>
          </w:tcPr>
          <w:p w14:paraId="44DCA9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60653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2587BC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634A4F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23A91E7E" w14:textId="77777777">
        <w:trPr>
          <w:cantSplit/>
          <w:jc w:val="center"/>
        </w:trPr>
        <w:tc>
          <w:tcPr>
            <w:tcW w:w="1944" w:type="dxa"/>
            <w:tcMar>
              <w:top w:w="70" w:type="dxa"/>
              <w:left w:w="90" w:type="dxa"/>
              <w:bottom w:w="70" w:type="dxa"/>
              <w:right w:w="90" w:type="dxa"/>
            </w:tcMar>
            <w:vAlign w:val="center"/>
          </w:tcPr>
          <w:p w14:paraId="24347F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0D0B9E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11C2CD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5DEF0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54D50032" w14:textId="77777777">
        <w:trPr>
          <w:cantSplit/>
          <w:jc w:val="center"/>
        </w:trPr>
        <w:tc>
          <w:tcPr>
            <w:tcW w:w="1944" w:type="dxa"/>
            <w:tcMar>
              <w:top w:w="70" w:type="dxa"/>
              <w:left w:w="90" w:type="dxa"/>
              <w:bottom w:w="70" w:type="dxa"/>
              <w:right w:w="90" w:type="dxa"/>
            </w:tcMar>
            <w:vAlign w:val="center"/>
          </w:tcPr>
          <w:p w14:paraId="2A038DF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656AB7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4A11FAC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2ECEF6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436531C7" w14:textId="77777777">
        <w:trPr>
          <w:cantSplit/>
          <w:jc w:val="center"/>
        </w:trPr>
        <w:tc>
          <w:tcPr>
            <w:tcW w:w="1944" w:type="dxa"/>
            <w:tcMar>
              <w:top w:w="70" w:type="dxa"/>
              <w:left w:w="90" w:type="dxa"/>
              <w:bottom w:w="70" w:type="dxa"/>
              <w:right w:w="90" w:type="dxa"/>
            </w:tcMar>
            <w:vAlign w:val="center"/>
          </w:tcPr>
          <w:p w14:paraId="0A7565D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54D1B8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C90E8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2E31B1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614F88FC" w14:textId="77777777">
        <w:trPr>
          <w:cantSplit/>
          <w:jc w:val="center"/>
        </w:trPr>
        <w:tc>
          <w:tcPr>
            <w:tcW w:w="1944" w:type="dxa"/>
            <w:tcMar>
              <w:top w:w="70" w:type="dxa"/>
              <w:left w:w="90" w:type="dxa"/>
              <w:bottom w:w="70" w:type="dxa"/>
              <w:right w:w="90" w:type="dxa"/>
            </w:tcMar>
            <w:vAlign w:val="center"/>
          </w:tcPr>
          <w:p w14:paraId="1C3383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F4D4CE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538CAB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69305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3A6B3CFD" w14:textId="77777777">
        <w:trPr>
          <w:cantSplit/>
          <w:jc w:val="center"/>
        </w:trPr>
        <w:tc>
          <w:tcPr>
            <w:tcW w:w="1944" w:type="dxa"/>
            <w:tcMar>
              <w:top w:w="70" w:type="dxa"/>
              <w:left w:w="90" w:type="dxa"/>
              <w:bottom w:w="70" w:type="dxa"/>
              <w:right w:w="90" w:type="dxa"/>
            </w:tcMar>
            <w:vAlign w:val="center"/>
          </w:tcPr>
          <w:p w14:paraId="43471246" w14:textId="7A843CF6" w:rsidR="00A16D83" w:rsidRPr="002A2802" w:rsidRDefault="0090312D">
            <w:pPr>
              <w:spacing w:after="0" w:line="240" w:lineRule="auto"/>
              <w:rPr>
                <w:rFonts w:asciiTheme="majorHAnsi" w:hAnsiTheme="majorHAnsi"/>
                <w:color w:val="000000" w:themeColor="text1"/>
              </w:rPr>
            </w:pPr>
            <w:r>
              <w:rPr>
                <w:rFonts w:asciiTheme="majorHAnsi" w:hAnsiTheme="majorHAnsi"/>
                <w:color w:val="000000" w:themeColor="text1"/>
                <w:sz w:val="15"/>
              </w:rPr>
              <w:t>RAGWarrant</w:t>
            </w:r>
          </w:p>
        </w:tc>
        <w:tc>
          <w:tcPr>
            <w:tcW w:w="2376" w:type="dxa"/>
            <w:tcMar>
              <w:top w:w="70" w:type="dxa"/>
              <w:left w:w="90" w:type="dxa"/>
              <w:bottom w:w="70" w:type="dxa"/>
              <w:right w:w="90" w:type="dxa"/>
            </w:tcMar>
            <w:vAlign w:val="center"/>
          </w:tcPr>
          <w:p w14:paraId="1894E2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22BE03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6EA4916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3F0F99A4" w14:textId="7946F68B"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 xml:space="preserve">Table 1. </w:t>
      </w:r>
      <w:r w:rsidR="0090312D">
        <w:rPr>
          <w:rFonts w:asciiTheme="majorHAnsi" w:hAnsiTheme="majorHAnsi"/>
          <w:color w:val="000000" w:themeColor="text1"/>
          <w:sz w:val="16"/>
        </w:rPr>
        <w:t>RAGWarrant</w:t>
      </w:r>
      <w:r w:rsidRPr="002A2802">
        <w:rPr>
          <w:rFonts w:asciiTheme="majorHAnsi" w:hAnsiTheme="majorHAnsi"/>
          <w:color w:val="000000" w:themeColor="text1"/>
          <w:sz w:val="16"/>
        </w:rPr>
        <w:t xml:space="preserve"> complements metric, benchmark, optimization, observability, and management-framework layers.</w:t>
      </w:r>
    </w:p>
    <w:p w14:paraId="5485F95A"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32BBC431" w14:textId="225E6D47"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6862651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21CDF728"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758F896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E972663"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27A86215"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1C7895D"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5EED5E1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533EB59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27C9B65B" w14:textId="73BB8353" w:rsidR="00A16D83" w:rsidRPr="002A2802" w:rsidRDefault="0034031E">
      <w:pPr>
        <w:pStyle w:val="Heading1"/>
        <w:spacing w:before="180" w:after="80"/>
        <w:rPr>
          <w:b w:val="0"/>
          <w:bCs w:val="0"/>
          <w:color w:val="000000" w:themeColor="text1"/>
        </w:rPr>
      </w:pPr>
      <w:r w:rsidRPr="002A2802">
        <w:rPr>
          <w:b w:val="0"/>
          <w:bCs w:val="0"/>
          <w:color w:val="000000" w:themeColor="text1"/>
          <w:sz w:val="30"/>
        </w:rPr>
        <w:t xml:space="preserve">4. </w:t>
      </w:r>
      <w:r w:rsidR="0090312D">
        <w:rPr>
          <w:b w:val="0"/>
          <w:bCs w:val="0"/>
          <w:color w:val="000000" w:themeColor="text1"/>
          <w:sz w:val="30"/>
        </w:rPr>
        <w:t>RAGWarrant</w:t>
      </w:r>
      <w:r w:rsidRPr="002A2802">
        <w:rPr>
          <w:b w:val="0"/>
          <w:bCs w:val="0"/>
          <w:color w:val="000000" w:themeColor="text1"/>
          <w:sz w:val="30"/>
        </w:rPr>
        <w:t xml:space="preserve"> System</w:t>
      </w:r>
    </w:p>
    <w:p w14:paraId="006579A2"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4FF7F4A6" w14:textId="42BE38B1"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RAG policy is a named, versioned configuration that may change retrieval depth, endpoints, routing, reranking, context limits, fallback behavior, generator choice, abstention, or selector logic. Policies may be hand-authored, proposed by an optimizer, or imported from another experiment. </w:t>
      </w:r>
      <w:r w:rsidR="0090312D">
        <w:rPr>
          <w:rFonts w:asciiTheme="majorHAnsi" w:hAnsiTheme="majorHAnsi"/>
          <w:color w:val="000000" w:themeColor="text1"/>
        </w:rPr>
        <w:t>RAGWarrant</w:t>
      </w:r>
      <w:r w:rsidRPr="002A2802">
        <w:rPr>
          <w:rFonts w:asciiTheme="majorHAnsi" w:hAnsiTheme="majorHAnsi"/>
          <w:color w:val="000000" w:themeColor="text1"/>
        </w:rPr>
        <w:t xml:space="preserve"> records behavioral parameters alongside normalized evidence such as answer correctness, faithfulness, evidence support, context recall, abstention correctness, API calls, cost, latency, failure rate, and protected-regression indicators.</w:t>
      </w:r>
    </w:p>
    <w:p w14:paraId="7671520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7463E67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78CADC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AF4A48F"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0659CAE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DCAE327"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2B792F14"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630FD8E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7201BA96"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657600" cy="3014654"/>
                    </a:xfrm>
                    <a:prstGeom prst="rect">
                      <a:avLst/>
                    </a:prstGeom>
                  </pic:spPr>
                </pic:pic>
              </a:graphicData>
            </a:graphic>
          </wp:inline>
        </w:drawing>
      </w:r>
    </w:p>
    <w:p w14:paraId="475FF910"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7E2BC4B"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605E6F2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5CC5EC4F" w14:textId="77777777">
        <w:trPr>
          <w:cantSplit/>
          <w:tblHeader/>
          <w:jc w:val="center"/>
        </w:trPr>
        <w:tc>
          <w:tcPr>
            <w:tcW w:w="1152" w:type="dxa"/>
            <w:shd w:val="clear" w:color="auto" w:fill="DCE8EF"/>
            <w:tcMar>
              <w:top w:w="70" w:type="dxa"/>
              <w:left w:w="90" w:type="dxa"/>
              <w:bottom w:w="70" w:type="dxa"/>
              <w:right w:w="90" w:type="dxa"/>
            </w:tcMar>
            <w:vAlign w:val="center"/>
          </w:tcPr>
          <w:p w14:paraId="21DADF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64CA2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3B8ECBAD"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7028801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3863A238" w14:textId="77777777">
        <w:trPr>
          <w:cantSplit/>
          <w:jc w:val="center"/>
        </w:trPr>
        <w:tc>
          <w:tcPr>
            <w:tcW w:w="1152" w:type="dxa"/>
            <w:tcMar>
              <w:top w:w="70" w:type="dxa"/>
              <w:left w:w="90" w:type="dxa"/>
              <w:bottom w:w="70" w:type="dxa"/>
              <w:right w:w="90" w:type="dxa"/>
            </w:tcMar>
            <w:vAlign w:val="center"/>
          </w:tcPr>
          <w:p w14:paraId="30076E5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2820B8B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0A5A949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5003AF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32396F8B" w14:textId="77777777">
        <w:trPr>
          <w:cantSplit/>
          <w:jc w:val="center"/>
        </w:trPr>
        <w:tc>
          <w:tcPr>
            <w:tcW w:w="1152" w:type="dxa"/>
            <w:tcMar>
              <w:top w:w="70" w:type="dxa"/>
              <w:left w:w="90" w:type="dxa"/>
              <w:bottom w:w="70" w:type="dxa"/>
              <w:right w:w="90" w:type="dxa"/>
            </w:tcMar>
            <w:vAlign w:val="center"/>
          </w:tcPr>
          <w:p w14:paraId="61530E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4A60C56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7D82E0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20FA025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64F64534" w14:textId="77777777">
        <w:trPr>
          <w:cantSplit/>
          <w:jc w:val="center"/>
        </w:trPr>
        <w:tc>
          <w:tcPr>
            <w:tcW w:w="1152" w:type="dxa"/>
            <w:tcMar>
              <w:top w:w="70" w:type="dxa"/>
              <w:left w:w="90" w:type="dxa"/>
              <w:bottom w:w="70" w:type="dxa"/>
              <w:right w:w="90" w:type="dxa"/>
            </w:tcMar>
            <w:vAlign w:val="center"/>
          </w:tcPr>
          <w:p w14:paraId="607905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1DD32AC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491DD76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18DCAD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0B69F9D2" w14:textId="77777777">
        <w:trPr>
          <w:cantSplit/>
          <w:jc w:val="center"/>
        </w:trPr>
        <w:tc>
          <w:tcPr>
            <w:tcW w:w="1152" w:type="dxa"/>
            <w:tcMar>
              <w:top w:w="70" w:type="dxa"/>
              <w:left w:w="90" w:type="dxa"/>
              <w:bottom w:w="70" w:type="dxa"/>
              <w:right w:w="90" w:type="dxa"/>
            </w:tcMar>
            <w:vAlign w:val="center"/>
          </w:tcPr>
          <w:p w14:paraId="56C9B97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13DD52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2CA4FA3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50208A6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BA19872"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01623F3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312090F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496698C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069080" cy="2914189"/>
                    </a:xfrm>
                    <a:prstGeom prst="rect">
                      <a:avLst/>
                    </a:prstGeom>
                  </pic:spPr>
                </pic:pic>
              </a:graphicData>
            </a:graphic>
          </wp:inline>
        </w:drawing>
      </w:r>
    </w:p>
    <w:p w14:paraId="00007E27"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2DF4443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0EEA6FC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52CE7BC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566F8FB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10E9D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15000" cy="3218181"/>
                    </a:xfrm>
                    <a:prstGeom prst="rect">
                      <a:avLst/>
                    </a:prstGeom>
                  </pic:spPr>
                </pic:pic>
              </a:graphicData>
            </a:graphic>
          </wp:inline>
        </w:drawing>
      </w:r>
    </w:p>
    <w:p w14:paraId="76FF93D0"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45D6819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5136F8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44E7C3C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[21] supplied a larger text-and-table development path; MultiHop-RAG [22] provided a fresh sealed multi-hop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6CCF0417" w14:textId="77777777">
        <w:trPr>
          <w:cantSplit/>
          <w:tblHeader/>
          <w:jc w:val="center"/>
        </w:trPr>
        <w:tc>
          <w:tcPr>
            <w:tcW w:w="1656" w:type="dxa"/>
            <w:shd w:val="clear" w:color="auto" w:fill="DCE8EF"/>
            <w:tcMar>
              <w:top w:w="70" w:type="dxa"/>
              <w:left w:w="90" w:type="dxa"/>
              <w:bottom w:w="70" w:type="dxa"/>
              <w:right w:w="90" w:type="dxa"/>
            </w:tcMar>
            <w:vAlign w:val="center"/>
          </w:tcPr>
          <w:p w14:paraId="0A4F7B0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262E553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A87EAE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2B4ABA0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3E7CC0F0" w14:textId="77777777">
        <w:trPr>
          <w:cantSplit/>
          <w:jc w:val="center"/>
        </w:trPr>
        <w:tc>
          <w:tcPr>
            <w:tcW w:w="1656" w:type="dxa"/>
            <w:tcMar>
              <w:top w:w="70" w:type="dxa"/>
              <w:left w:w="90" w:type="dxa"/>
              <w:bottom w:w="70" w:type="dxa"/>
              <w:right w:w="90" w:type="dxa"/>
            </w:tcMar>
            <w:vAlign w:val="center"/>
          </w:tcPr>
          <w:p w14:paraId="5CDCE1F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20D675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5E66EA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2D4B58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4DE51780" w14:textId="77777777">
        <w:trPr>
          <w:cantSplit/>
          <w:jc w:val="center"/>
        </w:trPr>
        <w:tc>
          <w:tcPr>
            <w:tcW w:w="1656" w:type="dxa"/>
            <w:tcMar>
              <w:top w:w="70" w:type="dxa"/>
              <w:left w:w="90" w:type="dxa"/>
              <w:bottom w:w="70" w:type="dxa"/>
              <w:right w:w="90" w:type="dxa"/>
            </w:tcMar>
            <w:vAlign w:val="center"/>
          </w:tcPr>
          <w:p w14:paraId="53027A1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2112F2C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6EF903D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6214AAB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6F4DE39E" w14:textId="77777777">
        <w:trPr>
          <w:cantSplit/>
          <w:jc w:val="center"/>
        </w:trPr>
        <w:tc>
          <w:tcPr>
            <w:tcW w:w="1656" w:type="dxa"/>
            <w:tcMar>
              <w:top w:w="70" w:type="dxa"/>
              <w:left w:w="90" w:type="dxa"/>
              <w:bottom w:w="70" w:type="dxa"/>
              <w:right w:w="90" w:type="dxa"/>
            </w:tcMar>
            <w:vAlign w:val="center"/>
          </w:tcPr>
          <w:p w14:paraId="68C363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2ABE32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5DAA89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726A33B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15376903" w14:textId="77777777">
        <w:trPr>
          <w:cantSplit/>
          <w:jc w:val="center"/>
        </w:trPr>
        <w:tc>
          <w:tcPr>
            <w:tcW w:w="1656" w:type="dxa"/>
            <w:tcMar>
              <w:top w:w="70" w:type="dxa"/>
              <w:left w:w="90" w:type="dxa"/>
              <w:bottom w:w="70" w:type="dxa"/>
              <w:right w:w="90" w:type="dxa"/>
            </w:tcMar>
            <w:vAlign w:val="center"/>
          </w:tcPr>
          <w:p w14:paraId="1A2207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26932B5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6F305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642C5EA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1DB41605" w14:textId="77777777">
        <w:trPr>
          <w:cantSplit/>
          <w:jc w:val="center"/>
        </w:trPr>
        <w:tc>
          <w:tcPr>
            <w:tcW w:w="1656" w:type="dxa"/>
            <w:tcMar>
              <w:top w:w="70" w:type="dxa"/>
              <w:left w:w="90" w:type="dxa"/>
              <w:bottom w:w="70" w:type="dxa"/>
              <w:right w:w="90" w:type="dxa"/>
            </w:tcMar>
            <w:vAlign w:val="center"/>
          </w:tcPr>
          <w:p w14:paraId="09C44AB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4A742C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65E661E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52478B3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A5E8940" w14:textId="77777777">
        <w:trPr>
          <w:cantSplit/>
          <w:jc w:val="center"/>
        </w:trPr>
        <w:tc>
          <w:tcPr>
            <w:tcW w:w="1656" w:type="dxa"/>
            <w:tcMar>
              <w:top w:w="70" w:type="dxa"/>
              <w:left w:w="90" w:type="dxa"/>
              <w:bottom w:w="70" w:type="dxa"/>
              <w:right w:w="90" w:type="dxa"/>
            </w:tcMar>
            <w:vAlign w:val="center"/>
          </w:tcPr>
          <w:p w14:paraId="20BD864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21D4F7B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022FB1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7AABC2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5AA619B1" w14:textId="77777777">
        <w:trPr>
          <w:cantSplit/>
          <w:jc w:val="center"/>
        </w:trPr>
        <w:tc>
          <w:tcPr>
            <w:tcW w:w="1656" w:type="dxa"/>
            <w:tcMar>
              <w:top w:w="70" w:type="dxa"/>
              <w:left w:w="90" w:type="dxa"/>
              <w:bottom w:w="70" w:type="dxa"/>
              <w:right w:w="90" w:type="dxa"/>
            </w:tcMar>
            <w:vAlign w:val="center"/>
          </w:tcPr>
          <w:p w14:paraId="07C430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0C7BAC1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7F86BC7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6EF8D23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313489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4792545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53B9702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0C117CD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15EFF03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0DE73B3"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6109631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14:paraId="402AFA4A" w14:textId="6DB9E11D" w:rsidR="00F4612D" w:rsidRDefault="00DC3F14">
      <w:pPr>
        <w:pStyle w:val="BodyText"/>
      </w:pPr>
      <w:r>
        <w:t xml:space="preserve">Representative artifact pointers for Table 4 are retained in the public tree rather than reproduced as raw data. The strongest CRAG mock-API result is associated with run_id </w:t>
      </w:r>
      <w:r w:rsidR="0090312D">
        <w:t>RAGWarrant</w:t>
      </w:r>
      <w:r>
        <w:t>_crag_mock_api_validation_v1_20260809-165415-92d8c0edd4; supporting summaries include results/behavioral_governance/paper_ready_summary.md, results/multi_dataset_behavioral_governance/paper_ready_summary.md, results/generative_llm_validation/synthesis_report.md, docs/selector_ablation_stress_v2.md, results/claim_status/claim_status_table.csv, and the canonical results/run_index.csv.</w:t>
      </w:r>
    </w:p>
    <w:p w14:paraId="4BD0C4A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15C18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6080760" cy="3379752"/>
                    </a:xfrm>
                    <a:prstGeom prst="rect">
                      <a:avLst/>
                    </a:prstGeom>
                  </pic:spPr>
                </pic:pic>
              </a:graphicData>
            </a:graphic>
          </wp:inline>
        </w:drawing>
      </w:r>
    </w:p>
    <w:p w14:paraId="14ADC64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699CB67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C11965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retrieval, both selectors again chose the same high-retrieval policy. A larger T2-RAGBench development run was directly unfavorable to RAG Compass, reinforcing the optimizer-agnostic design.</w:t>
      </w:r>
    </w:p>
    <w:p w14:paraId="09C0E1D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47A4E05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1B3ECD96" w14:textId="4039779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These studies also expose an important distinction between selection correctness and hindsight regret. A policy selected from validation evidence can lose to another policy on a sealed test set without implying a logic defect. </w:t>
      </w:r>
      <w:r w:rsidR="0090312D">
        <w:rPr>
          <w:rFonts w:asciiTheme="majorHAnsi" w:hAnsiTheme="majorHAnsi"/>
          <w:color w:val="000000" w:themeColor="text1"/>
        </w:rPr>
        <w:t>RAGWarrant</w:t>
      </w:r>
      <w:r w:rsidRPr="002A2802">
        <w:rPr>
          <w:rFonts w:asciiTheme="majorHAnsi" w:hAnsiTheme="majorHAnsi"/>
          <w:color w:val="000000" w:themeColor="text1"/>
        </w:rPr>
        <w:t xml:space="preserve"> records that reversal, but it does not retroactively choose the test winner. This preserves the separation between model selection and final estimation that the governance contract is intended to enforce.</w:t>
      </w:r>
    </w:p>
    <w:p w14:paraId="5361A98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64B1055E" w14:textId="57832B82"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HotpotQA provides the clearest negative test. The governed policy reduced retrieval cost, context volume, and calls, but answer quality declined beyond the declared noninferiority margin. A conventional efficiency report could describe the run as a cost win; </w:t>
      </w:r>
      <w:r w:rsidR="0090312D">
        <w:rPr>
          <w:rFonts w:asciiTheme="majorHAnsi" w:hAnsiTheme="majorHAnsi"/>
          <w:color w:val="000000" w:themeColor="text1"/>
        </w:rPr>
        <w:t>RAGWarrant</w:t>
      </w:r>
      <w:r w:rsidRPr="002A2802">
        <w:rPr>
          <w:rFonts w:asciiTheme="majorHAnsi" w:hAnsiTheme="majorHAnsi"/>
          <w:color w:val="000000" w:themeColor="text1"/>
        </w:rPr>
        <w:t xml:space="preserve"> classified it as operational gain with quality loss and withheld promotion.</w:t>
      </w:r>
    </w:p>
    <w:p w14:paraId="7627CDD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7011E55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799801B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57868B7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FA23BA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6DD7A8E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0577459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4BB66B9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049FAE9"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12B96EF" w14:textId="77777777" w:rsidR="00A16D83" w:rsidRPr="002A2802" w:rsidRDefault="00A16D83">
      <w:pPr>
        <w:pStyle w:val="BodyText"/>
        <w:spacing w:after="84" w:line="254" w:lineRule="auto"/>
        <w:ind w:firstLine="317"/>
        <w:jc w:val="both"/>
        <w:rPr>
          <w:rFonts w:asciiTheme="majorHAnsi" w:hAnsiTheme="majorHAnsi"/>
          <w:color w:val="000000" w:themeColor="text1"/>
        </w:rPr>
      </w:pPr>
    </w:p>
    <w:p w14:paraId="204A23F2"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035040" cy="2745623"/>
                    </a:xfrm>
                    <a:prstGeom prst="rect">
                      <a:avLst/>
                    </a:prstGeom>
                  </pic:spPr>
                </pic:pic>
              </a:graphicData>
            </a:graphic>
          </wp:inline>
        </w:drawing>
      </w:r>
    </w:p>
    <w:p w14:paraId="5751BB93"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p w14:paraId="7595ED3C" w14:textId="77777777" w:rsidR="00F4612D" w:rsidRDefault="00DC3F14">
      <w:r>
        <w:br w:type="page"/>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7C02BB65" w14:textId="77777777">
        <w:trPr>
          <w:cantSplit/>
          <w:tblHeader/>
          <w:jc w:val="center"/>
        </w:trPr>
        <w:tc>
          <w:tcPr>
            <w:tcW w:w="1800" w:type="dxa"/>
            <w:shd w:val="clear" w:color="auto" w:fill="DCE8EF"/>
            <w:tcMar>
              <w:top w:w="70" w:type="dxa"/>
              <w:left w:w="90" w:type="dxa"/>
              <w:bottom w:w="70" w:type="dxa"/>
              <w:right w:w="90" w:type="dxa"/>
            </w:tcMar>
            <w:vAlign w:val="center"/>
          </w:tcPr>
          <w:p w14:paraId="13BB1A2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lastRenderedPageBreak/>
              <w:t>Evaluation</w:t>
            </w:r>
          </w:p>
        </w:tc>
        <w:tc>
          <w:tcPr>
            <w:tcW w:w="1872" w:type="dxa"/>
            <w:shd w:val="clear" w:color="auto" w:fill="DCE8EF"/>
            <w:tcMar>
              <w:top w:w="70" w:type="dxa"/>
              <w:left w:w="90" w:type="dxa"/>
              <w:bottom w:w="70" w:type="dxa"/>
              <w:right w:w="90" w:type="dxa"/>
            </w:tcMar>
            <w:vAlign w:val="center"/>
          </w:tcPr>
          <w:p w14:paraId="0BE6E75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3444DB2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5098410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20D951A6" w14:textId="77777777">
        <w:trPr>
          <w:cantSplit/>
          <w:jc w:val="center"/>
        </w:trPr>
        <w:tc>
          <w:tcPr>
            <w:tcW w:w="1800" w:type="dxa"/>
            <w:tcMar>
              <w:top w:w="70" w:type="dxa"/>
              <w:left w:w="90" w:type="dxa"/>
              <w:bottom w:w="70" w:type="dxa"/>
              <w:right w:w="90" w:type="dxa"/>
            </w:tcMar>
            <w:vAlign w:val="center"/>
          </w:tcPr>
          <w:p w14:paraId="0FDC1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089610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000C0F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69B005B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3C594198" w14:textId="77777777">
        <w:trPr>
          <w:cantSplit/>
          <w:jc w:val="center"/>
        </w:trPr>
        <w:tc>
          <w:tcPr>
            <w:tcW w:w="1800" w:type="dxa"/>
            <w:tcMar>
              <w:top w:w="70" w:type="dxa"/>
              <w:left w:w="90" w:type="dxa"/>
              <w:bottom w:w="70" w:type="dxa"/>
              <w:right w:w="90" w:type="dxa"/>
            </w:tcMar>
            <w:vAlign w:val="center"/>
          </w:tcPr>
          <w:p w14:paraId="4C1E05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36C8C2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4EC94AE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B4B8C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46C694C2" w14:textId="77777777">
        <w:trPr>
          <w:cantSplit/>
          <w:jc w:val="center"/>
        </w:trPr>
        <w:tc>
          <w:tcPr>
            <w:tcW w:w="1800" w:type="dxa"/>
            <w:tcMar>
              <w:top w:w="70" w:type="dxa"/>
              <w:left w:w="90" w:type="dxa"/>
              <w:bottom w:w="70" w:type="dxa"/>
              <w:right w:w="90" w:type="dxa"/>
            </w:tcMar>
            <w:vAlign w:val="center"/>
          </w:tcPr>
          <w:p w14:paraId="4736482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087BA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A8F30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253754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1E415E2F" w14:textId="77777777">
        <w:trPr>
          <w:cantSplit/>
          <w:jc w:val="center"/>
        </w:trPr>
        <w:tc>
          <w:tcPr>
            <w:tcW w:w="1800" w:type="dxa"/>
            <w:tcMar>
              <w:top w:w="70" w:type="dxa"/>
              <w:left w:w="90" w:type="dxa"/>
              <w:bottom w:w="70" w:type="dxa"/>
              <w:right w:w="90" w:type="dxa"/>
            </w:tcMar>
            <w:vAlign w:val="center"/>
          </w:tcPr>
          <w:p w14:paraId="4B45B5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4C479C9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724E16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38B8A2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67BB3B9A" w14:textId="77777777">
        <w:trPr>
          <w:cantSplit/>
          <w:jc w:val="center"/>
        </w:trPr>
        <w:tc>
          <w:tcPr>
            <w:tcW w:w="1800" w:type="dxa"/>
            <w:tcMar>
              <w:top w:w="70" w:type="dxa"/>
              <w:left w:w="90" w:type="dxa"/>
              <w:bottom w:w="70" w:type="dxa"/>
              <w:right w:w="90" w:type="dxa"/>
            </w:tcMar>
            <w:vAlign w:val="center"/>
          </w:tcPr>
          <w:p w14:paraId="4CC6EB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06519A5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039B37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74BF3E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7A072B19" w14:textId="77777777">
        <w:trPr>
          <w:cantSplit/>
          <w:jc w:val="center"/>
        </w:trPr>
        <w:tc>
          <w:tcPr>
            <w:tcW w:w="1800" w:type="dxa"/>
            <w:tcMar>
              <w:top w:w="70" w:type="dxa"/>
              <w:left w:w="90" w:type="dxa"/>
              <w:bottom w:w="70" w:type="dxa"/>
              <w:right w:w="90" w:type="dxa"/>
            </w:tcMar>
            <w:vAlign w:val="center"/>
          </w:tcPr>
          <w:p w14:paraId="14EA717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10FB9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5338F5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4B2F8B7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5375E362" w14:textId="77777777">
        <w:trPr>
          <w:cantSplit/>
          <w:jc w:val="center"/>
        </w:trPr>
        <w:tc>
          <w:tcPr>
            <w:tcW w:w="1800" w:type="dxa"/>
            <w:tcMar>
              <w:top w:w="70" w:type="dxa"/>
              <w:left w:w="90" w:type="dxa"/>
              <w:bottom w:w="70" w:type="dxa"/>
              <w:right w:w="90" w:type="dxa"/>
            </w:tcMar>
            <w:vAlign w:val="center"/>
          </w:tcPr>
          <w:p w14:paraId="000D65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1CFADBD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ED10E9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1528A6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3510C5BE" w14:textId="77777777">
        <w:trPr>
          <w:cantSplit/>
          <w:jc w:val="center"/>
        </w:trPr>
        <w:tc>
          <w:tcPr>
            <w:tcW w:w="1800" w:type="dxa"/>
            <w:tcMar>
              <w:top w:w="70" w:type="dxa"/>
              <w:left w:w="90" w:type="dxa"/>
              <w:bottom w:w="70" w:type="dxa"/>
              <w:right w:w="90" w:type="dxa"/>
            </w:tcMar>
            <w:vAlign w:val="center"/>
          </w:tcPr>
          <w:p w14:paraId="6CA1111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7A18E4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27F0265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42FB12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6749B58C" w14:textId="77777777">
        <w:trPr>
          <w:cantSplit/>
          <w:jc w:val="center"/>
        </w:trPr>
        <w:tc>
          <w:tcPr>
            <w:tcW w:w="1800" w:type="dxa"/>
            <w:tcMar>
              <w:top w:w="70" w:type="dxa"/>
              <w:left w:w="90" w:type="dxa"/>
              <w:bottom w:w="70" w:type="dxa"/>
              <w:right w:w="90" w:type="dxa"/>
            </w:tcMar>
            <w:vAlign w:val="center"/>
          </w:tcPr>
          <w:p w14:paraId="5F7EC8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1DE7D5C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6200E1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56E9ED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11C69879"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14:paraId="0AD420EB" w14:textId="77777777" w:rsidR="00F4612D" w:rsidRDefault="00DC3F14">
      <w:r>
        <w:rPr>
          <w:sz w:val="16"/>
        </w:rPr>
        <w:t>Note: cost and latency deltas in Table 4 follow each suite's declared telemetry fields and are comparable only within the corresponding evaluation path. Unless an artifact declares otherwise, cost is a normalized or modeled operational-cost field rather than a dollar-denominated cloud bill.</w:t>
      </w:r>
    </w:p>
    <w:p w14:paraId="06FF8B60"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1492979A" w14:textId="65A93084"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56CEAB7C" w14:textId="5B9C431A"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This position is complementary to existing tools. A team may obtain answer correctness from one evaluator, faithfulness from another, cost and latency from traces, and a security disqualifier from a separate suite. </w:t>
      </w:r>
      <w:r w:rsidR="0090312D">
        <w:rPr>
          <w:rFonts w:asciiTheme="majorHAnsi" w:hAnsiTheme="majorHAnsi"/>
          <w:color w:val="000000" w:themeColor="text1"/>
        </w:rPr>
        <w:t>RAGWarrant</w:t>
      </w:r>
      <w:r w:rsidRPr="002A2802">
        <w:rPr>
          <w:rFonts w:asciiTheme="majorHAnsi" w:hAnsiTheme="majorHAnsi"/>
          <w:color w:val="000000" w:themeColor="text1"/>
        </w:rPr>
        <w:t>'s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5195AB4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75D7DC70" w14:textId="36976A35"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practical governance program must eventually price false refusal as carefully as false promotion. Blocking too often can preserve a costly configuration, slow improvement, and encourage teams to bypass the process. </w:t>
      </w:r>
      <w:r w:rsidR="0090312D">
        <w:rPr>
          <w:rFonts w:asciiTheme="majorHAnsi" w:hAnsiTheme="majorHAnsi"/>
          <w:color w:val="000000" w:themeColor="text1"/>
        </w:rPr>
        <w:t>RAGWarrant</w:t>
      </w:r>
      <w:r w:rsidRPr="002A2802">
        <w:rPr>
          <w:rFonts w:asciiTheme="majorHAnsi" w:hAnsiTheme="majorHAnsi"/>
          <w:color w:val="000000" w:themeColor="text1"/>
        </w:rPr>
        <w:t>'s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7530B03E" w14:textId="4251F57F"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w:t>
      </w:r>
      <w:r w:rsidR="0090312D">
        <w:rPr>
          <w:rFonts w:asciiTheme="majorHAnsi" w:hAnsiTheme="majorHAnsi"/>
          <w:color w:val="000000" w:themeColor="text1"/>
        </w:rPr>
        <w:t>RAGWarrant</w:t>
      </w:r>
      <w:r w:rsidRPr="002A2802">
        <w:rPr>
          <w:rFonts w:asciiTheme="majorHAnsi" w:hAnsiTheme="majorHAnsi"/>
          <w:color w:val="000000" w:themeColor="text1"/>
        </w:rPr>
        <w:t xml:space="preserve"> can run as a finite CI/CD or monitoring job and emit an artifact suitable for change review; integration with live identity, authorization, and incident processes remains deployment-specific.</w:t>
      </w:r>
    </w:p>
    <w:p w14:paraId="67E6289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03B0229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172CC13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2AFE4A0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86BCF7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5B02833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0820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19388D4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Reproducibility artifacts verify code paths, decisions, and public hygiene; they cannot independently verify licensed raw data that are excluded from the repository. Exact external replication therefore depends on acquiring the original corpora and reconstructing the declared manifests. The release tag itself is an engineering checkpoint rather than a guarantee that every historical artifact can be regenerated without those sources.</w:t>
      </w:r>
    </w:p>
    <w:p w14:paraId="29917F2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DC75C7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v0.1.1-rc1 artifact identifies a fixed commit and includes configs, schemas, sanitized processed results, tests, Docker assets, deployment templates, claim tables, release manifests, and an evidence ledger.</w:t>
      </w:r>
    </w:p>
    <w:p w14:paraId="74326F7B" w14:textId="77777777" w:rsidR="00F4612D" w:rsidRDefault="00DC3F14">
      <w:pPr>
        <w:pStyle w:val="BodyText"/>
      </w:pPr>
      <w:r>
        <w:t>Public artifacts exclude raw licensed dataset text, raw prompts, generated answers, raw API responses, credentials, local caches, and model weights; where needed, the repository retains hashes, IDs, counts, metrics, and sanitized summaries.</w:t>
      </w:r>
    </w:p>
    <w:p w14:paraId="4DEBBB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677FDE6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2F83629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10. Conclusion</w:t>
      </w:r>
    </w:p>
    <w:p w14:paraId="5E6B1B64" w14:textId="108FA0AF"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4E06BC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738A6B4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04319FA"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49485DB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84023C6" w14:textId="2C0E5D53" w:rsidR="00A16D83" w:rsidRPr="002A2802" w:rsidRDefault="0090312D">
      <w:pPr>
        <w:pStyle w:val="BodyText"/>
        <w:spacing w:after="84" w:line="254" w:lineRule="auto"/>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30000595" w14:textId="77777777">
        <w:trPr>
          <w:cantSplit/>
          <w:tblHeader/>
          <w:jc w:val="center"/>
        </w:trPr>
        <w:tc>
          <w:tcPr>
            <w:tcW w:w="1872" w:type="dxa"/>
            <w:shd w:val="clear" w:color="auto" w:fill="DCE8EF"/>
            <w:tcMar>
              <w:top w:w="70" w:type="dxa"/>
              <w:left w:w="90" w:type="dxa"/>
              <w:bottom w:w="70" w:type="dxa"/>
              <w:right w:w="90" w:type="dxa"/>
            </w:tcMar>
            <w:vAlign w:val="center"/>
          </w:tcPr>
          <w:p w14:paraId="4FA94B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2CB50A7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385FFF6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55D6E44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4339F2" w14:textId="77777777">
        <w:trPr>
          <w:cantSplit/>
          <w:jc w:val="center"/>
        </w:trPr>
        <w:tc>
          <w:tcPr>
            <w:tcW w:w="1872" w:type="dxa"/>
            <w:tcMar>
              <w:top w:w="70" w:type="dxa"/>
              <w:left w:w="90" w:type="dxa"/>
              <w:bottom w:w="70" w:type="dxa"/>
              <w:right w:w="90" w:type="dxa"/>
            </w:tcMar>
            <w:vAlign w:val="center"/>
          </w:tcPr>
          <w:p w14:paraId="0BE2E8C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1B09680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2E965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5EF9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33DBA70D" w14:textId="77777777">
        <w:trPr>
          <w:cantSplit/>
          <w:jc w:val="center"/>
        </w:trPr>
        <w:tc>
          <w:tcPr>
            <w:tcW w:w="1872" w:type="dxa"/>
            <w:tcMar>
              <w:top w:w="70" w:type="dxa"/>
              <w:left w:w="90" w:type="dxa"/>
              <w:bottom w:w="70" w:type="dxa"/>
              <w:right w:w="90" w:type="dxa"/>
            </w:tcMar>
            <w:vAlign w:val="center"/>
          </w:tcPr>
          <w:p w14:paraId="2012C44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0B0140C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4A1DAE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6FBCAA3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13C7AD2A" w14:textId="77777777">
        <w:trPr>
          <w:cantSplit/>
          <w:jc w:val="center"/>
        </w:trPr>
        <w:tc>
          <w:tcPr>
            <w:tcW w:w="1872" w:type="dxa"/>
            <w:tcMar>
              <w:top w:w="70" w:type="dxa"/>
              <w:left w:w="90" w:type="dxa"/>
              <w:bottom w:w="70" w:type="dxa"/>
              <w:right w:w="90" w:type="dxa"/>
            </w:tcMar>
            <w:vAlign w:val="center"/>
          </w:tcPr>
          <w:p w14:paraId="0CA45CB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18868F4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7D33A8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41C3E8D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2980ADAF" w14:textId="77777777">
        <w:trPr>
          <w:cantSplit/>
          <w:jc w:val="center"/>
        </w:trPr>
        <w:tc>
          <w:tcPr>
            <w:tcW w:w="1872" w:type="dxa"/>
            <w:tcMar>
              <w:top w:w="70" w:type="dxa"/>
              <w:left w:w="90" w:type="dxa"/>
              <w:bottom w:w="70" w:type="dxa"/>
              <w:right w:w="90" w:type="dxa"/>
            </w:tcMar>
            <w:vAlign w:val="center"/>
          </w:tcPr>
          <w:p w14:paraId="6E4AD4C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47D2FE0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046799D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1584FA3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B68D1DB" w14:textId="77777777">
        <w:trPr>
          <w:cantSplit/>
          <w:jc w:val="center"/>
        </w:trPr>
        <w:tc>
          <w:tcPr>
            <w:tcW w:w="1872" w:type="dxa"/>
            <w:tcMar>
              <w:top w:w="70" w:type="dxa"/>
              <w:left w:w="90" w:type="dxa"/>
              <w:bottom w:w="70" w:type="dxa"/>
              <w:right w:w="90" w:type="dxa"/>
            </w:tcMar>
            <w:vAlign w:val="center"/>
          </w:tcPr>
          <w:p w14:paraId="4893DCE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6B8E6A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51A9CEB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7A6CCF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060B5E07" w14:textId="77777777">
        <w:trPr>
          <w:cantSplit/>
          <w:jc w:val="center"/>
        </w:trPr>
        <w:tc>
          <w:tcPr>
            <w:tcW w:w="1872" w:type="dxa"/>
            <w:tcMar>
              <w:top w:w="70" w:type="dxa"/>
              <w:left w:w="90" w:type="dxa"/>
              <w:bottom w:w="70" w:type="dxa"/>
              <w:right w:w="90" w:type="dxa"/>
            </w:tcMar>
            <w:vAlign w:val="center"/>
          </w:tcPr>
          <w:p w14:paraId="3F47918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37A5DE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715A75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364812F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30BB3CA2" w14:textId="77777777">
        <w:trPr>
          <w:cantSplit/>
          <w:jc w:val="center"/>
        </w:trPr>
        <w:tc>
          <w:tcPr>
            <w:tcW w:w="1872" w:type="dxa"/>
            <w:tcMar>
              <w:top w:w="70" w:type="dxa"/>
              <w:left w:w="90" w:type="dxa"/>
              <w:bottom w:w="70" w:type="dxa"/>
              <w:right w:w="90" w:type="dxa"/>
            </w:tcMar>
            <w:vAlign w:val="center"/>
          </w:tcPr>
          <w:p w14:paraId="7D22E8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3F2CBB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323502E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36BDF7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6F0DAE1" w14:textId="77777777">
        <w:trPr>
          <w:cantSplit/>
          <w:jc w:val="center"/>
        </w:trPr>
        <w:tc>
          <w:tcPr>
            <w:tcW w:w="1872" w:type="dxa"/>
            <w:tcMar>
              <w:top w:w="70" w:type="dxa"/>
              <w:left w:w="90" w:type="dxa"/>
              <w:bottom w:w="70" w:type="dxa"/>
              <w:right w:w="90" w:type="dxa"/>
            </w:tcMar>
            <w:vAlign w:val="center"/>
          </w:tcPr>
          <w:p w14:paraId="1A11F25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3D89AA4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655616A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32AFA24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3109AAD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5AEC411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348AE029" w14:textId="0B811F74"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w:t>
      </w:r>
      <w:r w:rsidR="00BA2D96">
        <w:rPr>
          <w:rFonts w:asciiTheme="majorHAnsi" w:hAnsiTheme="majorHAnsi"/>
          <w:color w:val="000000" w:themeColor="text1"/>
        </w:rPr>
        <w:t xml:space="preserve"> </w:t>
      </w:r>
      <w:r w:rsidRPr="002A2802">
        <w:rPr>
          <w:rFonts w:asciiTheme="majorHAnsi" w:hAnsiTheme="majorHAnsi"/>
          <w:color w:val="000000" w:themeColor="text1"/>
        </w:rPr>
        <w:t>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47D3AEBA" w14:textId="77777777">
        <w:trPr>
          <w:cantSplit/>
          <w:tblHeader/>
          <w:jc w:val="center"/>
        </w:trPr>
        <w:tc>
          <w:tcPr>
            <w:tcW w:w="1584" w:type="dxa"/>
            <w:shd w:val="clear" w:color="auto" w:fill="DCE8EF"/>
            <w:tcMar>
              <w:top w:w="70" w:type="dxa"/>
              <w:left w:w="90" w:type="dxa"/>
              <w:bottom w:w="70" w:type="dxa"/>
              <w:right w:w="90" w:type="dxa"/>
            </w:tcMar>
            <w:vAlign w:val="center"/>
          </w:tcPr>
          <w:p w14:paraId="4EC64A9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2827E6C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1DCC75E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21F94284" w14:textId="77777777">
        <w:trPr>
          <w:cantSplit/>
          <w:jc w:val="center"/>
        </w:trPr>
        <w:tc>
          <w:tcPr>
            <w:tcW w:w="1584" w:type="dxa"/>
            <w:tcMar>
              <w:top w:w="70" w:type="dxa"/>
              <w:left w:w="90" w:type="dxa"/>
              <w:bottom w:w="70" w:type="dxa"/>
              <w:right w:w="90" w:type="dxa"/>
            </w:tcMar>
            <w:vAlign w:val="center"/>
          </w:tcPr>
          <w:p w14:paraId="1EE2FBE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04E76B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3D091F0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672BE60C" w14:textId="77777777">
        <w:trPr>
          <w:cantSplit/>
          <w:jc w:val="center"/>
        </w:trPr>
        <w:tc>
          <w:tcPr>
            <w:tcW w:w="1584" w:type="dxa"/>
            <w:tcMar>
              <w:top w:w="70" w:type="dxa"/>
              <w:left w:w="90" w:type="dxa"/>
              <w:bottom w:w="70" w:type="dxa"/>
              <w:right w:w="90" w:type="dxa"/>
            </w:tcMar>
            <w:vAlign w:val="center"/>
          </w:tcPr>
          <w:p w14:paraId="727981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3A585A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A98135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4907B76B" w14:textId="77777777">
        <w:trPr>
          <w:cantSplit/>
          <w:jc w:val="center"/>
        </w:trPr>
        <w:tc>
          <w:tcPr>
            <w:tcW w:w="1584" w:type="dxa"/>
            <w:tcMar>
              <w:top w:w="70" w:type="dxa"/>
              <w:left w:w="90" w:type="dxa"/>
              <w:bottom w:w="70" w:type="dxa"/>
              <w:right w:w="90" w:type="dxa"/>
            </w:tcMar>
            <w:vAlign w:val="center"/>
          </w:tcPr>
          <w:p w14:paraId="1A253F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220546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3F700F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4FE7DEE7" w14:textId="77777777">
        <w:trPr>
          <w:cantSplit/>
          <w:jc w:val="center"/>
        </w:trPr>
        <w:tc>
          <w:tcPr>
            <w:tcW w:w="1584" w:type="dxa"/>
            <w:tcMar>
              <w:top w:w="70" w:type="dxa"/>
              <w:left w:w="90" w:type="dxa"/>
              <w:bottom w:w="70" w:type="dxa"/>
              <w:right w:w="90" w:type="dxa"/>
            </w:tcMar>
            <w:vAlign w:val="center"/>
          </w:tcPr>
          <w:p w14:paraId="481451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4E8475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AAFA8B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777C3FF2" w14:textId="77777777">
        <w:trPr>
          <w:cantSplit/>
          <w:jc w:val="center"/>
        </w:trPr>
        <w:tc>
          <w:tcPr>
            <w:tcW w:w="1584" w:type="dxa"/>
            <w:tcMar>
              <w:top w:w="70" w:type="dxa"/>
              <w:left w:w="90" w:type="dxa"/>
              <w:bottom w:w="70" w:type="dxa"/>
              <w:right w:w="90" w:type="dxa"/>
            </w:tcMar>
            <w:vAlign w:val="center"/>
          </w:tcPr>
          <w:p w14:paraId="0D5F11C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133981D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2036F5B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4469B262" w14:textId="77777777">
        <w:trPr>
          <w:cantSplit/>
          <w:jc w:val="center"/>
        </w:trPr>
        <w:tc>
          <w:tcPr>
            <w:tcW w:w="1584" w:type="dxa"/>
            <w:tcMar>
              <w:top w:w="70" w:type="dxa"/>
              <w:left w:w="90" w:type="dxa"/>
              <w:bottom w:w="70" w:type="dxa"/>
              <w:right w:w="90" w:type="dxa"/>
            </w:tcMar>
            <w:vAlign w:val="center"/>
          </w:tcPr>
          <w:p w14:paraId="74AE0D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3728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631F57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25ED45E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1A9E67E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4A051EB3"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256E8447" w14:textId="77777777">
        <w:trPr>
          <w:cantSplit/>
          <w:tblHeader/>
          <w:jc w:val="center"/>
        </w:trPr>
        <w:tc>
          <w:tcPr>
            <w:tcW w:w="2520" w:type="dxa"/>
            <w:shd w:val="clear" w:color="auto" w:fill="DCE8EF"/>
            <w:tcMar>
              <w:top w:w="70" w:type="dxa"/>
              <w:left w:w="90" w:type="dxa"/>
              <w:bottom w:w="70" w:type="dxa"/>
              <w:right w:w="90" w:type="dxa"/>
            </w:tcMar>
            <w:vAlign w:val="center"/>
          </w:tcPr>
          <w:p w14:paraId="417796B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23DCB9B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v0.1.1-rc1</w:t>
            </w:r>
          </w:p>
        </w:tc>
        <w:tc>
          <w:tcPr>
            <w:tcW w:w="5472" w:type="dxa"/>
            <w:shd w:val="clear" w:color="auto" w:fill="DCE8EF"/>
            <w:tcMar>
              <w:top w:w="70" w:type="dxa"/>
              <w:left w:w="90" w:type="dxa"/>
              <w:bottom w:w="70" w:type="dxa"/>
              <w:right w:w="90" w:type="dxa"/>
            </w:tcMar>
            <w:vAlign w:val="center"/>
          </w:tcPr>
          <w:p w14:paraId="65CDDB9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10312EB3" w14:textId="77777777">
        <w:trPr>
          <w:cantSplit/>
          <w:jc w:val="center"/>
        </w:trPr>
        <w:tc>
          <w:tcPr>
            <w:tcW w:w="2520" w:type="dxa"/>
            <w:tcMar>
              <w:top w:w="70" w:type="dxa"/>
              <w:left w:w="90" w:type="dxa"/>
              <w:bottom w:w="70" w:type="dxa"/>
              <w:right w:w="90" w:type="dxa"/>
            </w:tcMar>
            <w:vAlign w:val="center"/>
          </w:tcPr>
          <w:p w14:paraId="1BD56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662D48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724D07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7247EAD1" w14:textId="77777777">
        <w:trPr>
          <w:cantSplit/>
          <w:jc w:val="center"/>
        </w:trPr>
        <w:tc>
          <w:tcPr>
            <w:tcW w:w="2520" w:type="dxa"/>
            <w:tcMar>
              <w:top w:w="70" w:type="dxa"/>
              <w:left w:w="90" w:type="dxa"/>
              <w:bottom w:w="70" w:type="dxa"/>
              <w:right w:w="90" w:type="dxa"/>
            </w:tcMar>
            <w:vAlign w:val="center"/>
          </w:tcPr>
          <w:p w14:paraId="49D939C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2D8B77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5A68671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3C000BA6" w14:textId="77777777">
        <w:trPr>
          <w:cantSplit/>
          <w:jc w:val="center"/>
        </w:trPr>
        <w:tc>
          <w:tcPr>
            <w:tcW w:w="2520" w:type="dxa"/>
            <w:tcMar>
              <w:top w:w="70" w:type="dxa"/>
              <w:left w:w="90" w:type="dxa"/>
              <w:bottom w:w="70" w:type="dxa"/>
              <w:right w:w="90" w:type="dxa"/>
            </w:tcMar>
            <w:vAlign w:val="center"/>
          </w:tcPr>
          <w:p w14:paraId="4C0851B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76344B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4F4F9B2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1B3465BB" w14:textId="77777777">
        <w:trPr>
          <w:cantSplit/>
          <w:jc w:val="center"/>
        </w:trPr>
        <w:tc>
          <w:tcPr>
            <w:tcW w:w="2520" w:type="dxa"/>
            <w:tcMar>
              <w:top w:w="70" w:type="dxa"/>
              <w:left w:w="90" w:type="dxa"/>
              <w:bottom w:w="70" w:type="dxa"/>
              <w:right w:w="90" w:type="dxa"/>
            </w:tcMar>
            <w:vAlign w:val="center"/>
          </w:tcPr>
          <w:p w14:paraId="68CBA9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68208DE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3F14D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461E8DF9" w14:textId="77777777">
        <w:trPr>
          <w:cantSplit/>
          <w:jc w:val="center"/>
        </w:trPr>
        <w:tc>
          <w:tcPr>
            <w:tcW w:w="2520" w:type="dxa"/>
            <w:tcMar>
              <w:top w:w="70" w:type="dxa"/>
              <w:left w:w="90" w:type="dxa"/>
              <w:bottom w:w="70" w:type="dxa"/>
              <w:right w:w="90" w:type="dxa"/>
            </w:tcMar>
            <w:vAlign w:val="center"/>
          </w:tcPr>
          <w:p w14:paraId="442F78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6C3157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3BF1CB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03BCF97D" w14:textId="77777777">
        <w:trPr>
          <w:cantSplit/>
          <w:jc w:val="center"/>
        </w:trPr>
        <w:tc>
          <w:tcPr>
            <w:tcW w:w="2520" w:type="dxa"/>
            <w:tcMar>
              <w:top w:w="70" w:type="dxa"/>
              <w:left w:w="90" w:type="dxa"/>
              <w:bottom w:w="70" w:type="dxa"/>
              <w:right w:w="90" w:type="dxa"/>
            </w:tcMar>
            <w:vAlign w:val="center"/>
          </w:tcPr>
          <w:p w14:paraId="1D396E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3F43F98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2DC899B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4B2AB87D" w14:textId="77777777">
        <w:trPr>
          <w:cantSplit/>
          <w:jc w:val="center"/>
        </w:trPr>
        <w:tc>
          <w:tcPr>
            <w:tcW w:w="2520" w:type="dxa"/>
            <w:tcMar>
              <w:top w:w="70" w:type="dxa"/>
              <w:left w:w="90" w:type="dxa"/>
              <w:bottom w:w="70" w:type="dxa"/>
              <w:right w:w="90" w:type="dxa"/>
            </w:tcMar>
            <w:vAlign w:val="center"/>
          </w:tcPr>
          <w:p w14:paraId="03BBF0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5BFC97C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0458511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51476057" w14:textId="77777777">
        <w:trPr>
          <w:cantSplit/>
          <w:jc w:val="center"/>
        </w:trPr>
        <w:tc>
          <w:tcPr>
            <w:tcW w:w="2520" w:type="dxa"/>
            <w:tcMar>
              <w:top w:w="70" w:type="dxa"/>
              <w:left w:w="90" w:type="dxa"/>
              <w:bottom w:w="70" w:type="dxa"/>
              <w:right w:w="90" w:type="dxa"/>
            </w:tcMar>
            <w:vAlign w:val="center"/>
          </w:tcPr>
          <w:p w14:paraId="40F47FE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7EDBC1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A392E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7DF31581" w14:textId="77777777">
        <w:trPr>
          <w:cantSplit/>
          <w:jc w:val="center"/>
        </w:trPr>
        <w:tc>
          <w:tcPr>
            <w:tcW w:w="2520" w:type="dxa"/>
            <w:tcMar>
              <w:top w:w="70" w:type="dxa"/>
              <w:left w:w="90" w:type="dxa"/>
              <w:bottom w:w="70" w:type="dxa"/>
              <w:right w:w="90" w:type="dxa"/>
            </w:tcMar>
            <w:vAlign w:val="center"/>
          </w:tcPr>
          <w:p w14:paraId="3A47BAD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CD72C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5E499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718CFD55"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48DF8F4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3896CB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0A1B957A" w14:textId="4568572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row-level reconstruction found only one unique paired delta. Query, cluster, dataset-blocked, seed, and hierarchical resampling therefore repeated the same aggregate policy difference rather than exposing query-level variation. </w:t>
      </w:r>
      <w:r w:rsidR="0090312D">
        <w:rPr>
          <w:rFonts w:asciiTheme="majorHAnsi" w:hAnsiTheme="majorHAnsi"/>
          <w:color w:val="000000" w:themeColor="text1"/>
        </w:rPr>
        <w:t>RAGWarrant</w:t>
      </w:r>
      <w:r w:rsidRPr="002A2802">
        <w:rPr>
          <w:rFonts w:asciiTheme="majorHAnsi" w:hAnsiTheme="majorHAnsi"/>
          <w:color w:val="000000" w:themeColor="text1"/>
        </w:rPr>
        <w:t xml:space="preserve"> retained the original run as descriptive candidate-output evidence but marked it inconclusive for calibrated query-level uncertainty.</w:t>
      </w:r>
    </w:p>
    <w:p w14:paraId="5F420E4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0429E8E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56D7864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546644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1880AF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BDFBA0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0EFFA3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15E730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5F70DBF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07B2900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 Comprehensive RAG Benchmark,' arXiv:2406.04744, 2024.</w:t>
      </w:r>
    </w:p>
    <w:p w14:paraId="684D4B5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784F41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138865B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72B2C90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4FD66662"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6F22A5D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1F4082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08EA4C9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F899FB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7DC1EFC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141952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A84BF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41C429E9" w14:textId="47E581ED" w:rsidR="00A16D83" w:rsidRPr="002A2802" w:rsidRDefault="0034031E">
      <w:pPr>
        <w:spacing w:after="42" w:line="240" w:lineRule="auto"/>
        <w:ind w:left="331" w:hanging="331"/>
        <w:rPr>
          <w:rFonts w:asciiTheme="majorHAnsi" w:hAnsiTheme="majorHAnsi"/>
          <w:color w:val="000000" w:themeColor="text1"/>
        </w:rPr>
      </w:pPr>
      <w:r>
        <w:rPr>
          <w:sz w:val="16"/>
        </w:rPr>
        <w:t>[20] AIM-</w:t>
      </w:r>
      <w:r w:rsidR="0090312D">
        <w:rPr>
          <w:sz w:val="16"/>
        </w:rPr>
        <w:t>RAGWarrant</w:t>
      </w:r>
      <w:r>
        <w:rPr>
          <w:sz w:val="16"/>
        </w:rPr>
        <w:t xml:space="preserve"> Contributors, </w:t>
      </w:r>
      <w:r w:rsidR="0090312D">
        <w:rPr>
          <w:sz w:val="16"/>
        </w:rPr>
        <w:t>RAGWarrant</w:t>
      </w:r>
      <w:r>
        <w:rPr>
          <w:sz w:val="16"/>
        </w:rPr>
        <w:t xml:space="preserve"> Governance, version </w:t>
      </w:r>
      <w:proofErr w:type="spellStart"/>
      <w:r>
        <w:rPr>
          <w:sz w:val="16"/>
        </w:rPr>
        <w:t>0.1.1-rc1</w:t>
      </w:r>
      <w:proofErr w:type="spellEnd"/>
      <w:r>
        <w:rPr>
          <w:sz w:val="16"/>
        </w:rPr>
        <w:t>, 2026. https://github.com/AIM-</w:t>
      </w:r>
      <w:r w:rsidR="0090312D">
        <w:rPr>
          <w:sz w:val="16"/>
        </w:rPr>
        <w:t>RAGWarrant</w:t>
      </w:r>
      <w:r>
        <w:rPr>
          <w:sz w:val="16"/>
        </w:rPr>
        <w:t>/rag-tuning-governance.</w:t>
      </w:r>
    </w:p>
    <w:p w14:paraId="1D88B3AD" w14:textId="77777777" w:rsidR="00F4612D" w:rsidRDefault="00DC3F14">
      <w:r>
        <w:rPr>
          <w:sz w:val="16"/>
        </w:rPr>
        <w:t>[21] J. Strich, E. K. Isgorur, M. Trescher, C. Biemann, and M. Semmann, 'T2-RAGBench: Text-and-Table Benchmark for Evaluating Retrieval-Augmented Generation,' Proceedings of the 19th Conference of the European Chapter of the Association for Computational Linguistics (Volume 1: Long Papers), pp. 165-191, 2026. doi:10.18653/v1/2026.eacl-long.8.</w:t>
      </w:r>
    </w:p>
    <w:p w14:paraId="2061BA22" w14:textId="77777777" w:rsidR="00F4612D" w:rsidRDefault="00DC3F14">
      <w:r>
        <w:rPr>
          <w:sz w:val="16"/>
        </w:rPr>
        <w:t>[22] Y. Tang and Y. Yang, 'MultiHop-RAG: Benchmarking Retrieval-Augmented Generation for Multi-Hop Queries,' arXiv:2401.15391, 2024.</w:t>
      </w:r>
    </w:p>
    <w:p w14:paraId="602E6C5D"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p w14:paraId="70000698" w14:textId="77777777" w:rsidR="00F4612D" w:rsidRDefault="00F4612D"/>
    <w:p w14:paraId="4C09FB1D" w14:textId="77777777" w:rsidR="00F4612D" w:rsidRDefault="00F4612D"/>
    <w:p w14:paraId="35F37827" w14:textId="77777777" w:rsidR="00F4612D" w:rsidRDefault="00F4612D"/>
    <w:p w14:paraId="58554A3B" w14:textId="77777777" w:rsidR="00F4612D" w:rsidRDefault="00F4612D"/>
    <w:p w14:paraId="5B0DA002" w14:textId="77777777" w:rsidR="00F4612D" w:rsidRDefault="00F4612D"/>
    <w:p w14:paraId="34C0601E" w14:textId="77777777" w:rsidR="00F4612D" w:rsidRDefault="00F4612D"/>
    <w:sectPr w:rsidR="00F4612D" w:rsidSect="00034616">
      <w:headerReference w:type="default" r:id="rId14"/>
      <w:footerReference w:type="default" r:id="rId15"/>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8B114" w14:textId="77777777" w:rsidR="0034031E" w:rsidRDefault="0034031E">
      <w:pPr>
        <w:spacing w:after="0" w:line="240" w:lineRule="auto"/>
      </w:pPr>
      <w:r>
        <w:separator/>
      </w:r>
    </w:p>
  </w:endnote>
  <w:endnote w:type="continuationSeparator" w:id="0">
    <w:p w14:paraId="61A896AC"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DF156" w14:textId="77777777" w:rsidR="00A16D83" w:rsidRDefault="0034031E">
    <w:pPr>
      <w:pStyle w:val="Footer"/>
      <w:jc w:val="right"/>
    </w:pPr>
    <w:r>
      <w:rPr>
        <w:rFonts w:ascii="Lato" w:hAnsi="Lato"/>
        <w:color w:val="5B6570"/>
        <w:sz w:val="16"/>
      </w:rPr>
      <w:t xml:space="preserve">Preprint draft  |  </w:t>
    </w:r>
    <w:proofErr w:type="spellStart"/>
    <w:r>
      <w:rPr>
        <w:rFonts w:ascii="Lato" w:hAnsi="Lato"/>
        <w:color w:val="5B6570"/>
        <w:sz w:val="16"/>
      </w:rPr>
      <w:t>v0.1.1-rc1</w:t>
    </w:r>
    <w:proofErr w:type="spellEnd"/>
    <w:r>
      <w:rPr>
        <w:rFonts w:ascii="Lato" w:hAnsi="Lato"/>
        <w:color w:val="5B6570"/>
        <w:sz w:val="16"/>
      </w:rPr>
      <w:t xml:space="preserve">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DF0E71" w14:textId="77777777" w:rsidR="0034031E" w:rsidRDefault="0034031E">
      <w:pPr>
        <w:spacing w:after="0" w:line="240" w:lineRule="auto"/>
      </w:pPr>
      <w:r>
        <w:separator/>
      </w:r>
    </w:p>
  </w:footnote>
  <w:footnote w:type="continuationSeparator" w:id="0">
    <w:p w14:paraId="149122E8"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50E86" w14:textId="4B36A3E9" w:rsidR="00A16D83" w:rsidRDefault="0090312D">
    <w:pPr>
      <w:pStyle w:val="Header"/>
    </w:pPr>
    <w:r>
      <w:rPr>
        <w:rFonts w:ascii="Lato" w:hAnsi="Lato"/>
        <w:b/>
        <w:color w:val="5B6570"/>
        <w:sz w:val="16"/>
      </w:rPr>
      <w:t>RAGWarrant</w:t>
    </w:r>
    <w:r w:rsidR="0034031E">
      <w:rPr>
        <w:rFonts w:ascii="Lato" w:hAnsi="Lato"/>
        <w:b/>
        <w:color w:val="5B6570"/>
        <w:sz w:val="16"/>
      </w:rPr>
      <w:t xml:space="preserve">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00C7D"/>
    <w:rsid w:val="00034616"/>
    <w:rsid w:val="0006063C"/>
    <w:rsid w:val="00063ADE"/>
    <w:rsid w:val="00075699"/>
    <w:rsid w:val="000D311F"/>
    <w:rsid w:val="000D71FC"/>
    <w:rsid w:val="0015074B"/>
    <w:rsid w:val="00176B92"/>
    <w:rsid w:val="00190ACF"/>
    <w:rsid w:val="001B2F24"/>
    <w:rsid w:val="001C1837"/>
    <w:rsid w:val="00211977"/>
    <w:rsid w:val="00226EE5"/>
    <w:rsid w:val="0029639D"/>
    <w:rsid w:val="002A2802"/>
    <w:rsid w:val="002F7CE9"/>
    <w:rsid w:val="0030370F"/>
    <w:rsid w:val="003061BD"/>
    <w:rsid w:val="00326F90"/>
    <w:rsid w:val="003328CB"/>
    <w:rsid w:val="0034031E"/>
    <w:rsid w:val="003476E3"/>
    <w:rsid w:val="003A3A6B"/>
    <w:rsid w:val="003A3BEF"/>
    <w:rsid w:val="00470F50"/>
    <w:rsid w:val="0049724E"/>
    <w:rsid w:val="00567359"/>
    <w:rsid w:val="005B40A7"/>
    <w:rsid w:val="005C6143"/>
    <w:rsid w:val="0062187F"/>
    <w:rsid w:val="006C515E"/>
    <w:rsid w:val="006F67A7"/>
    <w:rsid w:val="0070309A"/>
    <w:rsid w:val="007F657B"/>
    <w:rsid w:val="008130DB"/>
    <w:rsid w:val="00852858"/>
    <w:rsid w:val="008776D0"/>
    <w:rsid w:val="008D29D3"/>
    <w:rsid w:val="0090312D"/>
    <w:rsid w:val="0094794A"/>
    <w:rsid w:val="00961EB7"/>
    <w:rsid w:val="009676DA"/>
    <w:rsid w:val="009A7557"/>
    <w:rsid w:val="009B678E"/>
    <w:rsid w:val="009D5E4C"/>
    <w:rsid w:val="009F0E0F"/>
    <w:rsid w:val="00A16D83"/>
    <w:rsid w:val="00AA1D8D"/>
    <w:rsid w:val="00B3501D"/>
    <w:rsid w:val="00B47730"/>
    <w:rsid w:val="00B531DF"/>
    <w:rsid w:val="00B92CB8"/>
    <w:rsid w:val="00BA2D96"/>
    <w:rsid w:val="00C424ED"/>
    <w:rsid w:val="00CB0664"/>
    <w:rsid w:val="00CF1625"/>
    <w:rsid w:val="00CF5D45"/>
    <w:rsid w:val="00D1548E"/>
    <w:rsid w:val="00DC3F14"/>
    <w:rsid w:val="00DD3026"/>
    <w:rsid w:val="00E03420"/>
    <w:rsid w:val="00E87B02"/>
    <w:rsid w:val="00EA1D07"/>
    <w:rsid w:val="00EA71BD"/>
    <w:rsid w:val="00EC589E"/>
    <w:rsid w:val="00F33854"/>
    <w:rsid w:val="00F41364"/>
    <w:rsid w:val="00F4612D"/>
    <w:rsid w:val="00F531AC"/>
    <w:rsid w:val="00FA0C75"/>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FBAB9"/>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16</Pages>
  <Words>7318</Words>
  <Characters>41716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Richard Krueger</cp:lastModifiedBy>
  <cp:revision>63</cp:revision>
  <dcterms:created xsi:type="dcterms:W3CDTF">2013-12-23T23:15:00Z</dcterms:created>
  <dcterms:modified xsi:type="dcterms:W3CDTF">2026-08-31T13:37:00Z</dcterms:modified>
  <cp:category/>
</cp:coreProperties>
</file>