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2675FE" w14:textId="1FE50770" w:rsidR="00A16D83" w:rsidRPr="00B92CB8" w:rsidRDefault="0070309A">
      <w:pPr>
        <w:spacing w:before="560"/>
        <w:jc w:val="center"/>
        <w:rPr>
          <w:rFonts w:asciiTheme="majorHAnsi" w:hAnsiTheme="majorHAnsi"/>
          <w:b/>
          <w:bCs/>
          <w:color w:val="000000" w:themeColor="text1"/>
          <w:sz w:val="56"/>
          <w:szCs w:val="56"/>
        </w:rPr>
      </w:pPr>
      <w:r w:rsidRPr="00B92CB8">
        <w:rPr>
          <w:rFonts w:asciiTheme="majorHAnsi" w:hAnsiTheme="majorHAnsi"/>
          <w:b/>
          <w:bCs/>
          <w:color w:val="000000" w:themeColor="text1"/>
          <w:sz w:val="56"/>
          <w:szCs w:val="56"/>
        </w:rPr>
        <w:t>RAG</w:t>
      </w:r>
      <w:r w:rsidR="009B678E" w:rsidRPr="00B92CB8">
        <w:rPr>
          <w:rFonts w:asciiTheme="majorHAnsi" w:hAnsiTheme="majorHAnsi"/>
          <w:b/>
          <w:bCs/>
          <w:color w:val="000000" w:themeColor="text1"/>
          <w:sz w:val="56"/>
          <w:szCs w:val="56"/>
        </w:rPr>
        <w:t>Warrant</w:t>
      </w:r>
    </w:p>
    <w:p w14:paraId="4E8965F1" w14:textId="77777777" w:rsidR="00A16D83" w:rsidRPr="002A2802" w:rsidRDefault="0034031E">
      <w:pPr>
        <w:spacing w:after="240"/>
        <w:jc w:val="center"/>
        <w:rPr>
          <w:rFonts w:asciiTheme="majorHAnsi" w:hAnsiTheme="majorHAnsi"/>
          <w:color w:val="000000" w:themeColor="text1"/>
        </w:rPr>
      </w:pPr>
      <w:r w:rsidRPr="002A2802">
        <w:rPr>
          <w:rFonts w:asciiTheme="majorHAnsi" w:hAnsiTheme="majorHAnsi"/>
          <w:color w:val="000000" w:themeColor="text1"/>
          <w:sz w:val="33"/>
        </w:rPr>
        <w:t>Evidence-Preserving Governance for RAG Policy Promotion</w:t>
      </w:r>
      <w:r w:rsidRPr="002A2802">
        <w:rPr>
          <w:rFonts w:asciiTheme="majorHAnsi" w:hAnsiTheme="majorHAnsi"/>
          <w:color w:val="000000" w:themeColor="text1"/>
          <w:sz w:val="33"/>
        </w:rPr>
        <w:br/>
        <w:t>Under Quality, Cost, Latency, and Risk Constraints</w:t>
      </w:r>
    </w:p>
    <w:p w14:paraId="0818B222" w14:textId="3008BE9E" w:rsidR="00A16D83" w:rsidRPr="002A2802" w:rsidRDefault="0062187F">
      <w:pPr>
        <w:spacing w:after="40"/>
        <w:jc w:val="center"/>
        <w:rPr>
          <w:rFonts w:asciiTheme="majorHAnsi" w:hAnsiTheme="majorHAnsi"/>
          <w:color w:val="000000" w:themeColor="text1"/>
        </w:rPr>
      </w:pPr>
      <w:r>
        <w:rPr>
          <w:rFonts w:asciiTheme="majorHAnsi" w:hAnsiTheme="majorHAnsi"/>
          <w:color w:val="000000" w:themeColor="text1"/>
          <w:sz w:val="23"/>
        </w:rPr>
        <w:t>Ri</w:t>
      </w:r>
      <w:r w:rsidR="00852858">
        <w:rPr>
          <w:rFonts w:asciiTheme="majorHAnsi" w:hAnsiTheme="majorHAnsi"/>
          <w:color w:val="000000" w:themeColor="text1"/>
          <w:sz w:val="23"/>
        </w:rPr>
        <w:t>chard Krueger</w:t>
      </w:r>
      <w:r w:rsidR="000D71FC">
        <w:rPr>
          <w:rFonts w:asciiTheme="majorHAnsi" w:hAnsiTheme="majorHAnsi"/>
          <w:color w:val="000000" w:themeColor="text1"/>
          <w:sz w:val="23"/>
        </w:rPr>
        <w:t>, Lucas K</w:t>
      </w:r>
      <w:r w:rsidR="00F33854">
        <w:rPr>
          <w:rFonts w:asciiTheme="majorHAnsi" w:hAnsiTheme="majorHAnsi"/>
          <w:color w:val="000000" w:themeColor="text1"/>
          <w:sz w:val="23"/>
        </w:rPr>
        <w:t>rause</w:t>
      </w:r>
      <w:r w:rsidR="001B2F24">
        <w:rPr>
          <w:rFonts w:asciiTheme="majorHAnsi" w:hAnsiTheme="majorHAnsi"/>
          <w:color w:val="000000" w:themeColor="text1"/>
          <w:sz w:val="23"/>
        </w:rPr>
        <w:t xml:space="preserve">, </w:t>
      </w:r>
      <w:r w:rsidR="00567359">
        <w:rPr>
          <w:rFonts w:asciiTheme="majorHAnsi" w:hAnsiTheme="majorHAnsi"/>
          <w:color w:val="000000" w:themeColor="text1"/>
          <w:sz w:val="23"/>
        </w:rPr>
        <w:t>Zach Pocque</w:t>
      </w:r>
      <w:r w:rsidR="00226EE5">
        <w:rPr>
          <w:rFonts w:asciiTheme="majorHAnsi" w:hAnsiTheme="majorHAnsi"/>
          <w:color w:val="000000" w:themeColor="text1"/>
          <w:sz w:val="23"/>
        </w:rPr>
        <w:t>tte</w:t>
      </w:r>
    </w:p>
    <w:p w14:paraId="36768530" w14:textId="2DC8AEF4" w:rsidR="00A16D83" w:rsidRPr="002A2802" w:rsidRDefault="0034031E">
      <w:pPr>
        <w:spacing w:after="280"/>
        <w:jc w:val="center"/>
        <w:rPr>
          <w:rFonts w:asciiTheme="majorHAnsi" w:hAnsiTheme="majorHAnsi"/>
          <w:color w:val="000000" w:themeColor="text1"/>
        </w:rPr>
      </w:pPr>
      <w:r w:rsidRPr="002A2802">
        <w:rPr>
          <w:rFonts w:asciiTheme="majorHAnsi" w:hAnsiTheme="majorHAnsi"/>
          <w:color w:val="000000" w:themeColor="text1"/>
          <w:sz w:val="18"/>
        </w:rPr>
        <w:t xml:space="preserve">Independent open-source research project  |  </w:t>
      </w:r>
      <w:r w:rsidR="006F67A7">
        <w:rPr>
          <w:rFonts w:asciiTheme="majorHAnsi" w:hAnsiTheme="majorHAnsi"/>
          <w:color w:val="000000" w:themeColor="text1"/>
          <w:sz w:val="18"/>
        </w:rPr>
        <w:t>Septe</w:t>
      </w:r>
      <w:r w:rsidR="00000C7D">
        <w:rPr>
          <w:rFonts w:asciiTheme="majorHAnsi" w:hAnsiTheme="majorHAnsi"/>
          <w:color w:val="000000" w:themeColor="text1"/>
          <w:sz w:val="18"/>
        </w:rPr>
        <w:t>mber</w:t>
      </w:r>
      <w:r w:rsidRPr="002A2802">
        <w:rPr>
          <w:rFonts w:asciiTheme="majorHAnsi" w:hAnsiTheme="majorHAnsi"/>
          <w:color w:val="000000" w:themeColor="text1"/>
          <w:sz w:val="18"/>
        </w:rPr>
        <w:t xml:space="preserve"> 2026  |  Preprint version 0.1.1-rc1</w:t>
      </w:r>
    </w:p>
    <w:p w14:paraId="7BE05D2C" w14:textId="77777777" w:rsidR="00A16D83" w:rsidRPr="002A2802" w:rsidRDefault="0034031E">
      <w:pPr>
        <w:spacing w:before="40" w:after="60"/>
        <w:rPr>
          <w:rFonts w:asciiTheme="majorHAnsi" w:hAnsiTheme="majorHAnsi"/>
          <w:color w:val="000000" w:themeColor="text1"/>
        </w:rPr>
      </w:pPr>
      <w:r w:rsidRPr="002A2802">
        <w:rPr>
          <w:rFonts w:asciiTheme="majorHAnsi" w:hAnsiTheme="majorHAnsi"/>
          <w:color w:val="000000" w:themeColor="text1"/>
          <w:sz w:val="24"/>
        </w:rPr>
        <w:t>Abstract</w:t>
      </w:r>
    </w:p>
    <w:p w14:paraId="69635FE9" w14:textId="70C501D6" w:rsidR="00A16D83" w:rsidRPr="002A2802" w:rsidRDefault="0034031E">
      <w:pPr>
        <w:spacing w:after="140" w:line="245" w:lineRule="auto"/>
        <w:jc w:val="both"/>
        <w:rPr>
          <w:rFonts w:asciiTheme="majorHAnsi" w:hAnsiTheme="majorHAnsi"/>
          <w:color w:val="000000" w:themeColor="text1"/>
        </w:rPr>
      </w:pPr>
      <w:r w:rsidRPr="002A2802">
        <w:rPr>
          <w:rFonts w:asciiTheme="majorHAnsi" w:hAnsiTheme="majorHAnsi"/>
          <w:color w:val="000000" w:themeColor="text1"/>
          <w:sz w:val="19"/>
        </w:rPr>
        <w:t xml:space="preserve">Retrieval-augmented generation systems are </w:t>
      </w:r>
      <w:r w:rsidR="00B531DF">
        <w:rPr>
          <w:rFonts w:asciiTheme="majorHAnsi" w:hAnsiTheme="majorHAnsi"/>
          <w:color w:val="000000" w:themeColor="text1"/>
          <w:sz w:val="19"/>
        </w:rPr>
        <w:t>extens</w:t>
      </w:r>
      <w:r w:rsidR="00EC589E">
        <w:rPr>
          <w:rFonts w:asciiTheme="majorHAnsi" w:hAnsiTheme="majorHAnsi"/>
          <w:color w:val="000000" w:themeColor="text1"/>
          <w:sz w:val="19"/>
        </w:rPr>
        <w:t>ively instru</w:t>
      </w:r>
      <w:r w:rsidR="00063ADE">
        <w:rPr>
          <w:rFonts w:asciiTheme="majorHAnsi" w:hAnsiTheme="majorHAnsi"/>
          <w:color w:val="000000" w:themeColor="text1"/>
          <w:sz w:val="19"/>
        </w:rPr>
        <w:t>mented</w:t>
      </w:r>
      <w:r w:rsidR="003476E3">
        <w:rPr>
          <w:rFonts w:asciiTheme="majorHAnsi" w:hAnsiTheme="majorHAnsi"/>
          <w:color w:val="000000" w:themeColor="text1"/>
          <w:sz w:val="19"/>
        </w:rPr>
        <w:t xml:space="preserve"> with</w:t>
      </w:r>
      <w:r w:rsidRPr="002A2802">
        <w:rPr>
          <w:rFonts w:asciiTheme="majorHAnsi" w:hAnsiTheme="majorHAnsi"/>
          <w:color w:val="000000" w:themeColor="text1"/>
          <w:sz w:val="19"/>
        </w:rPr>
        <w:t xml:space="preserve"> metrics, benchmarks, traces, and automated judges, but these tools do not decide whether a proposed policy change is safe to release. We present </w:t>
      </w:r>
      <w:r w:rsidR="009676DA">
        <w:rPr>
          <w:rFonts w:asciiTheme="majorHAnsi" w:hAnsiTheme="majorHAnsi"/>
          <w:color w:val="000000" w:themeColor="text1"/>
          <w:sz w:val="19"/>
        </w:rPr>
        <w:t>RAGWarrant</w:t>
      </w:r>
      <w:r w:rsidRPr="002A2802">
        <w:rPr>
          <w:rFonts w:asciiTheme="majorHAnsi" w:hAnsiTheme="majorHAnsi"/>
          <w:color w:val="000000" w:themeColor="text1"/>
          <w:sz w:val="19"/>
        </w:rPr>
        <w:t xml:space="preserve">, an open-source promotion-control framework that treats deployment as a constrained evidence decision rather than a leaderboard choice. </w:t>
      </w:r>
      <w:r w:rsidR="0090312D">
        <w:rPr>
          <w:rFonts w:asciiTheme="majorHAnsi" w:hAnsiTheme="majorHAnsi"/>
          <w:color w:val="000000" w:themeColor="text1"/>
          <w:sz w:val="19"/>
        </w:rPr>
        <w:t>RAGWarrant</w:t>
      </w:r>
      <w:r w:rsidRPr="002A2802">
        <w:rPr>
          <w:rFonts w:asciiTheme="majorHAnsi" w:hAnsiTheme="majorHAnsi"/>
          <w:color w:val="000000" w:themeColor="text1"/>
          <w:sz w:val="19"/>
        </w:rPr>
        <w:t xml:space="preserve"> normalizes evaluator outputs and operational telemetry, applies predeclared quality and hard-risk gates, assigns evidence-class claim ceilings, preserves negative outcomes, and emits auditable PROMOTE, BLOCK, REJECT, or INCONCLUSIVE decisions. We evaluate the framework across T2-RAGBench, MultiHop-RAG, CRAG, HotpotQA, synthetic reproduction, and bounded local generative experiments. On HotpotQA, operational savings were blocked because answer quality fell beyond the declared margin. A bounded CRAG study selected a lower-cost quality-tied policy, but related generative gains were unstable and a held-out guardrail failed closed. We claim an auditable promotion-control abstraction, not optimizer superiority, human validation, or production readiness. The tagged artifact reproduces from a fresh clone, runs as a hardened Docker job, accepts external evaluator exports, and verifies artifact integrity.</w:t>
      </w:r>
    </w:p>
    <w:p w14:paraId="2463624F" w14:textId="77777777" w:rsidR="00A16D83" w:rsidRPr="002A2802" w:rsidRDefault="0034031E">
      <w:pPr>
        <w:spacing w:after="80"/>
        <w:rPr>
          <w:rFonts w:asciiTheme="majorHAnsi" w:hAnsiTheme="majorHAnsi"/>
          <w:color w:val="000000" w:themeColor="text1"/>
        </w:rPr>
      </w:pPr>
      <w:r w:rsidRPr="002A2802">
        <w:rPr>
          <w:rFonts w:asciiTheme="majorHAnsi" w:hAnsiTheme="majorHAnsi"/>
          <w:color w:val="000000" w:themeColor="text1"/>
          <w:sz w:val="17"/>
        </w:rPr>
        <w:t>Keywords: retrieval-augmented generation; RAG evaluation; AI governance; promotion control; noninferiority; LLMOps; reproducibility</w:t>
      </w:r>
    </w:p>
    <w:p w14:paraId="13BF436C" w14:textId="365BE204" w:rsidR="00A16D83" w:rsidRPr="002A2802" w:rsidRDefault="0034031E">
      <w:pPr>
        <w:spacing w:after="20"/>
        <w:rPr>
          <w:rFonts w:asciiTheme="majorHAnsi" w:hAnsiTheme="majorHAnsi"/>
          <w:color w:val="000000" w:themeColor="text1"/>
        </w:rPr>
      </w:pPr>
      <w:r>
        <w:t xml:space="preserve">Code and artifacts: </w:t>
      </w:r>
      <w:r w:rsidR="009A7557" w:rsidRPr="009A7557">
        <w:t>https://github.com/RAGWarrant/ragwarrant-governance</w:t>
      </w:r>
    </w:p>
    <w:p w14:paraId="2B8A4E18"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sz w:val="17"/>
        </w:rPr>
        <w:t>Release candidate: v0.1.1-rc1  |  Commit: ff529005bf7d00a0c3f79ba991563f3923d63205</w:t>
      </w:r>
    </w:p>
    <w:p w14:paraId="73E2A99C"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5991BD08"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1. Introduction</w:t>
      </w:r>
    </w:p>
    <w:p w14:paraId="470DC36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Retrieval-augmented generation (RAG) has become a standard architecture for connecting language models to current, domain-specific, and attributable evidence [1, 2]. Yet a RAG system is not a single model. Its behavior depends on document preparation, retrieval depth, query routing, reranking, context assembly, generation, abstention, and tool-use policies. Every proposed change is therefore multi-objective: a policy may be faster but less complete, cheaper but less faithful, stronger on average but fragile on a protected slice, or attractive on validation data yet worse for a held-out population.</w:t>
      </w:r>
    </w:p>
    <w:p w14:paraId="760D5A8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evaluation ecosystem has advanced rapidly. RAGAS, ARES, RAGChecker, RAGBench, CRAG, HotpotQA, and related benchmarks provide reference-free or labeled metrics, fine-grained diagnostics, and structured evidence [3-8, 10]. Observability platforms capture traces, cost, latency, and feedback [18, 19], while optimization systems such as DSPy search prompts, programs, or pipeline configurations against a chosen metric [9]. These capabilities answer important measurement and search questions, but they do not settle the release question: given several plausible policies and incomplete, heterogeneous evidence, which policy may replace the baseline, which should be rejected, and when should the system refuse to decide?</w:t>
      </w:r>
    </w:p>
    <w:p w14:paraId="79568AF0" w14:textId="451C7502" w:rsidR="00A16D83" w:rsidRPr="002A2802" w:rsidRDefault="0090312D">
      <w:pPr>
        <w:pStyle w:val="BodyText"/>
        <w:spacing w:after="84" w:line="254" w:lineRule="auto"/>
        <w:ind w:firstLine="317"/>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 xml:space="preserve"> addresses that decision layer. Its central abstraction is not a new answer-quality metric or a universal optimizer. It is an evidence-preserving promotion controller. </w:t>
      </w:r>
      <w:r>
        <w:rPr>
          <w:rFonts w:asciiTheme="majorHAnsi" w:hAnsiTheme="majorHAnsi"/>
          <w:color w:val="000000" w:themeColor="text1"/>
        </w:rPr>
        <w:t>RAGWarrant</w:t>
      </w:r>
      <w:r w:rsidR="0034031E" w:rsidRPr="002A2802">
        <w:rPr>
          <w:rFonts w:asciiTheme="majorHAnsi" w:hAnsiTheme="majorHAnsi"/>
          <w:color w:val="000000" w:themeColor="text1"/>
        </w:rPr>
        <w:t xml:space="preserve"> ingests native metrics or normalized evaluator exports, binds them to provenance and evidence class, applies non-compensatory gates and predeclared decision rules, emits a machine-readable decision, and preserves supporting and contradicting evidence as an auditable bundle. A lower-cost or lower-latency policy is promotable only when its quality evidence, split integrity, security posture, provenance, and claim scope also pass.</w:t>
      </w:r>
    </w:p>
    <w:p w14:paraId="081D0550" w14:textId="73715568" w:rsidR="00F4612D" w:rsidRDefault="0090312D">
      <w:pPr>
        <w:pStyle w:val="BodyText"/>
      </w:pPr>
      <w:r>
        <w:t>RAGWarrant</w:t>
      </w:r>
      <w:r w:rsidR="00DC3F14">
        <w:t xml:space="preserve"> is intended to govern RAG policy promotion, not to discover, certify, or imply a globally optimal RAG configuration.</w:t>
      </w:r>
    </w:p>
    <w:p w14:paraId="5C6185B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research question is whether a lightweight, open-source governance layer can convert heterogeneous RAG metrics and telemetry into reproducible promotion decisions while reducing false promotion of policies that save cost or latency at unacceptable quality risk.</w:t>
      </w:r>
    </w:p>
    <w:p w14:paraId="24545590" w14:textId="69DD5C6B"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The distinction matters because deployment authority is often implicit. In a research notebook, the highest validation score may become the de facto recommendation; in an enterprise workflow, a cost dashboard or latency trace may play the same role. </w:t>
      </w:r>
      <w:r w:rsidR="0090312D">
        <w:rPr>
          <w:rFonts w:asciiTheme="majorHAnsi" w:hAnsiTheme="majorHAnsi"/>
          <w:color w:val="000000" w:themeColor="text1"/>
        </w:rPr>
        <w:t>RAGWarrant</w:t>
      </w:r>
      <w:r w:rsidRPr="002A2802">
        <w:rPr>
          <w:rFonts w:asciiTheme="majorHAnsi" w:hAnsiTheme="majorHAnsi"/>
          <w:color w:val="000000" w:themeColor="text1"/>
        </w:rPr>
        <w:t xml:space="preserve"> makes that authority explicit and inspectable. The framework does not prevent teams from choosing aggressive operating points, but it requires the quality floor, hard disqualifiers, evidence scope, and decision reason to be recorded before the result is presented as promotable.</w:t>
      </w:r>
    </w:p>
    <w:p w14:paraId="52634E1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paper makes four contributions. First, it defines a promotion-control formalism that separates metric generation from release decisions and uses noninferiority-style quality gates to evaluate operational gains. Second, it introduces an evidence ladder and claim ceiling so fixture, development, confirmatory, generative, and deployment evidence cannot be silently relabeled. Third, it operationalizes fail-closed governance through machine-readable decisions, an append-only evidence ledger, artifact-integrity checks, and a validator that binds public claims to result classes. Fourth, it releases and evaluates a reproducible implementation with public-mini execution, external-evaluator adapters, selector ablations, bounded public and generative studies, fresh-clone reproduction, and a hardened Docker job.</w:t>
      </w:r>
    </w:p>
    <w:p w14:paraId="46B81EA6"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33B4E174" wp14:editId="3D39F0E3">
            <wp:extent cx="5989320" cy="2581129"/>
            <wp:effectExtent l="0" t="0" r="0" b="0"/>
            <wp:docPr id="1" name="Picture 1" descr="Flow diagram showing candidate RAG policies moving through evaluation metrics, evidence and provenance gates, a promotion controller, and one of four decisions: promote, block, reject, or inconclusive." title="Flow diagram showing candidate RAG policies moving through evaluation metrics, evidence and provenance gates, a promo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89320" cy="2581129"/>
                    </a:xfrm>
                    <a:prstGeom prst="rect">
                      <a:avLst/>
                    </a:prstGeom>
                  </pic:spPr>
                </pic:pic>
              </a:graphicData>
            </a:graphic>
          </wp:inline>
        </w:drawing>
      </w:r>
    </w:p>
    <w:p w14:paraId="207CB307" w14:textId="6FD137EE"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 xml:space="preserve">Figure 1. </w:t>
      </w:r>
      <w:r w:rsidR="0090312D">
        <w:rPr>
          <w:rFonts w:asciiTheme="majorHAnsi" w:hAnsiTheme="majorHAnsi"/>
          <w:color w:val="000000" w:themeColor="text1"/>
          <w:sz w:val="16"/>
        </w:rPr>
        <w:t>RAGWarrant</w:t>
      </w:r>
      <w:r w:rsidRPr="002A2802">
        <w:rPr>
          <w:rFonts w:asciiTheme="majorHAnsi" w:hAnsiTheme="majorHAnsi"/>
          <w:color w:val="000000" w:themeColor="text1"/>
          <w:sz w:val="16"/>
        </w:rPr>
        <w:t xml:space="preserve"> converts candidate-policy evidence into an auditable promotion decision; artifacts, telemetry, and negative results feed the next evaluation cycle.</w:t>
      </w:r>
    </w:p>
    <w:p w14:paraId="6AECDC85"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2. Background and Related Work</w:t>
      </w:r>
    </w:p>
    <w:p w14:paraId="1BD4D760"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original RAG formulation combined parametric generation with non-parametric retrieval for knowledge-intensive tasks [1]; later work broadened the design space to modular retrieval, routing, reranking, verification, and tool use [2]. This modularity creates a policy-selection problem as well as an answer-generation problem.</w:t>
      </w:r>
    </w:p>
    <w:p w14:paraId="4F57377F" w14:textId="7DFDC75D"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RAGAS, ARES, RAGChecker, and RAGBench provide complementary evaluation methods, from reference-free metrics to prediction-powered judges, component diagnostics, and labeled benchmark data [3-6]. CRAG stresses factuality, dynamism, long-tail entities, and mock web or knowledge-graph APIs, while HotpotQA provides multi-hop questions and sentence-level supporting facts [7, 8]. Benchmarking studies likewise compare model and retrieval choices in RAG settings [10]. </w:t>
      </w:r>
      <w:r w:rsidR="0090312D">
        <w:rPr>
          <w:rFonts w:asciiTheme="majorHAnsi" w:hAnsiTheme="majorHAnsi"/>
          <w:color w:val="000000" w:themeColor="text1"/>
        </w:rPr>
        <w:t>RAGWarrant</w:t>
      </w:r>
      <w:r w:rsidRPr="002A2802">
        <w:rPr>
          <w:rFonts w:asciiTheme="majorHAnsi" w:hAnsiTheme="majorHAnsi"/>
          <w:color w:val="000000" w:themeColor="text1"/>
        </w:rPr>
        <w:t xml:space="preserve"> consumes these measurements as bounded evidence; it does not replace their metric semantics.</w:t>
      </w:r>
    </w:p>
    <w:p w14:paraId="5FF8D0C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DSPy and related optimizers search candidate programs or policies [9], while LangSmith and Phoenix organize experiments, traces, evaluator scores, latency, and feedback [18, 19]. The distinction is concise: observability explains, evaluation estimates, optimization searches, and governance decides. The broader ML-systems literature similarly emphasizes hidden dependencies, testing, monitoring, and technical debt beyond model code [14, 15].</w:t>
      </w:r>
    </w:p>
    <w:p w14:paraId="676DA992" w14:textId="35BE60C8"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NIST's AI Risk Management Framework and Generative AI Profile organize lifecycle governance around Govern, Map, Measure, and Manage, and ISO/IEC 42001 specifies an AI management system [11-13]. </w:t>
      </w:r>
      <w:r w:rsidR="0090312D">
        <w:rPr>
          <w:rFonts w:asciiTheme="majorHAnsi" w:hAnsiTheme="majorHAnsi"/>
          <w:color w:val="000000" w:themeColor="text1"/>
        </w:rPr>
        <w:t>RAGWarrant</w:t>
      </w:r>
      <w:r w:rsidRPr="002A2802">
        <w:rPr>
          <w:rFonts w:asciiTheme="majorHAnsi" w:hAnsiTheme="majorHAnsi"/>
          <w:color w:val="000000" w:themeColor="text1"/>
        </w:rPr>
        <w:t xml:space="preserve"> is narrower and executable: it sits between measurement and deployment and produces a traceable RAG-policy release decision.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944"/>
        <w:gridCol w:w="2376"/>
        <w:gridCol w:w="2520"/>
        <w:gridCol w:w="3240"/>
      </w:tblGrid>
      <w:tr w:rsidR="00A16D83" w:rsidRPr="002A2802" w14:paraId="549DCD5F" w14:textId="77777777">
        <w:trPr>
          <w:cantSplit/>
          <w:tblHeader/>
          <w:jc w:val="center"/>
        </w:trPr>
        <w:tc>
          <w:tcPr>
            <w:tcW w:w="1944" w:type="dxa"/>
            <w:shd w:val="clear" w:color="auto" w:fill="DCE8EF"/>
            <w:tcMar>
              <w:top w:w="70" w:type="dxa"/>
              <w:left w:w="90" w:type="dxa"/>
              <w:bottom w:w="70" w:type="dxa"/>
              <w:right w:w="90" w:type="dxa"/>
            </w:tcMar>
            <w:vAlign w:val="center"/>
          </w:tcPr>
          <w:p w14:paraId="750F32F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System family</w:t>
            </w:r>
          </w:p>
        </w:tc>
        <w:tc>
          <w:tcPr>
            <w:tcW w:w="2376" w:type="dxa"/>
            <w:shd w:val="clear" w:color="auto" w:fill="DCE8EF"/>
            <w:tcMar>
              <w:top w:w="70" w:type="dxa"/>
              <w:left w:w="90" w:type="dxa"/>
              <w:bottom w:w="70" w:type="dxa"/>
              <w:right w:w="90" w:type="dxa"/>
            </w:tcMar>
            <w:vAlign w:val="center"/>
          </w:tcPr>
          <w:p w14:paraId="6323CB6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emphasis</w:t>
            </w:r>
          </w:p>
        </w:tc>
        <w:tc>
          <w:tcPr>
            <w:tcW w:w="2520" w:type="dxa"/>
            <w:shd w:val="clear" w:color="auto" w:fill="DCE8EF"/>
            <w:tcMar>
              <w:top w:w="70" w:type="dxa"/>
              <w:left w:w="90" w:type="dxa"/>
              <w:bottom w:w="70" w:type="dxa"/>
              <w:right w:w="90" w:type="dxa"/>
            </w:tcMar>
            <w:vAlign w:val="center"/>
          </w:tcPr>
          <w:p w14:paraId="6F402BBA"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output</w:t>
            </w:r>
          </w:p>
        </w:tc>
        <w:tc>
          <w:tcPr>
            <w:tcW w:w="3240" w:type="dxa"/>
            <w:shd w:val="clear" w:color="auto" w:fill="DCE8EF"/>
            <w:tcMar>
              <w:top w:w="70" w:type="dxa"/>
              <w:left w:w="90" w:type="dxa"/>
              <w:bottom w:w="70" w:type="dxa"/>
              <w:right w:w="90" w:type="dxa"/>
            </w:tcMar>
            <w:vAlign w:val="center"/>
          </w:tcPr>
          <w:p w14:paraId="0BDA6693" w14:textId="307C0E9E" w:rsidR="00A16D83" w:rsidRPr="002A2802" w:rsidRDefault="0090312D">
            <w:pPr>
              <w:spacing w:after="0" w:line="240" w:lineRule="auto"/>
              <w:jc w:val="center"/>
              <w:rPr>
                <w:rFonts w:asciiTheme="majorHAnsi" w:hAnsiTheme="majorHAnsi"/>
                <w:color w:val="000000" w:themeColor="text1"/>
              </w:rPr>
            </w:pPr>
            <w:r>
              <w:rPr>
                <w:rFonts w:asciiTheme="majorHAnsi" w:hAnsiTheme="majorHAnsi"/>
                <w:color w:val="000000" w:themeColor="text1"/>
                <w:sz w:val="15"/>
              </w:rPr>
              <w:t>RAGWarrant</w:t>
            </w:r>
            <w:r w:rsidR="0034031E" w:rsidRPr="002A2802">
              <w:rPr>
                <w:rFonts w:asciiTheme="majorHAnsi" w:hAnsiTheme="majorHAnsi"/>
                <w:color w:val="000000" w:themeColor="text1"/>
                <w:sz w:val="15"/>
              </w:rPr>
              <w:t xml:space="preserve"> relationship</w:t>
            </w:r>
          </w:p>
        </w:tc>
      </w:tr>
      <w:tr w:rsidR="00A16D83" w:rsidRPr="002A2802" w14:paraId="34D9D7B1" w14:textId="77777777">
        <w:trPr>
          <w:cantSplit/>
          <w:jc w:val="center"/>
        </w:trPr>
        <w:tc>
          <w:tcPr>
            <w:tcW w:w="1944" w:type="dxa"/>
            <w:tcMar>
              <w:top w:w="70" w:type="dxa"/>
              <w:left w:w="90" w:type="dxa"/>
              <w:bottom w:w="70" w:type="dxa"/>
              <w:right w:w="90" w:type="dxa"/>
            </w:tcMar>
            <w:vAlign w:val="center"/>
          </w:tcPr>
          <w:p w14:paraId="44DCA9A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RAGAS / ARES / RAGChecker</w:t>
            </w:r>
          </w:p>
        </w:tc>
        <w:tc>
          <w:tcPr>
            <w:tcW w:w="2376" w:type="dxa"/>
            <w:tcMar>
              <w:top w:w="70" w:type="dxa"/>
              <w:left w:w="90" w:type="dxa"/>
              <w:bottom w:w="70" w:type="dxa"/>
              <w:right w:w="90" w:type="dxa"/>
            </w:tcMar>
            <w:vAlign w:val="center"/>
          </w:tcPr>
          <w:p w14:paraId="606533F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diagnostic evaluation</w:t>
            </w:r>
          </w:p>
        </w:tc>
        <w:tc>
          <w:tcPr>
            <w:tcW w:w="2520" w:type="dxa"/>
            <w:tcMar>
              <w:top w:w="70" w:type="dxa"/>
              <w:left w:w="90" w:type="dxa"/>
              <w:bottom w:w="70" w:type="dxa"/>
              <w:right w:w="90" w:type="dxa"/>
            </w:tcMar>
            <w:vAlign w:val="center"/>
          </w:tcPr>
          <w:p w14:paraId="2587BC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Metric scores and component diagnoses</w:t>
            </w:r>
          </w:p>
        </w:tc>
        <w:tc>
          <w:tcPr>
            <w:tcW w:w="3240" w:type="dxa"/>
            <w:tcMar>
              <w:top w:w="70" w:type="dxa"/>
              <w:left w:w="90" w:type="dxa"/>
              <w:bottom w:w="70" w:type="dxa"/>
              <w:right w:w="90" w:type="dxa"/>
            </w:tcMar>
            <w:vAlign w:val="center"/>
          </w:tcPr>
          <w:p w14:paraId="634A4F8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Consumes declared metrics as governance evidence</w:t>
            </w:r>
          </w:p>
        </w:tc>
      </w:tr>
      <w:tr w:rsidR="00A16D83" w:rsidRPr="002A2802" w14:paraId="23A91E7E" w14:textId="77777777">
        <w:trPr>
          <w:cantSplit/>
          <w:jc w:val="center"/>
        </w:trPr>
        <w:tc>
          <w:tcPr>
            <w:tcW w:w="1944" w:type="dxa"/>
            <w:tcMar>
              <w:top w:w="70" w:type="dxa"/>
              <w:left w:w="90" w:type="dxa"/>
              <w:bottom w:w="70" w:type="dxa"/>
              <w:right w:w="90" w:type="dxa"/>
            </w:tcMar>
            <w:vAlign w:val="center"/>
          </w:tcPr>
          <w:p w14:paraId="24347F7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RAGBench / CRAG / HotpotQA</w:t>
            </w:r>
          </w:p>
        </w:tc>
        <w:tc>
          <w:tcPr>
            <w:tcW w:w="2376" w:type="dxa"/>
            <w:tcMar>
              <w:top w:w="70" w:type="dxa"/>
              <w:left w:w="90" w:type="dxa"/>
              <w:bottom w:w="70" w:type="dxa"/>
              <w:right w:w="90" w:type="dxa"/>
            </w:tcMar>
            <w:vAlign w:val="center"/>
          </w:tcPr>
          <w:p w14:paraId="0D0B9E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Benchmark data and labels</w:t>
            </w:r>
          </w:p>
        </w:tc>
        <w:tc>
          <w:tcPr>
            <w:tcW w:w="2520" w:type="dxa"/>
            <w:tcMar>
              <w:top w:w="70" w:type="dxa"/>
              <w:left w:w="90" w:type="dxa"/>
              <w:bottom w:w="70" w:type="dxa"/>
              <w:right w:w="90" w:type="dxa"/>
            </w:tcMar>
            <w:vAlign w:val="center"/>
          </w:tcPr>
          <w:p w14:paraId="11C2CDC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Examples, references, supporting facts, scores</w:t>
            </w:r>
          </w:p>
        </w:tc>
        <w:tc>
          <w:tcPr>
            <w:tcW w:w="3240" w:type="dxa"/>
            <w:tcMar>
              <w:top w:w="70" w:type="dxa"/>
              <w:left w:w="90" w:type="dxa"/>
              <w:bottom w:w="70" w:type="dxa"/>
              <w:right w:w="90" w:type="dxa"/>
            </w:tcMar>
            <w:vAlign w:val="center"/>
          </w:tcPr>
          <w:p w14:paraId="795DEF0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Uses bounded evidence sources with dataset-specific claim ceilings</w:t>
            </w:r>
          </w:p>
        </w:tc>
      </w:tr>
      <w:tr w:rsidR="00A16D83" w:rsidRPr="002A2802" w14:paraId="54D50032" w14:textId="77777777">
        <w:trPr>
          <w:cantSplit/>
          <w:jc w:val="center"/>
        </w:trPr>
        <w:tc>
          <w:tcPr>
            <w:tcW w:w="1944" w:type="dxa"/>
            <w:tcMar>
              <w:top w:w="70" w:type="dxa"/>
              <w:left w:w="90" w:type="dxa"/>
              <w:bottom w:w="70" w:type="dxa"/>
              <w:right w:w="90" w:type="dxa"/>
            </w:tcMar>
            <w:vAlign w:val="center"/>
          </w:tcPr>
          <w:p w14:paraId="2A038DF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DSPy and optimizers</w:t>
            </w:r>
          </w:p>
        </w:tc>
        <w:tc>
          <w:tcPr>
            <w:tcW w:w="2376" w:type="dxa"/>
            <w:tcMar>
              <w:top w:w="70" w:type="dxa"/>
              <w:left w:w="90" w:type="dxa"/>
              <w:bottom w:w="70" w:type="dxa"/>
              <w:right w:w="90" w:type="dxa"/>
            </w:tcMar>
            <w:vAlign w:val="center"/>
          </w:tcPr>
          <w:p w14:paraId="656AB7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Search over programs or policies</w:t>
            </w:r>
          </w:p>
        </w:tc>
        <w:tc>
          <w:tcPr>
            <w:tcW w:w="2520" w:type="dxa"/>
            <w:tcMar>
              <w:top w:w="70" w:type="dxa"/>
              <w:left w:w="90" w:type="dxa"/>
              <w:bottom w:w="70" w:type="dxa"/>
              <w:right w:w="90" w:type="dxa"/>
            </w:tcMar>
            <w:vAlign w:val="center"/>
          </w:tcPr>
          <w:p w14:paraId="4A11FAC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maximizing an objective</w:t>
            </w:r>
          </w:p>
        </w:tc>
        <w:tc>
          <w:tcPr>
            <w:tcW w:w="3240" w:type="dxa"/>
            <w:tcMar>
              <w:top w:w="70" w:type="dxa"/>
              <w:left w:w="90" w:type="dxa"/>
              <w:bottom w:w="70" w:type="dxa"/>
              <w:right w:w="90" w:type="dxa"/>
            </w:tcMar>
            <w:vAlign w:val="center"/>
          </w:tcPr>
          <w:p w14:paraId="2ECEF6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Treats optimizer output as a candidate, not automatic promotion</w:t>
            </w:r>
          </w:p>
        </w:tc>
      </w:tr>
      <w:tr w:rsidR="00A16D83" w:rsidRPr="002A2802" w14:paraId="436531C7" w14:textId="77777777">
        <w:trPr>
          <w:cantSplit/>
          <w:jc w:val="center"/>
        </w:trPr>
        <w:tc>
          <w:tcPr>
            <w:tcW w:w="1944" w:type="dxa"/>
            <w:tcMar>
              <w:top w:w="70" w:type="dxa"/>
              <w:left w:w="90" w:type="dxa"/>
              <w:bottom w:w="70" w:type="dxa"/>
              <w:right w:w="90" w:type="dxa"/>
            </w:tcMar>
            <w:vAlign w:val="center"/>
          </w:tcPr>
          <w:p w14:paraId="0A7565D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LangSmith / Phoenix</w:t>
            </w:r>
          </w:p>
        </w:tc>
        <w:tc>
          <w:tcPr>
            <w:tcW w:w="2376" w:type="dxa"/>
            <w:tcMar>
              <w:top w:w="70" w:type="dxa"/>
              <w:left w:w="90" w:type="dxa"/>
              <w:bottom w:w="70" w:type="dxa"/>
              <w:right w:w="90" w:type="dxa"/>
            </w:tcMar>
            <w:vAlign w:val="center"/>
          </w:tcPr>
          <w:p w14:paraId="54D1B81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Experiments, traces, observability</w:t>
            </w:r>
          </w:p>
        </w:tc>
        <w:tc>
          <w:tcPr>
            <w:tcW w:w="2520" w:type="dxa"/>
            <w:tcMar>
              <w:top w:w="70" w:type="dxa"/>
              <w:left w:w="90" w:type="dxa"/>
              <w:bottom w:w="70" w:type="dxa"/>
              <w:right w:w="90" w:type="dxa"/>
            </w:tcMar>
            <w:vAlign w:val="center"/>
          </w:tcPr>
          <w:p w14:paraId="0C90E86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Runs, evaluator scores, operational telemetry</w:t>
            </w:r>
          </w:p>
        </w:tc>
        <w:tc>
          <w:tcPr>
            <w:tcW w:w="3240" w:type="dxa"/>
            <w:tcMar>
              <w:top w:w="70" w:type="dxa"/>
              <w:left w:w="90" w:type="dxa"/>
              <w:bottom w:w="70" w:type="dxa"/>
              <w:right w:w="90" w:type="dxa"/>
            </w:tcMar>
            <w:vAlign w:val="center"/>
          </w:tcPr>
          <w:p w14:paraId="2E31B12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Normalizes exports and applies release gates</w:t>
            </w:r>
          </w:p>
        </w:tc>
      </w:tr>
      <w:tr w:rsidR="00A16D83" w:rsidRPr="002A2802" w14:paraId="614F88FC" w14:textId="77777777">
        <w:trPr>
          <w:cantSplit/>
          <w:jc w:val="center"/>
        </w:trPr>
        <w:tc>
          <w:tcPr>
            <w:tcW w:w="1944" w:type="dxa"/>
            <w:tcMar>
              <w:top w:w="70" w:type="dxa"/>
              <w:left w:w="90" w:type="dxa"/>
              <w:bottom w:w="70" w:type="dxa"/>
              <w:right w:w="90" w:type="dxa"/>
            </w:tcMar>
            <w:vAlign w:val="center"/>
          </w:tcPr>
          <w:p w14:paraId="1C3383A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NIST AI RMF / ISO 42001</w:t>
            </w:r>
          </w:p>
        </w:tc>
        <w:tc>
          <w:tcPr>
            <w:tcW w:w="2376" w:type="dxa"/>
            <w:tcMar>
              <w:top w:w="70" w:type="dxa"/>
              <w:left w:w="90" w:type="dxa"/>
              <w:bottom w:w="70" w:type="dxa"/>
              <w:right w:w="90" w:type="dxa"/>
            </w:tcMar>
            <w:vAlign w:val="center"/>
          </w:tcPr>
          <w:p w14:paraId="7F4D4CE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Lifecycle and management governance</w:t>
            </w:r>
          </w:p>
        </w:tc>
        <w:tc>
          <w:tcPr>
            <w:tcW w:w="2520" w:type="dxa"/>
            <w:tcMar>
              <w:top w:w="70" w:type="dxa"/>
              <w:left w:w="90" w:type="dxa"/>
              <w:bottom w:w="70" w:type="dxa"/>
              <w:right w:w="90" w:type="dxa"/>
            </w:tcMar>
            <w:vAlign w:val="center"/>
          </w:tcPr>
          <w:p w14:paraId="538CAB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Practices, outcomes, management requirements</w:t>
            </w:r>
          </w:p>
        </w:tc>
        <w:tc>
          <w:tcPr>
            <w:tcW w:w="3240" w:type="dxa"/>
            <w:tcMar>
              <w:top w:w="70" w:type="dxa"/>
              <w:left w:w="90" w:type="dxa"/>
              <w:bottom w:w="70" w:type="dxa"/>
              <w:right w:w="90" w:type="dxa"/>
            </w:tcMar>
            <w:vAlign w:val="center"/>
          </w:tcPr>
          <w:p w14:paraId="569305B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Implements a narrow technical promotion control</w:t>
            </w:r>
          </w:p>
        </w:tc>
      </w:tr>
      <w:tr w:rsidR="00A16D83" w:rsidRPr="002A2802" w14:paraId="3A6B3CFD" w14:textId="77777777">
        <w:trPr>
          <w:cantSplit/>
          <w:jc w:val="center"/>
        </w:trPr>
        <w:tc>
          <w:tcPr>
            <w:tcW w:w="1944" w:type="dxa"/>
            <w:tcMar>
              <w:top w:w="70" w:type="dxa"/>
              <w:left w:w="90" w:type="dxa"/>
              <w:bottom w:w="70" w:type="dxa"/>
              <w:right w:w="90" w:type="dxa"/>
            </w:tcMar>
            <w:vAlign w:val="center"/>
          </w:tcPr>
          <w:p w14:paraId="43471246" w14:textId="7A843CF6" w:rsidR="00A16D83" w:rsidRPr="002A2802" w:rsidRDefault="0090312D">
            <w:pPr>
              <w:spacing w:after="0" w:line="240" w:lineRule="auto"/>
              <w:rPr>
                <w:rFonts w:asciiTheme="majorHAnsi" w:hAnsiTheme="majorHAnsi"/>
                <w:color w:val="000000" w:themeColor="text1"/>
              </w:rPr>
            </w:pPr>
            <w:r>
              <w:rPr>
                <w:rFonts w:asciiTheme="majorHAnsi" w:hAnsiTheme="majorHAnsi"/>
                <w:color w:val="000000" w:themeColor="text1"/>
                <w:sz w:val="15"/>
              </w:rPr>
              <w:t>RAGWarrant</w:t>
            </w:r>
          </w:p>
        </w:tc>
        <w:tc>
          <w:tcPr>
            <w:tcW w:w="2376" w:type="dxa"/>
            <w:tcMar>
              <w:top w:w="70" w:type="dxa"/>
              <w:left w:w="90" w:type="dxa"/>
              <w:bottom w:w="70" w:type="dxa"/>
              <w:right w:w="90" w:type="dxa"/>
            </w:tcMar>
            <w:vAlign w:val="center"/>
          </w:tcPr>
          <w:p w14:paraId="1894E26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Evidence-preserving promotion control</w:t>
            </w:r>
          </w:p>
        </w:tc>
        <w:tc>
          <w:tcPr>
            <w:tcW w:w="2520" w:type="dxa"/>
            <w:tcMar>
              <w:top w:w="70" w:type="dxa"/>
              <w:left w:w="90" w:type="dxa"/>
              <w:bottom w:w="70" w:type="dxa"/>
              <w:right w:w="90" w:type="dxa"/>
            </w:tcMar>
            <w:vAlign w:val="center"/>
          </w:tcPr>
          <w:p w14:paraId="22BE03C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 BLOCK, REJECT, or INCONCLUSIVE plus audit bundle</w:t>
            </w:r>
          </w:p>
        </w:tc>
        <w:tc>
          <w:tcPr>
            <w:tcW w:w="3240" w:type="dxa"/>
            <w:tcMar>
              <w:top w:w="70" w:type="dxa"/>
              <w:left w:w="90" w:type="dxa"/>
              <w:bottom w:w="70" w:type="dxa"/>
              <w:right w:w="90" w:type="dxa"/>
            </w:tcMar>
            <w:vAlign w:val="center"/>
          </w:tcPr>
          <w:p w14:paraId="6EA4916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Coordinates evidence, gates, claim ceilings, and integrity</w:t>
            </w:r>
          </w:p>
        </w:tc>
      </w:tr>
    </w:tbl>
    <w:p w14:paraId="3F0F99A4" w14:textId="7946F68B"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 xml:space="preserve">Table 1. </w:t>
      </w:r>
      <w:r w:rsidR="0090312D">
        <w:rPr>
          <w:rFonts w:asciiTheme="majorHAnsi" w:hAnsiTheme="majorHAnsi"/>
          <w:color w:val="000000" w:themeColor="text1"/>
          <w:sz w:val="16"/>
        </w:rPr>
        <w:t>RAGWarrant</w:t>
      </w:r>
      <w:r w:rsidRPr="002A2802">
        <w:rPr>
          <w:rFonts w:asciiTheme="majorHAnsi" w:hAnsiTheme="majorHAnsi"/>
          <w:color w:val="000000" w:themeColor="text1"/>
          <w:sz w:val="16"/>
        </w:rPr>
        <w:t xml:space="preserve"> complements metric, benchmark, optimization, observability, and management-framework layers.</w:t>
      </w:r>
    </w:p>
    <w:p w14:paraId="5485F95A"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3. Design Goals and Threat Model</w:t>
      </w:r>
    </w:p>
    <w:p w14:paraId="32BBC431" w14:textId="225E6D47" w:rsidR="00A16D83" w:rsidRPr="002A2802" w:rsidRDefault="0090312D">
      <w:pPr>
        <w:pStyle w:val="BodyText"/>
        <w:spacing w:after="84" w:line="254" w:lineRule="auto"/>
        <w:ind w:firstLine="317"/>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 xml:space="preserve"> is designed around false promotion: releasing a candidate because it appears cheaper, faster, or better on an aggregate score when its quality evidence is insufficient, a protected slice regresses, provenance is invalid, or the result exceeds its evidence class. False refusal also matters, but the current design deliberately prefers conservative refusal when the cost of unnoticed quality loss is high.</w:t>
      </w:r>
    </w:p>
    <w:p w14:paraId="6862651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threat model assumes heterogeneous and imperfect evaluators. Each suite therefore declares metric direction, weight, split structure, evidence class, and hard gates rather than treating any single score as ground truth.</w:t>
      </w:r>
    </w:p>
    <w:p w14:paraId="21CDF728"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Metric risk: evaluator scores may be noisy, constant, weakly calibrated, or insensitive to meaningful policy differences.</w:t>
      </w:r>
    </w:p>
    <w:p w14:paraId="758F8967"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Selection risk: validation winners may reverse on held-out data, and optimizers may overfit small development sets.</w:t>
      </w:r>
    </w:p>
    <w:p w14:paraId="1E972663"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Operational risk: cost-only or latency-only selection can improve efficiency while degrading answer quality or evidence support.</w:t>
      </w:r>
    </w:p>
    <w:p w14:paraId="27A86215"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Evidence risk: fixtures, development runs, frozen observations, and confirmatory runs support different claim ceilings.</w:t>
      </w:r>
    </w:p>
    <w:p w14:paraId="01C7895D"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Reproducibility risk: results may depend on mutable code, local state, unpinned data, or unverifiable artifacts.</w:t>
      </w:r>
    </w:p>
    <w:p w14:paraId="5EED5E12" w14:textId="77777777" w:rsidR="00A16D83" w:rsidRPr="002A2802" w:rsidRDefault="0034031E">
      <w:pPr>
        <w:pStyle w:val="ListBullet"/>
        <w:spacing w:after="50" w:line="245" w:lineRule="auto"/>
        <w:ind w:hanging="216"/>
        <w:rPr>
          <w:rFonts w:asciiTheme="majorHAnsi" w:hAnsiTheme="majorHAnsi"/>
          <w:color w:val="000000" w:themeColor="text1"/>
        </w:rPr>
      </w:pPr>
      <w:r w:rsidRPr="002A2802">
        <w:rPr>
          <w:rFonts w:asciiTheme="majorHAnsi" w:hAnsiTheme="majorHAnsi"/>
          <w:color w:val="000000" w:themeColor="text1"/>
          <w:sz w:val="19"/>
        </w:rPr>
        <w:t>Publication and security risk: licensed text, prompts, answers, credentials, private paths, or unsupported claims may leak into public artifacts.</w:t>
      </w:r>
    </w:p>
    <w:p w14:paraId="533EB59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corresponding design objectives are to freeze decision criteria before confirmatory evaluation; separate eligibility from ranking; make protected regressions and security failures non-tradable; preserve blocked and negative outcomes; trace every public claim to a result artifact; remain agnostic to the evaluator that produced a metric; and make the complete decision runnable as a finite, containerized job. These objectives optimize for auditability and correction, not maximum promotion throughput.</w:t>
      </w:r>
    </w:p>
    <w:p w14:paraId="27C9B65B" w14:textId="73BB8353" w:rsidR="00A16D83" w:rsidRPr="002A2802" w:rsidRDefault="0034031E">
      <w:pPr>
        <w:pStyle w:val="Heading1"/>
        <w:spacing w:before="180" w:after="80"/>
        <w:rPr>
          <w:b w:val="0"/>
          <w:bCs w:val="0"/>
          <w:color w:val="000000" w:themeColor="text1"/>
        </w:rPr>
      </w:pPr>
      <w:r w:rsidRPr="002A2802">
        <w:rPr>
          <w:b w:val="0"/>
          <w:bCs w:val="0"/>
          <w:color w:val="000000" w:themeColor="text1"/>
          <w:sz w:val="30"/>
        </w:rPr>
        <w:t xml:space="preserve">4. </w:t>
      </w:r>
      <w:r w:rsidR="0090312D">
        <w:rPr>
          <w:b w:val="0"/>
          <w:bCs w:val="0"/>
          <w:color w:val="000000" w:themeColor="text1"/>
          <w:sz w:val="30"/>
        </w:rPr>
        <w:t>RAGWarrant</w:t>
      </w:r>
      <w:r w:rsidRPr="002A2802">
        <w:rPr>
          <w:b w:val="0"/>
          <w:bCs w:val="0"/>
          <w:color w:val="000000" w:themeColor="text1"/>
          <w:sz w:val="30"/>
        </w:rPr>
        <w:t xml:space="preserve"> System</w:t>
      </w:r>
    </w:p>
    <w:p w14:paraId="006579A2"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4.1 Policy candidates and normalized evidence</w:t>
      </w:r>
    </w:p>
    <w:p w14:paraId="4FF7F4A6" w14:textId="42BE38B1"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A RAG policy is a named, versioned configuration that may change retrieval depth, endpoints, routing, reranking, context limits, fallback behavior, generator choice, abstention, or selector logic. Policies may be hand-authored, proposed by an optimizer, or imported from another experiment. </w:t>
      </w:r>
      <w:r w:rsidR="0090312D">
        <w:rPr>
          <w:rFonts w:asciiTheme="majorHAnsi" w:hAnsiTheme="majorHAnsi"/>
          <w:color w:val="000000" w:themeColor="text1"/>
        </w:rPr>
        <w:t>RAGWarrant</w:t>
      </w:r>
      <w:r w:rsidRPr="002A2802">
        <w:rPr>
          <w:rFonts w:asciiTheme="majorHAnsi" w:hAnsiTheme="majorHAnsi"/>
          <w:color w:val="000000" w:themeColor="text1"/>
        </w:rPr>
        <w:t xml:space="preserve"> records behavioral parameters alongside normalized evidence such as answer correctness, faithfulness, evidence support, context recall, abstention correctness, API calls, cost, latency, failure rate, and protected-regression indicators.</w:t>
      </w:r>
    </w:p>
    <w:p w14:paraId="7671520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External-evaluator adapters map Ragas-like, DeepEval-like, LangSmith-like, Phoenix-like, generic CSV, and generic JSONL exports into a canonical schema while retaining evaluator provenance. The release-candidate demonstration uses sanitized synthetic-shaped exports; it establishes schema interoperability, not official integration. This separation allows upstream metrics to evolve without changing the downstream release contract.</w:t>
      </w:r>
    </w:p>
    <w:p w14:paraId="7463E67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Normalization is intentionally explicit. Each imported metric retains its evaluator name, group, direction, scale, split, policy ID, and source-artifact hash. Scores are not treated as interchangeable merely because they share a 0-to-1 range. A suite may combine them into a declared composite, use them as separate hard gates, or retain them only for diagnosis. Operational telemetry follows the same principle: modeled cost, measured latency, API-call count, and context volume remain distinct fields so that a favorable weighted utility can be decomposed during review.</w:t>
      </w:r>
    </w:p>
    <w:p w14:paraId="378CADC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governance suite is configured as a declarative contract. It identifies candidate and baseline policies, development and held-out split roles, metric direction and composition, the noninferiority margin, operational objectives, hard disqualifiers, protected slices, evidence class, and expected artifacts. Candidate generation may be exploratory, but selection logic is frozen before a confirmatory split is evaluated. Confirmatory data estimate the consequences of the frozen decision; they are not used to redesign the selector after the fact.</w:t>
      </w:r>
    </w:p>
    <w:p w14:paraId="2AF4A48F"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4.2 Canonical promotion formalism</w:t>
      </w:r>
    </w:p>
    <w:p w14:paraId="0659CAE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Let p be a candidate and b the current baseline. Define quality and operational deltas as Delta_q = q(p) - q(b), Delta_c = c(p) - c(b), and Delta_l = l(p) - l(b), with positive quality better and negative cost or latency better. A suite declares a quality-loss margin delta before confirmatory evaluation. In the canonical rule, a candidate is quality-noninferior when the lower confidence bound on Delta_q is no worse than -delta; an operational claim additionally requires the relevant upper confidence bound on Delta_c or Delta_l to be below zero. Promotion is permitted only if all hard gates pass.</w:t>
      </w:r>
    </w:p>
    <w:p w14:paraId="3DCAE327"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t>Delta_q = q(p) - q(b)      Delta_c = c(p) - c(b)      Delta_l = l(p) - l(b)</w:t>
      </w:r>
    </w:p>
    <w:p w14:paraId="2B792F14" w14:textId="77777777" w:rsidR="00A16D83" w:rsidRPr="002A2802" w:rsidRDefault="0034031E">
      <w:pPr>
        <w:keepLines/>
        <w:spacing w:before="40" w:after="100"/>
        <w:jc w:val="center"/>
        <w:rPr>
          <w:rFonts w:asciiTheme="majorHAnsi" w:hAnsiTheme="majorHAnsi"/>
          <w:color w:val="000000" w:themeColor="text1"/>
        </w:rPr>
      </w:pPr>
      <w:r w:rsidRPr="002A2802">
        <w:rPr>
          <w:rFonts w:asciiTheme="majorHAnsi" w:hAnsiTheme="majorHAnsi"/>
          <w:color w:val="000000" w:themeColor="text1"/>
          <w:sz w:val="21"/>
        </w:rPr>
        <w:lastRenderedPageBreak/>
        <w:t>PROMOTE(p) iff hard_gates(p) and LCB(Delta_q) &gt;= -delta and [UCB(Delta_c) &lt; 0 or UCB(Delta_l) &lt; 0]</w:t>
      </w:r>
    </w:p>
    <w:p w14:paraId="630FD8EC"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This use of noninferiority is procedural rather than clinical: it does not make RAG evaluation equivalent to a randomized trial [16, 17]. Its value is that acceptable loss is declared in advance, evidence direction is explicit, and efficiency is not equated with release eligibility. If uncertainty crosses a gate, the decision is INCONCLUSIVE rather than a win.</w:t>
      </w:r>
    </w:p>
    <w:p w14:paraId="7201BA96"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72DB14D2" wp14:editId="59BAACC1">
            <wp:extent cx="3657600" cy="3014654"/>
            <wp:effectExtent l="0" t="0" r="0" b="0"/>
            <wp:docPr id="2" name="Picture 2" descr="Four-quadrant promotion diagram showing that operational improvement is promotable only above a predeclared quality-loss margin; quality loss leads to block or reject." title="Four-quadrant promotion diagram showing that operational improvement is promotable only above a predeclared quality-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3657600" cy="3014654"/>
                    </a:xfrm>
                    <a:prstGeom prst="rect">
                      <a:avLst/>
                    </a:prstGeom>
                  </pic:spPr>
                </pic:pic>
              </a:graphicData>
            </a:graphic>
          </wp:inline>
        </w:drawing>
      </w:r>
    </w:p>
    <w:p w14:paraId="475FF910"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2. Canonical decision geometry. Operational improvement is promotable only when the quality-preservation condition and all hard gates pass.</w:t>
      </w:r>
    </w:p>
    <w:p w14:paraId="47E2BC4B"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4.3 Hard gates and decision taxonomy</w:t>
      </w:r>
    </w:p>
    <w:p w14:paraId="605E6F2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Hard gates are non-compensatory. Leakage, missing provenance, security disqualification, publication-hygiene failure, or an absent quality signal cannot be offset by lower cost. Weighted utilities can rank eligible candidates, but eligibility is established first. The deployable job exposes four scientific decisions: PROMOTE when evidence supports replacement within scope; BLOCK when the decision cannot be evaluated safely; REJECT when evidence favors retaining the baseline; and INCONCLUSIVE when available evidence does not resolve the gate. Runtime errors are recorded separately in the machine-readable schema; the full taxonomy appears in Appendix A.</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152"/>
        <w:gridCol w:w="2664"/>
        <w:gridCol w:w="3528"/>
        <w:gridCol w:w="2736"/>
      </w:tblGrid>
      <w:tr w:rsidR="00A16D83" w:rsidRPr="002A2802" w14:paraId="5CC5EC4F" w14:textId="77777777">
        <w:trPr>
          <w:cantSplit/>
          <w:tblHeader/>
          <w:jc w:val="center"/>
        </w:trPr>
        <w:tc>
          <w:tcPr>
            <w:tcW w:w="1152" w:type="dxa"/>
            <w:shd w:val="clear" w:color="auto" w:fill="DCE8EF"/>
            <w:tcMar>
              <w:top w:w="70" w:type="dxa"/>
              <w:left w:w="90" w:type="dxa"/>
              <w:bottom w:w="70" w:type="dxa"/>
              <w:right w:w="90" w:type="dxa"/>
            </w:tcMar>
            <w:vAlign w:val="center"/>
          </w:tcPr>
          <w:p w14:paraId="21DADFD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Decision</w:t>
            </w:r>
          </w:p>
        </w:tc>
        <w:tc>
          <w:tcPr>
            <w:tcW w:w="2664" w:type="dxa"/>
            <w:shd w:val="clear" w:color="auto" w:fill="DCE8EF"/>
            <w:tcMar>
              <w:top w:w="70" w:type="dxa"/>
              <w:left w:w="90" w:type="dxa"/>
              <w:bottom w:w="70" w:type="dxa"/>
              <w:right w:w="90" w:type="dxa"/>
            </w:tcMar>
            <w:vAlign w:val="center"/>
          </w:tcPr>
          <w:p w14:paraId="64CA2F8B"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Meaning</w:t>
            </w:r>
          </w:p>
        </w:tc>
        <w:tc>
          <w:tcPr>
            <w:tcW w:w="3528" w:type="dxa"/>
            <w:shd w:val="clear" w:color="auto" w:fill="DCE8EF"/>
            <w:tcMar>
              <w:top w:w="70" w:type="dxa"/>
              <w:left w:w="90" w:type="dxa"/>
              <w:bottom w:w="70" w:type="dxa"/>
              <w:right w:w="90" w:type="dxa"/>
            </w:tcMar>
            <w:vAlign w:val="center"/>
          </w:tcPr>
          <w:p w14:paraId="3B8ECBAD"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Typical trigger</w:t>
            </w:r>
          </w:p>
        </w:tc>
        <w:tc>
          <w:tcPr>
            <w:tcW w:w="2736" w:type="dxa"/>
            <w:shd w:val="clear" w:color="auto" w:fill="DCE8EF"/>
            <w:tcMar>
              <w:top w:w="70" w:type="dxa"/>
              <w:left w:w="90" w:type="dxa"/>
              <w:bottom w:w="70" w:type="dxa"/>
              <w:right w:w="90" w:type="dxa"/>
            </w:tcMar>
            <w:vAlign w:val="center"/>
          </w:tcPr>
          <w:p w14:paraId="70288010"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Consequence</w:t>
            </w:r>
          </w:p>
        </w:tc>
      </w:tr>
      <w:tr w:rsidR="00A16D83" w:rsidRPr="002A2802" w14:paraId="3863A238" w14:textId="77777777">
        <w:trPr>
          <w:cantSplit/>
          <w:jc w:val="center"/>
        </w:trPr>
        <w:tc>
          <w:tcPr>
            <w:tcW w:w="1152" w:type="dxa"/>
            <w:tcMar>
              <w:top w:w="70" w:type="dxa"/>
              <w:left w:w="90" w:type="dxa"/>
              <w:bottom w:w="70" w:type="dxa"/>
              <w:right w:w="90" w:type="dxa"/>
            </w:tcMar>
            <w:vAlign w:val="center"/>
          </w:tcPr>
          <w:p w14:paraId="30076E5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PROMOTE</w:t>
            </w:r>
          </w:p>
        </w:tc>
        <w:tc>
          <w:tcPr>
            <w:tcW w:w="2664" w:type="dxa"/>
            <w:tcMar>
              <w:top w:w="70" w:type="dxa"/>
              <w:left w:w="90" w:type="dxa"/>
              <w:bottom w:w="70" w:type="dxa"/>
              <w:right w:w="90" w:type="dxa"/>
            </w:tcMar>
            <w:vAlign w:val="center"/>
          </w:tcPr>
          <w:p w14:paraId="2820B8B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supports replacing the baseline within declared scope.</w:t>
            </w:r>
          </w:p>
        </w:tc>
        <w:tc>
          <w:tcPr>
            <w:tcW w:w="3528" w:type="dxa"/>
            <w:tcMar>
              <w:top w:w="70" w:type="dxa"/>
              <w:left w:w="90" w:type="dxa"/>
              <w:bottom w:w="70" w:type="dxa"/>
              <w:right w:w="90" w:type="dxa"/>
            </w:tcMar>
            <w:vAlign w:val="center"/>
          </w:tcPr>
          <w:p w14:paraId="0A5A949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 and operational/risk objectives pass; no hard disqualifier.</w:t>
            </w:r>
          </w:p>
        </w:tc>
        <w:tc>
          <w:tcPr>
            <w:tcW w:w="2736" w:type="dxa"/>
            <w:tcMar>
              <w:top w:w="70" w:type="dxa"/>
              <w:left w:w="90" w:type="dxa"/>
              <w:bottom w:w="70" w:type="dxa"/>
              <w:right w:w="90" w:type="dxa"/>
            </w:tcMar>
            <w:vAlign w:val="center"/>
          </w:tcPr>
          <w:p w14:paraId="5003AF2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may advance with recorded boundaries.</w:t>
            </w:r>
          </w:p>
        </w:tc>
      </w:tr>
      <w:tr w:rsidR="00A16D83" w:rsidRPr="002A2802" w14:paraId="32396F8B" w14:textId="77777777">
        <w:trPr>
          <w:cantSplit/>
          <w:jc w:val="center"/>
        </w:trPr>
        <w:tc>
          <w:tcPr>
            <w:tcW w:w="1152" w:type="dxa"/>
            <w:tcMar>
              <w:top w:w="70" w:type="dxa"/>
              <w:left w:w="90" w:type="dxa"/>
              <w:bottom w:w="70" w:type="dxa"/>
              <w:right w:w="90" w:type="dxa"/>
            </w:tcMar>
            <w:vAlign w:val="center"/>
          </w:tcPr>
          <w:p w14:paraId="61530E8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BLOCK</w:t>
            </w:r>
          </w:p>
        </w:tc>
        <w:tc>
          <w:tcPr>
            <w:tcW w:w="2664" w:type="dxa"/>
            <w:tcMar>
              <w:top w:w="70" w:type="dxa"/>
              <w:left w:w="90" w:type="dxa"/>
              <w:bottom w:w="70" w:type="dxa"/>
              <w:right w:w="90" w:type="dxa"/>
            </w:tcMar>
            <w:vAlign w:val="center"/>
          </w:tcPr>
          <w:p w14:paraId="4A60C56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Promotion cannot be evaluated safely.</w:t>
            </w:r>
          </w:p>
        </w:tc>
        <w:tc>
          <w:tcPr>
            <w:tcW w:w="3528" w:type="dxa"/>
            <w:tcMar>
              <w:top w:w="70" w:type="dxa"/>
              <w:left w:w="90" w:type="dxa"/>
              <w:bottom w:w="70" w:type="dxa"/>
              <w:right w:w="90" w:type="dxa"/>
            </w:tcMar>
            <w:vAlign w:val="center"/>
          </w:tcPr>
          <w:p w14:paraId="7D82E0E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usable signal, leakage, missing provenance, security or hygiene failure.</w:t>
            </w:r>
          </w:p>
        </w:tc>
        <w:tc>
          <w:tcPr>
            <w:tcW w:w="2736" w:type="dxa"/>
            <w:tcMar>
              <w:top w:w="70" w:type="dxa"/>
              <w:left w:w="90" w:type="dxa"/>
              <w:bottom w:w="70" w:type="dxa"/>
              <w:right w:w="90" w:type="dxa"/>
            </w:tcMar>
            <w:vAlign w:val="center"/>
          </w:tcPr>
          <w:p w14:paraId="20FA025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release claim; blocker and remediation are recorded.</w:t>
            </w:r>
          </w:p>
        </w:tc>
      </w:tr>
      <w:tr w:rsidR="00A16D83" w:rsidRPr="002A2802" w14:paraId="64F64534" w14:textId="77777777">
        <w:trPr>
          <w:cantSplit/>
          <w:jc w:val="center"/>
        </w:trPr>
        <w:tc>
          <w:tcPr>
            <w:tcW w:w="1152" w:type="dxa"/>
            <w:tcMar>
              <w:top w:w="70" w:type="dxa"/>
              <w:left w:w="90" w:type="dxa"/>
              <w:bottom w:w="70" w:type="dxa"/>
              <w:right w:w="90" w:type="dxa"/>
            </w:tcMar>
            <w:vAlign w:val="center"/>
          </w:tcPr>
          <w:p w14:paraId="6079057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REJECT</w:t>
            </w:r>
          </w:p>
        </w:tc>
        <w:tc>
          <w:tcPr>
            <w:tcW w:w="2664" w:type="dxa"/>
            <w:tcMar>
              <w:top w:w="70" w:type="dxa"/>
              <w:left w:w="90" w:type="dxa"/>
              <w:bottom w:w="70" w:type="dxa"/>
              <w:right w:w="90" w:type="dxa"/>
            </w:tcMar>
            <w:vAlign w:val="center"/>
          </w:tcPr>
          <w:p w14:paraId="1DD32AC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Evidence favors retaining the baseline.</w:t>
            </w:r>
          </w:p>
        </w:tc>
        <w:tc>
          <w:tcPr>
            <w:tcW w:w="3528" w:type="dxa"/>
            <w:tcMar>
              <w:top w:w="70" w:type="dxa"/>
              <w:left w:w="90" w:type="dxa"/>
              <w:bottom w:w="70" w:type="dxa"/>
              <w:right w:w="90" w:type="dxa"/>
            </w:tcMar>
            <w:vAlign w:val="center"/>
          </w:tcPr>
          <w:p w14:paraId="491DD76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Confirmed quality loss, negative held-out result, or protected regression.</w:t>
            </w:r>
          </w:p>
        </w:tc>
        <w:tc>
          <w:tcPr>
            <w:tcW w:w="2736" w:type="dxa"/>
            <w:tcMar>
              <w:top w:w="70" w:type="dxa"/>
              <w:left w:w="90" w:type="dxa"/>
              <w:bottom w:w="70" w:type="dxa"/>
              <w:right w:w="90" w:type="dxa"/>
            </w:tcMar>
            <w:vAlign w:val="center"/>
          </w:tcPr>
          <w:p w14:paraId="18DCAD6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Candidate is not promoted; negative evidence remains append-only.</w:t>
            </w:r>
          </w:p>
        </w:tc>
      </w:tr>
      <w:tr w:rsidR="00A16D83" w:rsidRPr="002A2802" w14:paraId="0B69F9D2" w14:textId="77777777">
        <w:trPr>
          <w:cantSplit/>
          <w:jc w:val="center"/>
        </w:trPr>
        <w:tc>
          <w:tcPr>
            <w:tcW w:w="1152" w:type="dxa"/>
            <w:tcMar>
              <w:top w:w="70" w:type="dxa"/>
              <w:left w:w="90" w:type="dxa"/>
              <w:bottom w:w="70" w:type="dxa"/>
              <w:right w:w="90" w:type="dxa"/>
            </w:tcMar>
            <w:vAlign w:val="center"/>
          </w:tcPr>
          <w:p w14:paraId="56C9B97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INCONCLUSIVE</w:t>
            </w:r>
          </w:p>
        </w:tc>
        <w:tc>
          <w:tcPr>
            <w:tcW w:w="2664" w:type="dxa"/>
            <w:tcMar>
              <w:top w:w="70" w:type="dxa"/>
              <w:left w:w="90" w:type="dxa"/>
              <w:bottom w:w="70" w:type="dxa"/>
              <w:right w:w="90" w:type="dxa"/>
            </w:tcMar>
            <w:vAlign w:val="center"/>
          </w:tcPr>
          <w:p w14:paraId="13DD522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Available evidence does not resolve the decision.</w:t>
            </w:r>
          </w:p>
        </w:tc>
        <w:tc>
          <w:tcPr>
            <w:tcW w:w="3528" w:type="dxa"/>
            <w:tcMar>
              <w:top w:w="70" w:type="dxa"/>
              <w:left w:w="90" w:type="dxa"/>
              <w:bottom w:w="70" w:type="dxa"/>
              <w:right w:w="90" w:type="dxa"/>
            </w:tcMar>
            <w:vAlign w:val="center"/>
          </w:tcPr>
          <w:p w14:paraId="2CA4FA3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Interval crosses threshold, evidence is mixed, or sample is underpowered.</w:t>
            </w:r>
          </w:p>
        </w:tc>
        <w:tc>
          <w:tcPr>
            <w:tcW w:w="2736" w:type="dxa"/>
            <w:tcMar>
              <w:top w:w="70" w:type="dxa"/>
              <w:left w:w="90" w:type="dxa"/>
              <w:bottom w:w="70" w:type="dxa"/>
              <w:right w:w="90" w:type="dxa"/>
            </w:tcMar>
            <w:vAlign w:val="center"/>
          </w:tcPr>
          <w:p w14:paraId="50208A6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No promotion; additional evidence may be collected.</w:t>
            </w:r>
          </w:p>
        </w:tc>
      </w:tr>
    </w:tbl>
    <w:p w14:paraId="7BA19872"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2. Scientific decision classes used by the deployable governance job; runtime errors are represented separately in the schema.</w:t>
      </w:r>
    </w:p>
    <w:p w14:paraId="01623F3C"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4.4 Evidence classes and claim ceilings</w:t>
      </w:r>
    </w:p>
    <w:p w14:paraId="312090FA"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Every run is assigned an evidence class. Fixtures establish execution and schema behavior, not policy superiority. Development runs guide design but cannot be relabeled confirmatory. Frozen observations support ablation but are weaker than independent collection. Generative evidence requires a pinned generator and usable answer-quality signal; human or platform claims require the corresponding annotations or platform-native records. The evidence ladder therefore sets a claim ceiling: evidence may support a narrower statement than its maximum, but never a broader one.</w:t>
      </w:r>
    </w:p>
    <w:p w14:paraId="496698CB"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69825AAD" wp14:editId="48DD94A2">
            <wp:extent cx="4069080" cy="2914189"/>
            <wp:effectExtent l="0" t="0" r="0" b="0"/>
            <wp:docPr id="3" name="Picture 3" descr="Stepped evidence ladder from synthetic validation through engineering, development, confirmatory, multi-corpus, corroborated, and production evidence, with the current bounded position marked." title="Stepped evidence ladder from synthetic validation through engineering, development, confirmatory, multi-corpus, corrob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4069080" cy="2914189"/>
                    </a:xfrm>
                    <a:prstGeom prst="rect">
                      <a:avLst/>
                    </a:prstGeom>
                  </pic:spPr>
                </pic:pic>
              </a:graphicData>
            </a:graphic>
          </wp:inline>
        </w:drawing>
      </w:r>
    </w:p>
    <w:p w14:paraId="00007E27"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3. Evidence classes define a claim ceiling. The release reaches bounded public and generative evidence in selected settings, not the highest evidence levels.</w:t>
      </w:r>
    </w:p>
    <w:p w14:paraId="2DF4443C"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4.5 Claim validation, integrity, and deployment contract</w:t>
      </w:r>
    </w:p>
    <w:p w14:paraId="0EEA6FC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publication validator checks that public language and artifacts match those ceilings. It scans for raw licensed text, prompts, answers, API responses, credentials, private paths, large tracked files, and unsupported claim patterns. A historical ledger preserves positive, negative, blocked, refused, and superseded outcomes, while verify-run checks required artifacts, schemas, and hashes. Together, these mechanisms prevent later summaries from reviving a claim that a stronger audit or held-out test had already narrowed.</w:t>
      </w:r>
    </w:p>
    <w:p w14:paraId="52CE7BC8"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Claim validation occurs after scientific decision generation but before publication or promotion artifacts are accepted. The validator compares result classes with allowed language, confirms required evidence files, and checks that high-risk fields appear only as hashes, counts, or sanitized labels. This creates two independent failure channels: a candidate can fail the scientific gate, or an otherwise valid run can fail artifact hygiene. Neither failure is converted into evidence for the candidate.</w:t>
      </w:r>
    </w:p>
    <w:p w14:paraId="566F8FB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finite job contract accepts policy configurations, sanitized datasets or evaluator exports, and operational telemetry; it emits a promotion decision, run manifest, policy summaries, selector comparison, claim update, validation report, and optional audit bundle. The same OCI image is packaged for local Docker, Docker Compose, Kubernetes Jobs, and cloud job templates. Only local hardened Docker execution is demonstrated here; the architecture is portable, but the evidence claim remains local deployment validation.</w:t>
      </w:r>
    </w:p>
    <w:p w14:paraId="10E9DE3D"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779BF95E" wp14:editId="35BA8848">
            <wp:extent cx="5715000" cy="3218181"/>
            <wp:effectExtent l="0" t="0" r="0" b="0"/>
            <wp:docPr id="4" name="Picture 4" descr="Cloud-agnostic deployment diagram showing policy configurations, datasets, and telemetry entering a hardened RAGTune containerized governance job and producing a promotion decision, audit bundle, and claim-boundary report." title="Cloud-agnostic deployment diagram showing policy configurations, datasets, and telemetry entering a hardened RAGTune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715000" cy="3218181"/>
                    </a:xfrm>
                    <a:prstGeom prst="rect">
                      <a:avLst/>
                    </a:prstGeom>
                  </pic:spPr>
                </pic:pic>
              </a:graphicData>
            </a:graphic>
          </wp:inline>
        </w:drawing>
      </w:r>
    </w:p>
    <w:p w14:paraId="76FF93D0"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4. Cloud-agnostic job contract. A finite container consumes policies and evidence, then emits a promotion decision, audit bundle, and validation report.</w:t>
      </w:r>
    </w:p>
    <w:p w14:paraId="45D6819B"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5. Experimental Program</w:t>
      </w:r>
    </w:p>
    <w:p w14:paraId="5136F87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empirical program progressed from fixture-level orchestration to public development and confirmatory corpora, statistical audits, corpus-backed retrieval, mock APIs, generated-answer evaluation, behaviorally distinct policies, held-out offsets, selector ablations, and deployment validation. It is a longitudinal research-and-engineering program rather than one preregistered trial. Claims are therefore reported by evidence class, and Table 3 identifies each corpus's role and principal limitation.</w:t>
      </w:r>
    </w:p>
    <w:p w14:paraId="44E7C3C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Dataset use was constrained by licensing and by whether policies could actually change retrieval. T2-RAGBench [21] supplied a larger text-and-table development path; MultiHop-RAG [22] provided a fresh sealed multi-hop confirmatory corpus; CRAG enabled both corpus-backed retrieval and a mock-API routing environment; and HotpotQA added answer labels and supporting-fact annotations. The public repository carries manifests, hashes, and processed metrics rather than raw licensed text. Split construction used deterministic grouping and duplicate checks where supported, and confirmatory unlocks were refused when provenance, leakage, or evidence prerequisites failed.</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656"/>
        <w:gridCol w:w="2088"/>
        <w:gridCol w:w="3096"/>
        <w:gridCol w:w="3240"/>
      </w:tblGrid>
      <w:tr w:rsidR="00A16D83" w:rsidRPr="002A2802" w14:paraId="6CCF0417" w14:textId="77777777">
        <w:trPr>
          <w:cantSplit/>
          <w:tblHeader/>
          <w:jc w:val="center"/>
        </w:trPr>
        <w:tc>
          <w:tcPr>
            <w:tcW w:w="1656" w:type="dxa"/>
            <w:shd w:val="clear" w:color="auto" w:fill="DCE8EF"/>
            <w:tcMar>
              <w:top w:w="70" w:type="dxa"/>
              <w:left w:w="90" w:type="dxa"/>
              <w:bottom w:w="70" w:type="dxa"/>
              <w:right w:w="90" w:type="dxa"/>
            </w:tcMar>
            <w:vAlign w:val="center"/>
          </w:tcPr>
          <w:p w14:paraId="0A4F7B00"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Dataset / path</w:t>
            </w:r>
          </w:p>
        </w:tc>
        <w:tc>
          <w:tcPr>
            <w:tcW w:w="2088" w:type="dxa"/>
            <w:shd w:val="clear" w:color="auto" w:fill="DCE8EF"/>
            <w:tcMar>
              <w:top w:w="70" w:type="dxa"/>
              <w:left w:w="90" w:type="dxa"/>
              <w:bottom w:w="70" w:type="dxa"/>
              <w:right w:w="90" w:type="dxa"/>
            </w:tcMar>
            <w:vAlign w:val="center"/>
          </w:tcPr>
          <w:p w14:paraId="262E553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Role</w:t>
            </w:r>
          </w:p>
        </w:tc>
        <w:tc>
          <w:tcPr>
            <w:tcW w:w="3096" w:type="dxa"/>
            <w:shd w:val="clear" w:color="auto" w:fill="DCE8EF"/>
            <w:tcMar>
              <w:top w:w="70" w:type="dxa"/>
              <w:left w:w="90" w:type="dxa"/>
              <w:bottom w:w="70" w:type="dxa"/>
              <w:right w:w="90" w:type="dxa"/>
            </w:tcMar>
            <w:vAlign w:val="center"/>
          </w:tcPr>
          <w:p w14:paraId="5A87EAE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characteristics</w:t>
            </w:r>
          </w:p>
        </w:tc>
        <w:tc>
          <w:tcPr>
            <w:tcW w:w="3240" w:type="dxa"/>
            <w:shd w:val="clear" w:color="auto" w:fill="DCE8EF"/>
            <w:tcMar>
              <w:top w:w="70" w:type="dxa"/>
              <w:left w:w="90" w:type="dxa"/>
              <w:bottom w:w="70" w:type="dxa"/>
              <w:right w:w="90" w:type="dxa"/>
            </w:tcMar>
            <w:vAlign w:val="center"/>
          </w:tcPr>
          <w:p w14:paraId="2B4ABA0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Primary limitation</w:t>
            </w:r>
          </w:p>
        </w:tc>
      </w:tr>
      <w:tr w:rsidR="00A16D83" w:rsidRPr="002A2802" w14:paraId="3E7CC0F0" w14:textId="77777777">
        <w:trPr>
          <w:cantSplit/>
          <w:jc w:val="center"/>
        </w:trPr>
        <w:tc>
          <w:tcPr>
            <w:tcW w:w="1656" w:type="dxa"/>
            <w:tcMar>
              <w:top w:w="70" w:type="dxa"/>
              <w:left w:w="90" w:type="dxa"/>
              <w:bottom w:w="70" w:type="dxa"/>
              <w:right w:w="90" w:type="dxa"/>
            </w:tcMar>
            <w:vAlign w:val="center"/>
          </w:tcPr>
          <w:p w14:paraId="5CDCE1F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T2-RAGBench</w:t>
            </w:r>
          </w:p>
        </w:tc>
        <w:tc>
          <w:tcPr>
            <w:tcW w:w="2088" w:type="dxa"/>
            <w:tcMar>
              <w:top w:w="70" w:type="dxa"/>
              <w:left w:w="90" w:type="dxa"/>
              <w:bottom w:w="70" w:type="dxa"/>
              <w:right w:w="90" w:type="dxa"/>
            </w:tcMar>
            <w:vAlign w:val="center"/>
          </w:tcPr>
          <w:p w14:paraId="20D675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end-to-end development</w:t>
            </w:r>
          </w:p>
        </w:tc>
        <w:tc>
          <w:tcPr>
            <w:tcW w:w="3096" w:type="dxa"/>
            <w:tcMar>
              <w:top w:w="70" w:type="dxa"/>
              <w:left w:w="90" w:type="dxa"/>
              <w:bottom w:w="70" w:type="dxa"/>
              <w:right w:w="90" w:type="dxa"/>
            </w:tcMar>
            <w:vAlign w:val="center"/>
          </w:tcPr>
          <w:p w14:paraId="5E66EAD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1,142-query development corpus; behaviorally variable policies</w:t>
            </w:r>
          </w:p>
        </w:tc>
        <w:tc>
          <w:tcPr>
            <w:tcW w:w="3240" w:type="dxa"/>
            <w:tcMar>
              <w:top w:w="70" w:type="dxa"/>
              <w:left w:w="90" w:type="dxa"/>
              <w:bottom w:w="70" w:type="dxa"/>
              <w:right w:w="90" w:type="dxa"/>
            </w:tcMar>
            <w:vAlign w:val="center"/>
          </w:tcPr>
          <w:p w14:paraId="2D4B580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 evidence; deterministic extractive generation in key runs</w:t>
            </w:r>
          </w:p>
        </w:tc>
      </w:tr>
      <w:tr w:rsidR="00A16D83" w:rsidRPr="002A2802" w14:paraId="4DE51780" w14:textId="77777777">
        <w:trPr>
          <w:cantSplit/>
          <w:jc w:val="center"/>
        </w:trPr>
        <w:tc>
          <w:tcPr>
            <w:tcW w:w="1656" w:type="dxa"/>
            <w:tcMar>
              <w:top w:w="70" w:type="dxa"/>
              <w:left w:w="90" w:type="dxa"/>
              <w:bottom w:w="70" w:type="dxa"/>
              <w:right w:w="90" w:type="dxa"/>
            </w:tcMar>
            <w:vAlign w:val="center"/>
          </w:tcPr>
          <w:p w14:paraId="53027A1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w:t>
            </w:r>
          </w:p>
        </w:tc>
        <w:tc>
          <w:tcPr>
            <w:tcW w:w="2088" w:type="dxa"/>
            <w:tcMar>
              <w:top w:w="70" w:type="dxa"/>
              <w:left w:w="90" w:type="dxa"/>
              <w:bottom w:w="70" w:type="dxa"/>
              <w:right w:w="90" w:type="dxa"/>
            </w:tcMar>
            <w:vAlign w:val="center"/>
          </w:tcPr>
          <w:p w14:paraId="2112F2C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 corpus</w:t>
            </w:r>
          </w:p>
        </w:tc>
        <w:tc>
          <w:tcPr>
            <w:tcW w:w="3096" w:type="dxa"/>
            <w:tcMar>
              <w:top w:w="70" w:type="dxa"/>
              <w:left w:w="90" w:type="dxa"/>
              <w:bottom w:w="70" w:type="dxa"/>
              <w:right w:w="90" w:type="dxa"/>
            </w:tcMar>
            <w:vAlign w:val="center"/>
          </w:tcPr>
          <w:p w14:paraId="6EF903D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331-query sealed confirmatory test; full corpus-backed path</w:t>
            </w:r>
          </w:p>
        </w:tc>
        <w:tc>
          <w:tcPr>
            <w:tcW w:w="3240" w:type="dxa"/>
            <w:tcMar>
              <w:top w:w="70" w:type="dxa"/>
              <w:left w:w="90" w:type="dxa"/>
              <w:bottom w:w="70" w:type="dxa"/>
              <w:right w:w="90" w:type="dxa"/>
            </w:tcMar>
            <w:vAlign w:val="center"/>
          </w:tcPr>
          <w:p w14:paraId="6214AAB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matched quality-only</w:t>
            </w:r>
          </w:p>
        </w:tc>
      </w:tr>
      <w:tr w:rsidR="00A16D83" w:rsidRPr="002A2802" w14:paraId="6F4DE39E" w14:textId="77777777">
        <w:trPr>
          <w:cantSplit/>
          <w:jc w:val="center"/>
        </w:trPr>
        <w:tc>
          <w:tcPr>
            <w:tcW w:w="1656" w:type="dxa"/>
            <w:tcMar>
              <w:top w:w="70" w:type="dxa"/>
              <w:left w:w="90" w:type="dxa"/>
              <w:bottom w:w="70" w:type="dxa"/>
              <w:right w:w="90" w:type="dxa"/>
            </w:tcMar>
            <w:vAlign w:val="center"/>
          </w:tcPr>
          <w:p w14:paraId="68C3631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RAGBench HotpotQA</w:t>
            </w:r>
          </w:p>
        </w:tc>
        <w:tc>
          <w:tcPr>
            <w:tcW w:w="2088" w:type="dxa"/>
            <w:tcMar>
              <w:top w:w="70" w:type="dxa"/>
              <w:left w:w="90" w:type="dxa"/>
              <w:bottom w:w="70" w:type="dxa"/>
              <w:right w:w="90" w:type="dxa"/>
            </w:tcMar>
            <w:vAlign w:val="center"/>
          </w:tcPr>
          <w:p w14:paraId="2ABE32A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Context-retrieval enablement</w:t>
            </w:r>
          </w:p>
        </w:tc>
        <w:tc>
          <w:tcPr>
            <w:tcW w:w="3096" w:type="dxa"/>
            <w:tcMar>
              <w:top w:w="70" w:type="dxa"/>
              <w:left w:w="90" w:type="dxa"/>
              <w:bottom w:w="70" w:type="dxa"/>
              <w:right w:w="90" w:type="dxa"/>
            </w:tcMar>
            <w:vAlign w:val="center"/>
          </w:tcPr>
          <w:p w14:paraId="5DAA898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Policy-dependent context assembly</w:t>
            </w:r>
          </w:p>
        </w:tc>
        <w:tc>
          <w:tcPr>
            <w:tcW w:w="3240" w:type="dxa"/>
            <w:tcMar>
              <w:top w:w="70" w:type="dxa"/>
              <w:left w:w="90" w:type="dxa"/>
              <w:bottom w:w="70" w:type="dxa"/>
              <w:right w:w="90" w:type="dxa"/>
            </w:tcMar>
            <w:vAlign w:val="center"/>
          </w:tcPr>
          <w:p w14:paraId="726A33B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Not full source-corpus retrieval in packaged evidence</w:t>
            </w:r>
          </w:p>
        </w:tc>
      </w:tr>
      <w:tr w:rsidR="00A16D83" w:rsidRPr="002A2802" w14:paraId="15376903" w14:textId="77777777">
        <w:trPr>
          <w:cantSplit/>
          <w:jc w:val="center"/>
        </w:trPr>
        <w:tc>
          <w:tcPr>
            <w:tcW w:w="1656" w:type="dxa"/>
            <w:tcMar>
              <w:top w:w="70" w:type="dxa"/>
              <w:left w:w="90" w:type="dxa"/>
              <w:bottom w:w="70" w:type="dxa"/>
              <w:right w:w="90" w:type="dxa"/>
            </w:tcMar>
            <w:vAlign w:val="center"/>
          </w:tcPr>
          <w:p w14:paraId="1A2207D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2088" w:type="dxa"/>
            <w:tcMar>
              <w:top w:w="70" w:type="dxa"/>
              <w:left w:w="90" w:type="dxa"/>
              <w:bottom w:w="70" w:type="dxa"/>
              <w:right w:w="90" w:type="dxa"/>
            </w:tcMar>
            <w:vAlign w:val="center"/>
          </w:tcPr>
          <w:p w14:paraId="26932B5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Full corpus-backed retrieval</w:t>
            </w:r>
          </w:p>
        </w:tc>
        <w:tc>
          <w:tcPr>
            <w:tcW w:w="3096" w:type="dxa"/>
            <w:tcMar>
              <w:top w:w="70" w:type="dxa"/>
              <w:left w:w="90" w:type="dxa"/>
              <w:bottom w:w="70" w:type="dxa"/>
              <w:right w:w="90" w:type="dxa"/>
            </w:tcMar>
            <w:vAlign w:val="center"/>
          </w:tcPr>
          <w:p w14:paraId="76F305A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2,706 rows; 9,848 web documents; 571 confirmatory rows</w:t>
            </w:r>
          </w:p>
        </w:tc>
        <w:tc>
          <w:tcPr>
            <w:tcW w:w="3240" w:type="dxa"/>
            <w:tcMar>
              <w:top w:w="70" w:type="dxa"/>
              <w:left w:w="90" w:type="dxa"/>
              <w:bottom w:w="70" w:type="dxa"/>
              <w:right w:w="90" w:type="dxa"/>
            </w:tcMar>
            <w:vAlign w:val="center"/>
          </w:tcPr>
          <w:p w14:paraId="642C5EA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Noncommercial restriction; governance matched quality-only</w:t>
            </w:r>
          </w:p>
        </w:tc>
      </w:tr>
      <w:tr w:rsidR="00A16D83" w:rsidRPr="002A2802" w14:paraId="1DB41605" w14:textId="77777777">
        <w:trPr>
          <w:cantSplit/>
          <w:jc w:val="center"/>
        </w:trPr>
        <w:tc>
          <w:tcPr>
            <w:tcW w:w="1656" w:type="dxa"/>
            <w:tcMar>
              <w:top w:w="70" w:type="dxa"/>
              <w:left w:w="90" w:type="dxa"/>
              <w:bottom w:w="70" w:type="dxa"/>
              <w:right w:w="90" w:type="dxa"/>
            </w:tcMar>
            <w:vAlign w:val="center"/>
          </w:tcPr>
          <w:p w14:paraId="09C44AB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2088" w:type="dxa"/>
            <w:tcMar>
              <w:top w:w="70" w:type="dxa"/>
              <w:left w:w="90" w:type="dxa"/>
              <w:bottom w:w="70" w:type="dxa"/>
              <w:right w:w="90" w:type="dxa"/>
            </w:tcMar>
            <w:vAlign w:val="center"/>
          </w:tcPr>
          <w:p w14:paraId="4A742CC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Tool routing and generative validation</w:t>
            </w:r>
          </w:p>
        </w:tc>
        <w:tc>
          <w:tcPr>
            <w:tcW w:w="3096" w:type="dxa"/>
            <w:tcMar>
              <w:top w:w="70" w:type="dxa"/>
              <w:left w:w="90" w:type="dxa"/>
              <w:bottom w:w="70" w:type="dxa"/>
              <w:right w:w="90" w:type="dxa"/>
            </w:tcMar>
            <w:vAlign w:val="center"/>
          </w:tcPr>
          <w:p w14:paraId="65E661E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Live and frozen paths; calls, cost, latency, evaluator mapping</w:t>
            </w:r>
          </w:p>
        </w:tc>
        <w:tc>
          <w:tcPr>
            <w:tcW w:w="3240" w:type="dxa"/>
            <w:tcMar>
              <w:top w:w="70" w:type="dxa"/>
              <w:left w:w="90" w:type="dxa"/>
              <w:bottom w:w="70" w:type="dxa"/>
              <w:right w:w="90" w:type="dxa"/>
            </w:tcMar>
            <w:vAlign w:val="center"/>
          </w:tcPr>
          <w:p w14:paraId="52478B3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positive result bounded; generative results unstable</w:t>
            </w:r>
          </w:p>
        </w:tc>
      </w:tr>
      <w:tr w:rsidR="00A16D83" w:rsidRPr="002A2802" w14:paraId="2A5E8940" w14:textId="77777777">
        <w:trPr>
          <w:cantSplit/>
          <w:jc w:val="center"/>
        </w:trPr>
        <w:tc>
          <w:tcPr>
            <w:tcW w:w="1656" w:type="dxa"/>
            <w:tcMar>
              <w:top w:w="70" w:type="dxa"/>
              <w:left w:w="90" w:type="dxa"/>
              <w:bottom w:w="70" w:type="dxa"/>
              <w:right w:w="90" w:type="dxa"/>
            </w:tcMar>
            <w:vAlign w:val="center"/>
          </w:tcPr>
          <w:p w14:paraId="20BD864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w:t>
            </w:r>
          </w:p>
        </w:tc>
        <w:tc>
          <w:tcPr>
            <w:tcW w:w="2088" w:type="dxa"/>
            <w:tcMar>
              <w:top w:w="70" w:type="dxa"/>
              <w:left w:w="90" w:type="dxa"/>
              <w:bottom w:w="70" w:type="dxa"/>
              <w:right w:w="90" w:type="dxa"/>
            </w:tcMar>
            <w:vAlign w:val="center"/>
          </w:tcPr>
          <w:p w14:paraId="21D4F7B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Alternate corpus with answer labels</w:t>
            </w:r>
          </w:p>
        </w:tc>
        <w:tc>
          <w:tcPr>
            <w:tcW w:w="3096" w:type="dxa"/>
            <w:tcMar>
              <w:top w:w="70" w:type="dxa"/>
              <w:left w:w="90" w:type="dxa"/>
              <w:bottom w:w="70" w:type="dxa"/>
              <w:right w:w="90" w:type="dxa"/>
            </w:tcMar>
            <w:vAlign w:val="center"/>
          </w:tcPr>
          <w:p w14:paraId="022FB12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1,000 local examples; 249 confirmatory behavioral rows</w:t>
            </w:r>
          </w:p>
        </w:tc>
        <w:tc>
          <w:tcPr>
            <w:tcW w:w="3240" w:type="dxa"/>
            <w:tcMar>
              <w:top w:w="70" w:type="dxa"/>
              <w:left w:w="90" w:type="dxa"/>
              <w:bottom w:w="70" w:type="dxa"/>
              <w:right w:w="90" w:type="dxa"/>
            </w:tcMar>
            <w:vAlign w:val="center"/>
          </w:tcPr>
          <w:p w14:paraId="7AABC2D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accompanied by quality loss</w:t>
            </w:r>
          </w:p>
        </w:tc>
      </w:tr>
      <w:tr w:rsidR="00A16D83" w:rsidRPr="002A2802" w14:paraId="5AA619B1" w14:textId="77777777">
        <w:trPr>
          <w:cantSplit/>
          <w:jc w:val="center"/>
        </w:trPr>
        <w:tc>
          <w:tcPr>
            <w:tcW w:w="1656" w:type="dxa"/>
            <w:tcMar>
              <w:top w:w="70" w:type="dxa"/>
              <w:left w:w="90" w:type="dxa"/>
              <w:bottom w:w="70" w:type="dxa"/>
              <w:right w:w="90" w:type="dxa"/>
            </w:tcMar>
            <w:vAlign w:val="center"/>
          </w:tcPr>
          <w:p w14:paraId="07C4304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w:t>
            </w:r>
          </w:p>
        </w:tc>
        <w:tc>
          <w:tcPr>
            <w:tcW w:w="2088" w:type="dxa"/>
            <w:tcMar>
              <w:top w:w="70" w:type="dxa"/>
              <w:left w:w="90" w:type="dxa"/>
              <w:bottom w:w="70" w:type="dxa"/>
              <w:right w:w="90" w:type="dxa"/>
            </w:tcMar>
            <w:vAlign w:val="center"/>
          </w:tcPr>
          <w:p w14:paraId="0C7BAC1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reproduction</w:t>
            </w:r>
          </w:p>
        </w:tc>
        <w:tc>
          <w:tcPr>
            <w:tcW w:w="3096" w:type="dxa"/>
            <w:tcMar>
              <w:top w:w="70" w:type="dxa"/>
              <w:left w:w="90" w:type="dxa"/>
              <w:bottom w:w="70" w:type="dxa"/>
              <w:right w:w="90" w:type="dxa"/>
            </w:tcMar>
            <w:vAlign w:val="center"/>
          </w:tcPr>
          <w:p w14:paraId="7F86BC7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no private data or model</w:t>
            </w:r>
          </w:p>
        </w:tc>
        <w:tc>
          <w:tcPr>
            <w:tcW w:w="3240" w:type="dxa"/>
            <w:tcMar>
              <w:top w:w="70" w:type="dxa"/>
              <w:left w:w="90" w:type="dxa"/>
              <w:bottom w:w="70" w:type="dxa"/>
              <w:right w:w="90" w:type="dxa"/>
            </w:tcMar>
            <w:vAlign w:val="center"/>
          </w:tcPr>
          <w:p w14:paraId="6EF8D23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Onboarding proof, not external science</w:t>
            </w:r>
          </w:p>
        </w:tc>
      </w:tr>
    </w:tbl>
    <w:p w14:paraId="313489AC"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3. Principal datasets and evidence roles. Raw licensed datasets are not redistributed by the public repository.</w:t>
      </w:r>
    </w:p>
    <w:p w14:paraId="4792545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Candidate policies included static defaults, low and expanded retrieval, adaptive routing, cost- and latency-aware policies, greedy and Optuna/TPE search, constrained optimization, Pareto selection, RAG Compass, and governed or risk-guarded selectors. The policy under evaluation is always a candidate, never an automatic beneficiary of the framework.</w:t>
      </w:r>
    </w:p>
    <w:p w14:paraId="53B9702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Generative studies used pinned local models through Ollama and stored prompts and answers outside the public tree. Public rows retained hashes, lengths, policy identifiers, evaluator scores, and operational telemetry. The program tested qwen3:8b, gpt-oss:20b, and llama3.2:3b in bounded slices, not to rank the models, but to determine whether a governance conclusion persisted when answer emission and model behavior changed. Fixed offsets and cross-offset guardrails were introduced after the first favorable slice to test stability rather than enlarge the same result.</w:t>
      </w:r>
    </w:p>
    <w:p w14:paraId="0C117CD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Where paired example-level evidence existed, analyses used paired bootstrap intervals and win/tie/loss summaries. Grouped intervals were reported only when separately implemented. Noninferiority margins, often 0.01 for a composite quality score, were declared in configuration. Statistical output remained subordinate to evidence validity: a narrow interval cannot rescue duplicated rows, a constant quality signal, invalid provenance, or confirmatory leakage.</w:t>
      </w:r>
    </w:p>
    <w:p w14:paraId="15EFF03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primary decision unit was a policy comparison under a declared baseline and scope. Quality-only selection used validation quality without operational penalties; constrained and governed selectors applied feasibility requirements; Pareto analysis exposed nondominated policies without forcing a scalar utility; and oracle variants were retained only as ceilings. When a quality signal was constant, missing, or demonstrably duplicated, the run was blocked even if cost and latency differed.</w:t>
      </w:r>
    </w:p>
    <w:p w14:paraId="30DE73B3"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6. Results</w:t>
      </w:r>
    </w:p>
    <w:p w14:paraId="6109631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Table 4 is the numerical center of the paper; the prose below interprets rather than duplicates it. An earlier zero-width bootstrap episode also shaped the program: row-level reconstruction showed that a seemingly precise result repeated one aggregate paired delta rather than calibrated query-level uncertainty. The result was retained but downgraded, and later suites added explicit nonconstant-signal and grouped-analysis checks. Appendix D records that audit history.</w:t>
      </w:r>
    </w:p>
    <w:p w14:paraId="402AFA4A" w14:textId="6DB9E11D" w:rsidR="00F4612D" w:rsidRDefault="00DC3F14">
      <w:pPr>
        <w:pStyle w:val="BodyText"/>
      </w:pPr>
      <w:r>
        <w:t xml:space="preserve">Representative artifact pointers for Table 4 are retained in the public tree rather than reproduced as raw data. The strongest CRAG mock-API result is associated with run_id </w:t>
      </w:r>
      <w:r w:rsidR="0090312D">
        <w:t>RAGWarrant</w:t>
      </w:r>
      <w:r>
        <w:t>_crag_mock_api_validation_v1_20260809-165415-92d8c0edd4; supporting summaries include results/behavioral_governance/paper_ready_summary.md, results/multi_dataset_behavioral_governance/paper_ready_summary.md, results/generative_llm_validation/synthesis_report.md, docs/selector_ablation_stress_v2.md, results/claim_status/claim_status_table.csv, and the canonical results/run_index.csv.</w:t>
      </w:r>
    </w:p>
    <w:p w14:paraId="4BD0C4A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results should therefore be read as tests of a release mechanism, not as a tournament among retrievers. A tie can establish that the mechanism executes without adding value on a corpus; a negative result can establish that the gate refuses an efficiency gain; and a failed replication can narrow the claim supported by an earlier slice. The evidence ledger makes those outcomes cumulative rather than disposable.</w:t>
      </w:r>
    </w:p>
    <w:p w14:paraId="2315C185"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lastRenderedPageBreak/>
        <w:drawing>
          <wp:inline distT="0" distB="0" distL="0" distR="0" wp14:anchorId="500AF2AB" wp14:editId="4F0C7305">
            <wp:extent cx="6080760" cy="3379752"/>
            <wp:effectExtent l="0" t="0" r="0" b="0"/>
            <wp:docPr id="5" name="Picture 5" descr="Evidence map listing positive, bounded, mixed, negative, and fail-closed outcomes across MultiHop-RAG, CRAG, HotpotQA, generative evaluation, and selector stress testing." title="Evidence map listing positive, bounded, mixed, negative, and fail-closed outcomes across MultiHop-RAG, CRAG, HotpotQA,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6080760" cy="3379752"/>
                    </a:xfrm>
                    <a:prstGeom prst="rect">
                      <a:avLst/>
                    </a:prstGeom>
                  </pic:spPr>
                </pic:pic>
              </a:graphicData>
            </a:graphic>
          </wp:inline>
        </w:drawing>
      </w:r>
    </w:p>
    <w:p w14:paraId="14ADC64A"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5. The evidence ledger preserves positive, bounded, mixed, negative, and fail-closed outcomes instead of collapsing them into one leaderboard.</w:t>
      </w:r>
    </w:p>
    <w:p w14:paraId="699CB67C"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6.1 Confirmatory outcomes: noninferiority without general superiority</w:t>
      </w:r>
    </w:p>
    <w:p w14:paraId="3C11965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Public confirmatory studies most often showed that governance was feasible without establishing an advantage over quality-only selection. On MultiHop-RAG, governed and quality-only aliases selected the same policy, and an audit showed that a held-out Optuna/TPE win was a validation-to-test reversal rather than a selector bug. On CRAG web-document retrieval, both selectors again chose the same high-retrieval policy. A larger T2-RAGBench development run was directly unfavorable to RAG Compass, reinforcing the optimizer-agnostic design.</w:t>
      </w:r>
    </w:p>
    <w:p w14:paraId="09C0E1D8"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bounded source/retrieval signal came from the CRAG mock-API path. Governance selected a lower-budget policy while quality-only selection favored a regression-aware search policy. The reported utility difference was approximately +0.001 and stable across most cost-latency weight settings, but ablation attributed nearly all of it to declared cost and a small latency difference, not raw-quality improvement. It is therefore evidence that a promotion controller can choose a cheaper quality-tied candidate, not that it discovered a universally better retriever.</w:t>
      </w:r>
    </w:p>
    <w:p w14:paraId="47A4E05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behaviorally distinct follow-up gave the result a more operational form: a single-endpoint policy used materially fewer calls and lower cost than Optuna/TPE while remaining within the declared proxy-plus-evidence quality margin. That comparison is stronger than a cosmetic utility tie-break, yet it remains derived from frozen observations rather than an independent live or human-calibrated evaluation.</w:t>
      </w:r>
    </w:p>
    <w:p w14:paraId="1B3ECD96" w14:textId="40397796"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These studies also expose an important distinction between selection correctness and hindsight regret. A policy selected from validation evidence can lose to another policy on a sealed test set without implying a logic defect. </w:t>
      </w:r>
      <w:r w:rsidR="0090312D">
        <w:rPr>
          <w:rFonts w:asciiTheme="majorHAnsi" w:hAnsiTheme="majorHAnsi"/>
          <w:color w:val="000000" w:themeColor="text1"/>
        </w:rPr>
        <w:t>RAGWarrant</w:t>
      </w:r>
      <w:r w:rsidRPr="002A2802">
        <w:rPr>
          <w:rFonts w:asciiTheme="majorHAnsi" w:hAnsiTheme="majorHAnsi"/>
          <w:color w:val="000000" w:themeColor="text1"/>
        </w:rPr>
        <w:t xml:space="preserve"> records that reversal, but it does not retroactively choose the test winner. This preserves the separation between model selection and final estimation that the governance contract is intended to enforce.</w:t>
      </w:r>
    </w:p>
    <w:p w14:paraId="5361A984"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6.2 Fail-closed outcomes</w:t>
      </w:r>
    </w:p>
    <w:p w14:paraId="64B1055E" w14:textId="57832B82"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HotpotQA provides the clearest negative test. The governed policy reduced retrieval cost, context volume, and calls, but answer quality declined beyond the declared noninferiority margin. A conventional efficiency report could describe the run as a cost win; </w:t>
      </w:r>
      <w:r w:rsidR="0090312D">
        <w:rPr>
          <w:rFonts w:asciiTheme="majorHAnsi" w:hAnsiTheme="majorHAnsi"/>
          <w:color w:val="000000" w:themeColor="text1"/>
        </w:rPr>
        <w:t>RAGWarrant</w:t>
      </w:r>
      <w:r w:rsidRPr="002A2802">
        <w:rPr>
          <w:rFonts w:asciiTheme="majorHAnsi" w:hAnsiTheme="majorHAnsi"/>
          <w:color w:val="000000" w:themeColor="text1"/>
        </w:rPr>
        <w:t xml:space="preserve"> classified it as operational gain with quality loss and withheld promotion.</w:t>
      </w:r>
    </w:p>
    <w:p w14:paraId="7627CDD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separate pooled quality-risk guardrail trained only on deployable metadata and passed its validation gates across four folds. Held-out evaluation then exposed quality-loss risk on three offsets. Although API calls and cost fell, the strict gate blocked the selector. These two cases are the empirical core of the governance claim: the framework's value is visible not only when it identifies an eligible candidate, but when it prevents attractive operational deltas from becoming unsupported release decisions.</w:t>
      </w:r>
    </w:p>
    <w:p w14:paraId="7011E556"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Fail-closed behavior is costly: a conservative controller can retain an expensive baseline or delay a useful change. The packaged artifacts therefore record blocked rate</w:t>
      </w:r>
      <w:r w:rsidR="00E03420">
        <w:rPr>
          <w:rFonts w:asciiTheme="majorHAnsi" w:hAnsiTheme="majorHAnsi"/>
          <w:color w:val="000000" w:themeColor="text1"/>
        </w:rPr>
        <w:t xml:space="preserve"> and </w:t>
      </w:r>
      <w:r w:rsidRPr="002A2802">
        <w:rPr>
          <w:rFonts w:asciiTheme="majorHAnsi" w:hAnsiTheme="majorHAnsi"/>
          <w:color w:val="000000" w:themeColor="text1"/>
        </w:rPr>
        <w:t>promotion rate a</w:t>
      </w:r>
      <w:r w:rsidR="00B3501D">
        <w:rPr>
          <w:rFonts w:asciiTheme="majorHAnsi" w:hAnsiTheme="majorHAnsi"/>
          <w:color w:val="000000" w:themeColor="text1"/>
        </w:rPr>
        <w:t>l</w:t>
      </w:r>
      <w:r w:rsidR="00FD58AA">
        <w:rPr>
          <w:rFonts w:asciiTheme="majorHAnsi" w:hAnsiTheme="majorHAnsi"/>
          <w:color w:val="000000" w:themeColor="text1"/>
        </w:rPr>
        <w:t>ong</w:t>
      </w:r>
      <w:r w:rsidR="00961EB7">
        <w:rPr>
          <w:rFonts w:asciiTheme="majorHAnsi" w:hAnsiTheme="majorHAnsi"/>
          <w:color w:val="000000" w:themeColor="text1"/>
        </w:rPr>
        <w:t>side qual</w:t>
      </w:r>
      <w:r w:rsidR="007F657B">
        <w:rPr>
          <w:rFonts w:asciiTheme="majorHAnsi" w:hAnsiTheme="majorHAnsi"/>
          <w:color w:val="000000" w:themeColor="text1"/>
        </w:rPr>
        <w:t>ity outcom</w:t>
      </w:r>
      <w:r w:rsidR="006C515E">
        <w:rPr>
          <w:rFonts w:asciiTheme="majorHAnsi" w:hAnsiTheme="majorHAnsi"/>
          <w:color w:val="000000" w:themeColor="text1"/>
        </w:rPr>
        <w:t>es</w:t>
      </w:r>
      <w:r w:rsidRPr="002A2802">
        <w:rPr>
          <w:rFonts w:asciiTheme="majorHAnsi" w:hAnsiTheme="majorHAnsi"/>
          <w:color w:val="000000" w:themeColor="text1"/>
        </w:rPr>
        <w:t>. The current program does not prove that the chosen trade-off is optimal; it demonstrates that the trade-off is explicit, reproducible, and reviewable.</w:t>
      </w:r>
    </w:p>
    <w:p w14:paraId="799801B6"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6.3 Generative feasibility without stability</w:t>
      </w:r>
    </w:p>
    <w:p w14:paraId="57868B7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Local generative evaluation became technically feasible after answer-emission and evaluator-mapping repairs. A bounded CRAG slice using a pinned qwen3:8b model produced non-empty, variable answers and supported a cost-at-equivalent-generated-quality decision on its primary offset. The point estimate was favorable and the policy reduced calls and latency substantially.</w:t>
      </w:r>
    </w:p>
    <w:p w14:paraId="5FA23BA9"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effect was not stable. Three deterministic repeats did not reproduce the cost result; a second model produced usable signals without positive cost slices; and a smaller instruct model repaired blank-answer behavior without creating a repeatable efficiency win. HotpotQA likewise confirmed nonconstant generated quality, answer diversity, and evidence variance, but the audit covered only a small sample and did not establish governance improvement. The generative contribution is therefore machinery and bounded evidence, not a stable optimization claim.</w:t>
      </w:r>
    </w:p>
    <w:p w14:paraId="6DD7A8E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model comparisons also revealed engineering failure modes that a leaderboard would obscure. Thinking-mode output suppressed usable answers in one path; another model produced high blank-answer rates; and a smaller instruct model repaired emission without improving the selection result. Treating generator availability, parse success, and quality-signal variance as gates prevented these failures from being mistaken for policy evidence.</w:t>
      </w:r>
    </w:p>
    <w:p w14:paraId="0577459E" w14:textId="77777777" w:rsidR="00A16D83" w:rsidRPr="002A2802" w:rsidRDefault="0034031E">
      <w:pPr>
        <w:pStyle w:val="Heading2"/>
        <w:spacing w:before="120" w:after="80"/>
        <w:rPr>
          <w:b w:val="0"/>
          <w:bCs w:val="0"/>
          <w:color w:val="000000" w:themeColor="text1"/>
        </w:rPr>
      </w:pPr>
      <w:r w:rsidRPr="002A2802">
        <w:rPr>
          <w:b w:val="0"/>
          <w:bCs w:val="0"/>
          <w:color w:val="000000" w:themeColor="text1"/>
          <w:sz w:val="24"/>
        </w:rPr>
        <w:t>6.4 Selector ablation and systems results</w:t>
      </w:r>
    </w:p>
    <w:p w14:paraId="4BB66B9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packaged selector stress test compared quality-only, cost-only, latency-only, random, static, RAG Compass, governed noninferiority, risk-guarded, and oracle-style selectors across sanitized evidence families. Cost-only, latency-only, and random selection admitted quality-loss cases; governed selectors traded promotion rate for zero recorded quality-loss labels in the packaged cases. These rates are not population estimates, but they show that non-compensatory gates create observable behavior distinct from operational ranking.</w:t>
      </w:r>
    </w:p>
    <w:p w14:paraId="3049FAE9" w14:textId="77777777" w:rsidR="00FA0C75" w:rsidRPr="003328CB" w:rsidRDefault="00FA0C75" w:rsidP="009F0E0F">
      <w:pPr>
        <w:pStyle w:val="p1"/>
        <w:ind w:firstLine="317"/>
        <w:rPr>
          <w:rFonts w:asciiTheme="majorHAnsi" w:hAnsiTheme="majorHAnsi"/>
          <w:i/>
          <w:iCs/>
          <w:sz w:val="20"/>
          <w:szCs w:val="20"/>
        </w:rPr>
      </w:pPr>
      <w:r w:rsidRPr="003328CB">
        <w:rPr>
          <w:rStyle w:val="s1"/>
          <w:rFonts w:asciiTheme="majorHAnsi" w:hAnsiTheme="majorHAnsi"/>
          <w:i w:val="0"/>
          <w:iCs w:val="0"/>
          <w:sz w:val="20"/>
          <w:szCs w:val="20"/>
        </w:rPr>
        <w:t>A fresh Git clone installed and reproduced the public-mini workflow without private data or model credentials; the hardened Docker job completed under the constrained runtime profile; and verify-run confirmed artifact hashes, schemas, and hygiene conditions. These results establish that an independent reviewer can execute the contract that produced a decision — the public mini is deliberately synthetic and fail-closed, proving installation, schemas, exit behavior, and claim checks without implying external efficacy.</w:t>
      </w:r>
    </w:p>
    <w:p w14:paraId="212B96EF" w14:textId="77777777" w:rsidR="00A16D83" w:rsidRPr="002A2802" w:rsidRDefault="00A16D83">
      <w:pPr>
        <w:pStyle w:val="BodyText"/>
        <w:spacing w:after="84" w:line="254" w:lineRule="auto"/>
        <w:ind w:firstLine="317"/>
        <w:jc w:val="both"/>
        <w:rPr>
          <w:rFonts w:asciiTheme="majorHAnsi" w:hAnsiTheme="majorHAnsi"/>
          <w:color w:val="000000" w:themeColor="text1"/>
        </w:rPr>
      </w:pPr>
    </w:p>
    <w:p w14:paraId="204A23F2" w14:textId="77777777" w:rsidR="00A16D83" w:rsidRPr="002A2802" w:rsidRDefault="0034031E">
      <w:pPr>
        <w:keepNext/>
        <w:keepLines/>
        <w:spacing w:before="100" w:after="20"/>
        <w:jc w:val="center"/>
        <w:rPr>
          <w:rFonts w:asciiTheme="majorHAnsi" w:hAnsiTheme="majorHAnsi"/>
          <w:color w:val="000000" w:themeColor="text1"/>
        </w:rPr>
      </w:pPr>
      <w:r w:rsidRPr="002A2802">
        <w:rPr>
          <w:rFonts w:asciiTheme="majorHAnsi" w:hAnsiTheme="majorHAnsi"/>
          <w:noProof/>
          <w:color w:val="000000" w:themeColor="text1"/>
        </w:rPr>
        <w:drawing>
          <wp:inline distT="0" distB="0" distL="0" distR="0" wp14:anchorId="2BA56C0C" wp14:editId="042ECB0D">
            <wp:extent cx="6035040" cy="2745623"/>
            <wp:effectExtent l="0" t="0" r="0" b="0"/>
            <wp:docPr id="6" name="Picture 6" descr="Bar chart comparing selector blocked rates and quality-loss rates; governed and risk-guarded selectors block more packaged cases while operational selectors show quality-loss labels." title="Bar chart comparing selector blocked rates and quality-loss rates; governed and risk-guarded selectors block more pack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6035040" cy="2745623"/>
                    </a:xfrm>
                    <a:prstGeom prst="rect">
                      <a:avLst/>
                    </a:prstGeom>
                  </pic:spPr>
                </pic:pic>
              </a:graphicData>
            </a:graphic>
          </wp:inline>
        </w:drawing>
      </w:r>
    </w:p>
    <w:p w14:paraId="5751BB93" w14:textId="77777777" w:rsidR="00A16D83" w:rsidRPr="002A2802" w:rsidRDefault="0034031E">
      <w:pPr>
        <w:keepLines/>
        <w:spacing w:after="120"/>
        <w:ind w:left="360" w:right="360"/>
        <w:jc w:val="center"/>
        <w:rPr>
          <w:rFonts w:asciiTheme="majorHAnsi" w:hAnsiTheme="majorHAnsi"/>
          <w:color w:val="000000" w:themeColor="text1"/>
        </w:rPr>
      </w:pPr>
      <w:r w:rsidRPr="002A2802">
        <w:rPr>
          <w:rFonts w:asciiTheme="majorHAnsi" w:hAnsiTheme="majorHAnsi"/>
          <w:color w:val="000000" w:themeColor="text1"/>
          <w:sz w:val="16"/>
        </w:rPr>
        <w:t>Figure 6. In the packaged selector stress test, governed selectors blocked more cases and recorded no quality-loss labels; operational selectors did not block and admitted quality loss.</w:t>
      </w:r>
    </w:p>
    <w:p w14:paraId="7595ED3C" w14:textId="77777777" w:rsidR="00F4612D" w:rsidRDefault="00DC3F14">
      <w:r>
        <w:br w:type="page"/>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00"/>
        <w:gridCol w:w="1872"/>
        <w:gridCol w:w="3096"/>
        <w:gridCol w:w="3312"/>
      </w:tblGrid>
      <w:tr w:rsidR="00A16D83" w:rsidRPr="002A2802" w14:paraId="7C02BB65" w14:textId="77777777">
        <w:trPr>
          <w:cantSplit/>
          <w:tblHeader/>
          <w:jc w:val="center"/>
        </w:trPr>
        <w:tc>
          <w:tcPr>
            <w:tcW w:w="1800" w:type="dxa"/>
            <w:shd w:val="clear" w:color="auto" w:fill="DCE8EF"/>
            <w:tcMar>
              <w:top w:w="70" w:type="dxa"/>
              <w:left w:w="90" w:type="dxa"/>
              <w:bottom w:w="70" w:type="dxa"/>
              <w:right w:w="90" w:type="dxa"/>
            </w:tcMar>
            <w:vAlign w:val="center"/>
          </w:tcPr>
          <w:p w14:paraId="13BB1A2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lastRenderedPageBreak/>
              <w:t>Evaluation</w:t>
            </w:r>
          </w:p>
        </w:tc>
        <w:tc>
          <w:tcPr>
            <w:tcW w:w="1872" w:type="dxa"/>
            <w:shd w:val="clear" w:color="auto" w:fill="DCE8EF"/>
            <w:tcMar>
              <w:top w:w="70" w:type="dxa"/>
              <w:left w:w="90" w:type="dxa"/>
              <w:bottom w:w="70" w:type="dxa"/>
              <w:right w:w="90" w:type="dxa"/>
            </w:tcMar>
            <w:vAlign w:val="center"/>
          </w:tcPr>
          <w:p w14:paraId="0BE6E75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Scope / N</w:t>
            </w:r>
          </w:p>
        </w:tc>
        <w:tc>
          <w:tcPr>
            <w:tcW w:w="3096" w:type="dxa"/>
            <w:shd w:val="clear" w:color="auto" w:fill="DCE8EF"/>
            <w:tcMar>
              <w:top w:w="70" w:type="dxa"/>
              <w:left w:w="90" w:type="dxa"/>
              <w:bottom w:w="70" w:type="dxa"/>
              <w:right w:w="90" w:type="dxa"/>
            </w:tcMar>
            <w:vAlign w:val="center"/>
          </w:tcPr>
          <w:p w14:paraId="3444DB27"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Primary outcome</w:t>
            </w:r>
          </w:p>
        </w:tc>
        <w:tc>
          <w:tcPr>
            <w:tcW w:w="3312" w:type="dxa"/>
            <w:shd w:val="clear" w:color="auto" w:fill="DCE8EF"/>
            <w:tcMar>
              <w:top w:w="70" w:type="dxa"/>
              <w:left w:w="90" w:type="dxa"/>
              <w:bottom w:w="70" w:type="dxa"/>
              <w:right w:w="90" w:type="dxa"/>
            </w:tcMar>
            <w:vAlign w:val="center"/>
          </w:tcPr>
          <w:p w14:paraId="5098410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Interpretation</w:t>
            </w:r>
          </w:p>
        </w:tc>
      </w:tr>
      <w:tr w:rsidR="00A16D83" w:rsidRPr="002A2802" w14:paraId="20D951A6" w14:textId="77777777">
        <w:trPr>
          <w:cantSplit/>
          <w:jc w:val="center"/>
        </w:trPr>
        <w:tc>
          <w:tcPr>
            <w:tcW w:w="1800" w:type="dxa"/>
            <w:tcMar>
              <w:top w:w="70" w:type="dxa"/>
              <w:left w:w="90" w:type="dxa"/>
              <w:bottom w:w="70" w:type="dxa"/>
              <w:right w:w="90" w:type="dxa"/>
            </w:tcMar>
            <w:vAlign w:val="center"/>
          </w:tcPr>
          <w:p w14:paraId="0FDC117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MultiHop-RAG confirmatory</w:t>
            </w:r>
          </w:p>
        </w:tc>
        <w:tc>
          <w:tcPr>
            <w:tcW w:w="1872" w:type="dxa"/>
            <w:tcMar>
              <w:top w:w="70" w:type="dxa"/>
              <w:left w:w="90" w:type="dxa"/>
              <w:bottom w:w="70" w:type="dxa"/>
              <w:right w:w="90" w:type="dxa"/>
            </w:tcMar>
            <w:vAlign w:val="center"/>
          </w:tcPr>
          <w:p w14:paraId="089610B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331 queries</w:t>
            </w:r>
          </w:p>
        </w:tc>
        <w:tc>
          <w:tcPr>
            <w:tcW w:w="3096" w:type="dxa"/>
            <w:tcMar>
              <w:top w:w="70" w:type="dxa"/>
              <w:left w:w="90" w:type="dxa"/>
              <w:bottom w:w="70" w:type="dxa"/>
              <w:right w:w="90" w:type="dxa"/>
            </w:tcMar>
            <w:vAlign w:val="center"/>
          </w:tcPr>
          <w:p w14:paraId="000C0F3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Governance delta 0; noninferior, not superior</w:t>
            </w:r>
          </w:p>
        </w:tc>
        <w:tc>
          <w:tcPr>
            <w:tcW w:w="3312" w:type="dxa"/>
            <w:tcMar>
              <w:top w:w="70" w:type="dxa"/>
              <w:left w:w="90" w:type="dxa"/>
              <w:bottom w:w="70" w:type="dxa"/>
              <w:right w:w="90" w:type="dxa"/>
            </w:tcMar>
            <w:vAlign w:val="center"/>
          </w:tcPr>
          <w:p w14:paraId="69B005B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 confirmatory execution; no governance advantage</w:t>
            </w:r>
          </w:p>
        </w:tc>
      </w:tr>
      <w:tr w:rsidR="00A16D83" w:rsidRPr="002A2802" w14:paraId="3C594198" w14:textId="77777777">
        <w:trPr>
          <w:cantSplit/>
          <w:jc w:val="center"/>
        </w:trPr>
        <w:tc>
          <w:tcPr>
            <w:tcW w:w="1800" w:type="dxa"/>
            <w:tcMar>
              <w:top w:w="70" w:type="dxa"/>
              <w:left w:w="90" w:type="dxa"/>
              <w:bottom w:w="70" w:type="dxa"/>
              <w:right w:w="90" w:type="dxa"/>
            </w:tcMar>
            <w:vAlign w:val="center"/>
          </w:tcPr>
          <w:p w14:paraId="4C1E059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web documents</w:t>
            </w:r>
          </w:p>
        </w:tc>
        <w:tc>
          <w:tcPr>
            <w:tcW w:w="1872" w:type="dxa"/>
            <w:tcMar>
              <w:top w:w="70" w:type="dxa"/>
              <w:left w:w="90" w:type="dxa"/>
              <w:bottom w:w="70" w:type="dxa"/>
              <w:right w:w="90" w:type="dxa"/>
            </w:tcMar>
            <w:vAlign w:val="center"/>
          </w:tcPr>
          <w:p w14:paraId="36C8C20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4EC94AE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 quality-only = top_k_high</w:t>
            </w:r>
          </w:p>
        </w:tc>
        <w:tc>
          <w:tcPr>
            <w:tcW w:w="3312" w:type="dxa"/>
            <w:tcMar>
              <w:top w:w="70" w:type="dxa"/>
              <w:left w:w="90" w:type="dxa"/>
              <w:bottom w:w="70" w:type="dxa"/>
              <w:right w:w="90" w:type="dxa"/>
            </w:tcMar>
            <w:vAlign w:val="center"/>
          </w:tcPr>
          <w:p w14:paraId="1B4B8C7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Corpus-backed execution; no superiority</w:t>
            </w:r>
          </w:p>
        </w:tc>
      </w:tr>
      <w:tr w:rsidR="00A16D83" w:rsidRPr="002A2802" w14:paraId="46C694C2" w14:textId="77777777">
        <w:trPr>
          <w:cantSplit/>
          <w:jc w:val="center"/>
        </w:trPr>
        <w:tc>
          <w:tcPr>
            <w:tcW w:w="1800" w:type="dxa"/>
            <w:tcMar>
              <w:top w:w="70" w:type="dxa"/>
              <w:left w:w="90" w:type="dxa"/>
              <w:bottom w:w="70" w:type="dxa"/>
              <w:right w:w="90" w:type="dxa"/>
            </w:tcMar>
            <w:vAlign w:val="center"/>
          </w:tcPr>
          <w:p w14:paraId="4736482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mock API</w:t>
            </w:r>
          </w:p>
        </w:tc>
        <w:tc>
          <w:tcPr>
            <w:tcW w:w="1872" w:type="dxa"/>
            <w:tcMar>
              <w:top w:w="70" w:type="dxa"/>
              <w:left w:w="90" w:type="dxa"/>
              <w:bottom w:w="70" w:type="dxa"/>
              <w:right w:w="90" w:type="dxa"/>
            </w:tcMar>
            <w:vAlign w:val="center"/>
          </w:tcPr>
          <w:p w14:paraId="087BA5A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rows</w:t>
            </w:r>
          </w:p>
        </w:tc>
        <w:tc>
          <w:tcPr>
            <w:tcW w:w="3096" w:type="dxa"/>
            <w:tcMar>
              <w:top w:w="70" w:type="dxa"/>
              <w:left w:w="90" w:type="dxa"/>
              <w:bottom w:w="70" w:type="dxa"/>
              <w:right w:w="90" w:type="dxa"/>
            </w:tcMar>
            <w:vAlign w:val="center"/>
          </w:tcPr>
          <w:p w14:paraId="0A8F30E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Utility +0.00100254; 571/0/0 wins/ties/losses</w:t>
            </w:r>
          </w:p>
        </w:tc>
        <w:tc>
          <w:tcPr>
            <w:tcW w:w="3312" w:type="dxa"/>
            <w:tcMar>
              <w:top w:w="70" w:type="dxa"/>
              <w:left w:w="90" w:type="dxa"/>
              <w:bottom w:w="70" w:type="dxa"/>
              <w:right w:w="90" w:type="dxa"/>
            </w:tcMar>
            <w:vAlign w:val="center"/>
          </w:tcPr>
          <w:p w14:paraId="3253754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Strongest bounded source/retrieval signal; largely cost/latency driven</w:t>
            </w:r>
          </w:p>
        </w:tc>
      </w:tr>
      <w:tr w:rsidR="00A16D83" w:rsidRPr="002A2802" w14:paraId="1E415E2F" w14:textId="77777777">
        <w:trPr>
          <w:cantSplit/>
          <w:jc w:val="center"/>
        </w:trPr>
        <w:tc>
          <w:tcPr>
            <w:tcW w:w="1800" w:type="dxa"/>
            <w:tcMar>
              <w:top w:w="70" w:type="dxa"/>
              <w:left w:w="90" w:type="dxa"/>
              <w:bottom w:w="70" w:type="dxa"/>
              <w:right w:w="90" w:type="dxa"/>
            </w:tcMar>
            <w:vAlign w:val="center"/>
          </w:tcPr>
          <w:p w14:paraId="4B45B54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 behaviorally distinct CRAG</w:t>
            </w:r>
          </w:p>
        </w:tc>
        <w:tc>
          <w:tcPr>
            <w:tcW w:w="1872" w:type="dxa"/>
            <w:tcMar>
              <w:top w:w="70" w:type="dxa"/>
              <w:left w:w="90" w:type="dxa"/>
              <w:bottom w:w="70" w:type="dxa"/>
              <w:right w:w="90" w:type="dxa"/>
            </w:tcMar>
            <w:vAlign w:val="center"/>
          </w:tcPr>
          <w:p w14:paraId="4C479C9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571 paired observations</w:t>
            </w:r>
          </w:p>
        </w:tc>
        <w:tc>
          <w:tcPr>
            <w:tcW w:w="3096" w:type="dxa"/>
            <w:tcMar>
              <w:top w:w="70" w:type="dxa"/>
              <w:left w:w="90" w:type="dxa"/>
              <w:bottom w:w="70" w:type="dxa"/>
              <w:right w:w="90" w:type="dxa"/>
            </w:tcMar>
            <w:vAlign w:val="center"/>
          </w:tcPr>
          <w:p w14:paraId="724E16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-0.00515371; cost -2.36839; calls -1.79860</w:t>
            </w:r>
          </w:p>
        </w:tc>
        <w:tc>
          <w:tcPr>
            <w:tcW w:w="3312" w:type="dxa"/>
            <w:tcMar>
              <w:top w:w="70" w:type="dxa"/>
              <w:left w:w="90" w:type="dxa"/>
              <w:bottom w:w="70" w:type="dxa"/>
              <w:right w:w="90" w:type="dxa"/>
            </w:tcMar>
            <w:vAlign w:val="center"/>
          </w:tcPr>
          <w:p w14:paraId="38B8A29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Lower operating burden within declared proxy-quality margin; derived evidence</w:t>
            </w:r>
          </w:p>
        </w:tc>
      </w:tr>
      <w:tr w:rsidR="00A16D83" w:rsidRPr="002A2802" w14:paraId="67BB3B9A" w14:textId="77777777">
        <w:trPr>
          <w:cantSplit/>
          <w:jc w:val="center"/>
        </w:trPr>
        <w:tc>
          <w:tcPr>
            <w:tcW w:w="1800" w:type="dxa"/>
            <w:tcMar>
              <w:top w:w="70" w:type="dxa"/>
              <w:left w:w="90" w:type="dxa"/>
              <w:bottom w:w="70" w:type="dxa"/>
              <w:right w:w="90" w:type="dxa"/>
            </w:tcMar>
            <w:vAlign w:val="center"/>
          </w:tcPr>
          <w:p w14:paraId="4CC6EBD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HotpotQA behavioral</w:t>
            </w:r>
          </w:p>
        </w:tc>
        <w:tc>
          <w:tcPr>
            <w:tcW w:w="1872" w:type="dxa"/>
            <w:tcMar>
              <w:top w:w="70" w:type="dxa"/>
              <w:left w:w="90" w:type="dxa"/>
              <w:bottom w:w="70" w:type="dxa"/>
              <w:right w:w="90" w:type="dxa"/>
            </w:tcMar>
            <w:vAlign w:val="center"/>
          </w:tcPr>
          <w:p w14:paraId="06519A5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249 confirmatory rows</w:t>
            </w:r>
          </w:p>
        </w:tc>
        <w:tc>
          <w:tcPr>
            <w:tcW w:w="3096" w:type="dxa"/>
            <w:tcMar>
              <w:top w:w="70" w:type="dxa"/>
              <w:left w:w="90" w:type="dxa"/>
              <w:bottom w:w="70" w:type="dxa"/>
              <w:right w:w="90" w:type="dxa"/>
            </w:tcMar>
            <w:vAlign w:val="center"/>
          </w:tcPr>
          <w:p w14:paraId="039B37F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-0.0408367; F1 -0.0843373; cost -2.33014; calls -1.98394</w:t>
            </w:r>
          </w:p>
        </w:tc>
        <w:tc>
          <w:tcPr>
            <w:tcW w:w="3312" w:type="dxa"/>
            <w:tcMar>
              <w:top w:w="70" w:type="dxa"/>
              <w:left w:w="90" w:type="dxa"/>
              <w:bottom w:w="70" w:type="dxa"/>
              <w:right w:w="90" w:type="dxa"/>
            </w:tcMar>
            <w:vAlign w:val="center"/>
          </w:tcPr>
          <w:p w14:paraId="74BF3E0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Operational gain with quality loss; blocked</w:t>
            </w:r>
          </w:p>
        </w:tc>
      </w:tr>
      <w:tr w:rsidR="00A16D83" w:rsidRPr="002A2802" w14:paraId="7A072B19" w14:textId="77777777">
        <w:trPr>
          <w:cantSplit/>
          <w:jc w:val="center"/>
        </w:trPr>
        <w:tc>
          <w:tcPr>
            <w:tcW w:w="1800" w:type="dxa"/>
            <w:tcMar>
              <w:top w:w="70" w:type="dxa"/>
              <w:left w:w="90" w:type="dxa"/>
              <w:bottom w:w="70" w:type="dxa"/>
              <w:right w:w="90" w:type="dxa"/>
            </w:tcMar>
            <w:vAlign w:val="center"/>
          </w:tcPr>
          <w:p w14:paraId="14EA717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generative primary</w:t>
            </w:r>
          </w:p>
        </w:tc>
        <w:tc>
          <w:tcPr>
            <w:tcW w:w="1872" w:type="dxa"/>
            <w:tcMar>
              <w:top w:w="70" w:type="dxa"/>
              <w:left w:w="90" w:type="dxa"/>
              <w:bottom w:w="70" w:type="dxa"/>
              <w:right w:w="90" w:type="dxa"/>
            </w:tcMar>
            <w:vAlign w:val="center"/>
          </w:tcPr>
          <w:p w14:paraId="010FB90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12 examples; 132 generations</w:t>
            </w:r>
          </w:p>
        </w:tc>
        <w:tc>
          <w:tcPr>
            <w:tcW w:w="3096" w:type="dxa"/>
            <w:tcMar>
              <w:top w:w="70" w:type="dxa"/>
              <w:left w:w="90" w:type="dxa"/>
              <w:bottom w:w="70" w:type="dxa"/>
              <w:right w:w="90" w:type="dxa"/>
            </w:tcMar>
            <w:vAlign w:val="center"/>
          </w:tcPr>
          <w:p w14:paraId="5338F5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Quality +0.0166534; cost -3.77900; latency -5,971.85 ms</w:t>
            </w:r>
          </w:p>
        </w:tc>
        <w:tc>
          <w:tcPr>
            <w:tcW w:w="3312" w:type="dxa"/>
            <w:tcMar>
              <w:top w:w="70" w:type="dxa"/>
              <w:left w:w="90" w:type="dxa"/>
              <w:bottom w:w="70" w:type="dxa"/>
              <w:right w:w="90" w:type="dxa"/>
            </w:tcMar>
            <w:vAlign w:val="center"/>
          </w:tcPr>
          <w:p w14:paraId="4B2F8B7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bounded slice; repeats/models did not reproduce</w:t>
            </w:r>
          </w:p>
        </w:tc>
      </w:tr>
      <w:tr w:rsidR="00A16D83" w:rsidRPr="002A2802" w14:paraId="5375E362" w14:textId="77777777">
        <w:trPr>
          <w:cantSplit/>
          <w:jc w:val="center"/>
        </w:trPr>
        <w:tc>
          <w:tcPr>
            <w:tcW w:w="1800" w:type="dxa"/>
            <w:tcMar>
              <w:top w:w="70" w:type="dxa"/>
              <w:left w:w="90" w:type="dxa"/>
              <w:bottom w:w="70" w:type="dxa"/>
              <w:right w:w="90" w:type="dxa"/>
            </w:tcMar>
            <w:vAlign w:val="center"/>
          </w:tcPr>
          <w:p w14:paraId="000D657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Guardrail v2</w:t>
            </w:r>
          </w:p>
        </w:tc>
        <w:tc>
          <w:tcPr>
            <w:tcW w:w="1872" w:type="dxa"/>
            <w:tcMar>
              <w:top w:w="70" w:type="dxa"/>
              <w:left w:w="90" w:type="dxa"/>
              <w:bottom w:w="70" w:type="dxa"/>
              <w:right w:w="90" w:type="dxa"/>
            </w:tcMar>
            <w:vAlign w:val="center"/>
          </w:tcPr>
          <w:p w14:paraId="1CFADBD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4 held-out offsets</w:t>
            </w:r>
          </w:p>
        </w:tc>
        <w:tc>
          <w:tcPr>
            <w:tcW w:w="3096" w:type="dxa"/>
            <w:tcMar>
              <w:top w:w="70" w:type="dxa"/>
              <w:left w:w="90" w:type="dxa"/>
              <w:bottom w:w="70" w:type="dxa"/>
              <w:right w:w="90" w:type="dxa"/>
            </w:tcMar>
            <w:vAlign w:val="center"/>
          </w:tcPr>
          <w:p w14:paraId="5ED10E9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3 quality-loss blocks; 0 positive latency results</w:t>
            </w:r>
          </w:p>
        </w:tc>
        <w:tc>
          <w:tcPr>
            <w:tcW w:w="3312" w:type="dxa"/>
            <w:tcMar>
              <w:top w:w="70" w:type="dxa"/>
              <w:left w:w="90" w:type="dxa"/>
              <w:bottom w:w="70" w:type="dxa"/>
              <w:right w:w="90" w:type="dxa"/>
            </w:tcMar>
            <w:vAlign w:val="center"/>
          </w:tcPr>
          <w:p w14:paraId="1528A60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Validation success failed held-out generalization</w:t>
            </w:r>
          </w:p>
        </w:tc>
      </w:tr>
      <w:tr w:rsidR="00A16D83" w:rsidRPr="002A2802" w14:paraId="3510C5BE" w14:textId="77777777">
        <w:trPr>
          <w:cantSplit/>
          <w:jc w:val="center"/>
        </w:trPr>
        <w:tc>
          <w:tcPr>
            <w:tcW w:w="1800" w:type="dxa"/>
            <w:tcMar>
              <w:top w:w="70" w:type="dxa"/>
              <w:left w:w="90" w:type="dxa"/>
              <w:bottom w:w="70" w:type="dxa"/>
              <w:right w:w="90" w:type="dxa"/>
            </w:tcMar>
            <w:vAlign w:val="center"/>
          </w:tcPr>
          <w:p w14:paraId="6CA1111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stress</w:t>
            </w:r>
          </w:p>
        </w:tc>
        <w:tc>
          <w:tcPr>
            <w:tcW w:w="1872" w:type="dxa"/>
            <w:tcMar>
              <w:top w:w="70" w:type="dxa"/>
              <w:left w:w="90" w:type="dxa"/>
              <w:bottom w:w="70" w:type="dxa"/>
              <w:right w:w="90" w:type="dxa"/>
            </w:tcMar>
            <w:vAlign w:val="center"/>
          </w:tcPr>
          <w:p w14:paraId="7A18E40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evidence families</w:t>
            </w:r>
          </w:p>
        </w:tc>
        <w:tc>
          <w:tcPr>
            <w:tcW w:w="3096" w:type="dxa"/>
            <w:tcMar>
              <w:top w:w="70" w:type="dxa"/>
              <w:left w:w="90" w:type="dxa"/>
              <w:bottom w:w="70" w:type="dxa"/>
              <w:right w:w="90" w:type="dxa"/>
            </w:tcMar>
            <w:vAlign w:val="center"/>
          </w:tcPr>
          <w:p w14:paraId="27F0265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Governed blocked 0.66 with 0 quality loss; cost/latency/random quality loss 0.25</w:t>
            </w:r>
          </w:p>
        </w:tc>
        <w:tc>
          <w:tcPr>
            <w:tcW w:w="3312" w:type="dxa"/>
            <w:tcMar>
              <w:top w:w="70" w:type="dxa"/>
              <w:left w:w="90" w:type="dxa"/>
              <w:bottom w:w="70" w:type="dxa"/>
              <w:right w:w="90" w:type="dxa"/>
            </w:tcMar>
            <w:vAlign w:val="center"/>
          </w:tcPr>
          <w:p w14:paraId="42FB12E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Gates traded promotion rate for no observed quality-loss labels</w:t>
            </w:r>
          </w:p>
        </w:tc>
      </w:tr>
      <w:tr w:rsidR="00A16D83" w:rsidRPr="002A2802" w14:paraId="6749B58C" w14:textId="77777777">
        <w:trPr>
          <w:cantSplit/>
          <w:jc w:val="center"/>
        </w:trPr>
        <w:tc>
          <w:tcPr>
            <w:tcW w:w="1800" w:type="dxa"/>
            <w:tcMar>
              <w:top w:w="70" w:type="dxa"/>
              <w:left w:w="90" w:type="dxa"/>
              <w:bottom w:w="70" w:type="dxa"/>
              <w:right w:w="90" w:type="dxa"/>
            </w:tcMar>
            <w:vAlign w:val="center"/>
          </w:tcPr>
          <w:p w14:paraId="5F7EC8B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mini + Docker</w:t>
            </w:r>
          </w:p>
        </w:tc>
        <w:tc>
          <w:tcPr>
            <w:tcW w:w="1872" w:type="dxa"/>
            <w:tcMar>
              <w:top w:w="70" w:type="dxa"/>
              <w:left w:w="90" w:type="dxa"/>
              <w:bottom w:w="70" w:type="dxa"/>
              <w:right w:w="90" w:type="dxa"/>
            </w:tcMar>
            <w:vAlign w:val="center"/>
          </w:tcPr>
          <w:p w14:paraId="1DE7D5C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Synthetic deterministic job</w:t>
            </w:r>
          </w:p>
        </w:tc>
        <w:tc>
          <w:tcPr>
            <w:tcW w:w="3096" w:type="dxa"/>
            <w:tcMar>
              <w:top w:w="70" w:type="dxa"/>
              <w:left w:w="90" w:type="dxa"/>
              <w:bottom w:w="70" w:type="dxa"/>
              <w:right w:w="90" w:type="dxa"/>
            </w:tcMar>
            <w:vAlign w:val="center"/>
          </w:tcPr>
          <w:p w14:paraId="6200E1F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hardened Docker, decision artifact, verify-run pass</w:t>
            </w:r>
          </w:p>
        </w:tc>
        <w:tc>
          <w:tcPr>
            <w:tcW w:w="3312" w:type="dxa"/>
            <w:tcMar>
              <w:top w:w="70" w:type="dxa"/>
              <w:left w:w="90" w:type="dxa"/>
              <w:bottom w:w="70" w:type="dxa"/>
              <w:right w:w="90" w:type="dxa"/>
            </w:tcMar>
            <w:vAlign w:val="center"/>
          </w:tcPr>
          <w:p w14:paraId="56E9ED8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Strong systems reproducibility; not external empirical evidence</w:t>
            </w:r>
          </w:p>
        </w:tc>
      </w:tr>
    </w:tbl>
    <w:p w14:paraId="11C69879"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4. Principal empirical and systems results. Full precision is retained here; negative and mixed outcomes are part of the reported evidence.</w:t>
      </w:r>
    </w:p>
    <w:p w14:paraId="0AD420EB" w14:textId="77777777" w:rsidR="00F4612D" w:rsidRDefault="00DC3F14">
      <w:r>
        <w:rPr>
          <w:sz w:val="16"/>
        </w:rPr>
        <w:t>Note: cost and latency deltas in Table 4 follow each suite's declared telemetry fields and are comparable only within the corresponding evaluation path. Unless an artifact declares otherwise, cost is a normalized or modeled operational-cost field rather than a dollar-denominated cloud bill.</w:t>
      </w:r>
    </w:p>
    <w:p w14:paraId="06FF8B60"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7. Discussion</w:t>
      </w:r>
    </w:p>
    <w:p w14:paraId="1492979A" w14:textId="65A93084" w:rsidR="00A16D83" w:rsidRPr="002A2802" w:rsidRDefault="0090312D">
      <w:pPr>
        <w:pStyle w:val="BodyText"/>
        <w:spacing w:after="84" w:line="254" w:lineRule="auto"/>
        <w:ind w:firstLine="317"/>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's novelty is architectural and procedural rather than metric-level. It separates evidence production from release authority; applies quality preservation and hard gates before utility ranking; ties each result to an evidence class and claim ceiling; and packages the decision, contradictory evidence, and integrity checks as a portable artifact. Noninferiority, risk management, observability, and ML testing are established ideas [11-17]. The contribution is their RAG-specific operationalization in a lightweight, vendor-neutral promotion-control layer with an empirical record that includes failed replications and refused promotions.</w:t>
      </w:r>
    </w:p>
    <w:p w14:paraId="56CEAB7C" w14:textId="5B9C431A"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This position is complementary to existing tools. A team may obtain answer correctness from one evaluator, faithfulness from another, cost and latency from traces, and a security disqualifier from a separate suite. </w:t>
      </w:r>
      <w:r w:rsidR="0090312D">
        <w:rPr>
          <w:rFonts w:asciiTheme="majorHAnsi" w:hAnsiTheme="majorHAnsi"/>
          <w:color w:val="000000" w:themeColor="text1"/>
        </w:rPr>
        <w:t>RAGWarrant</w:t>
      </w:r>
      <w:r w:rsidRPr="002A2802">
        <w:rPr>
          <w:rFonts w:asciiTheme="majorHAnsi" w:hAnsiTheme="majorHAnsi"/>
          <w:color w:val="000000" w:themeColor="text1"/>
        </w:rPr>
        <w:t>'s role is to combine those declared inputs under one release contract. The output is not another score but a decision with reasons, limits, and traceable artifacts. This is particularly useful when a quality-only winner, a constrained optimizer, and a risk gate disagree.</w:t>
      </w:r>
    </w:p>
    <w:p w14:paraId="5195AB4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negative outcomes are consequently informative. HotpotQA and the held-out guardrail show that lower cost or latency can coexist with unacceptable answer degradation, while the unstable generative slices show how quickly a positive local result can evaporate under offsets or models. The current evidence does not estimate an optimal false-promotion versus false-refusal trade-off; it establishes that the framework can encode a conservative policy and preserve the cost of that conservatism for later study.</w:t>
      </w:r>
    </w:p>
    <w:p w14:paraId="75D7DC70" w14:textId="36976A35"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A practical governance program must eventually price false refusal as carefully as false promotion. Blocking too often can preserve a costly configuration, slow improvement, and encourage teams to bypass the process. </w:t>
      </w:r>
      <w:r w:rsidR="0090312D">
        <w:rPr>
          <w:rFonts w:asciiTheme="majorHAnsi" w:hAnsiTheme="majorHAnsi"/>
          <w:color w:val="000000" w:themeColor="text1"/>
        </w:rPr>
        <w:t>RAGWarrant</w:t>
      </w:r>
      <w:r w:rsidRPr="002A2802">
        <w:rPr>
          <w:rFonts w:asciiTheme="majorHAnsi" w:hAnsiTheme="majorHAnsi"/>
          <w:color w:val="000000" w:themeColor="text1"/>
        </w:rPr>
        <w:t>'s current result taxonomy and artifact schema make that future calibration possible because they retain both the rejected candidate's operational benefit and the gate that prevented release. Larger independent studies can then ask whether margins and risk thresholds produce an acceptable decision curve rather than only whether any single policy wins.</w:t>
      </w:r>
    </w:p>
    <w:p w14:paraId="7530B03E" w14:textId="4251F57F"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The product contract is most relevant where changes require a defensible release record: healthcare policy assistants, financial and insurance knowledge systems, legal research, government services, life-sciences evidence workflows, and internal enterprise copilots. In such settings the question is rarely just which score is highest. It is whether a change is justified for a declared corpus, use case, user population, access tier, quality floor, latency target, and risk class. </w:t>
      </w:r>
      <w:r w:rsidR="0090312D">
        <w:rPr>
          <w:rFonts w:asciiTheme="majorHAnsi" w:hAnsiTheme="majorHAnsi"/>
          <w:color w:val="000000" w:themeColor="text1"/>
        </w:rPr>
        <w:t>RAGWarrant</w:t>
      </w:r>
      <w:r w:rsidRPr="002A2802">
        <w:rPr>
          <w:rFonts w:asciiTheme="majorHAnsi" w:hAnsiTheme="majorHAnsi"/>
          <w:color w:val="000000" w:themeColor="text1"/>
        </w:rPr>
        <w:t xml:space="preserve"> can run as a finite CI/CD or monitoring job and emit an artifact suitable for change review; integration with live identity, authorization, and incident processes remains deployment-specific.</w:t>
      </w:r>
    </w:p>
    <w:p w14:paraId="67E62897"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lastRenderedPageBreak/>
        <w:t>The same abstraction can support layered enterprise policies. A release contract may inherit organization-wide security and data-access requirements, then specialize by corpus, use case, user population, query class, and service-level objective. The optimizer may vary retrieval depth or routing inside that envelope, but it cannot override entitlement, source-authority, citation, or human-review rules. This separation makes governance portable across customers without pretending that one globally optimal RAG configuration exists.</w:t>
      </w:r>
    </w:p>
    <w:p w14:paraId="03B0229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8. Limitations and Threats to Validity</w:t>
      </w:r>
    </w:p>
    <w:p w14:paraId="172CC13F"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Empirical breadth remains limited. Few public corpora support full, policy-dependent, corpus-backed evaluation in the packaged program; CRAG also carries noncommercial-research restrictions. MultiHop-RAG and CRAG web-document studies produced ties rather than superiority, and some HotpotQA phases use context-retrieval evidence rather than a fully reconstructed source corpus.</w:t>
      </w:r>
    </w:p>
    <w:p w14:paraId="2AFE4A0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Generative samples are small and unstable. The favorable CRAG primary slice contained 12 examples, repeats and alternative models did not recover its cost result, and the larger HotpotQA target was not reached. Composite proxy and automatic evaluator scores are not substitutes for human judgment, and calibration across domains remains open.</w:t>
      </w:r>
    </w:p>
    <w:p w14:paraId="786BCF7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strongest positive source/retrieval result is also unusually small in practical effect and heavily dependent on the declared cost model. It should be interpreted as proof of decision behavior, not as a material quality advance. The selector stress test is assembled from packaged cases and cannot estimate real-world base rates of unsafe promotion. Likewise, sanitized frozen-observation analyses are useful for ablation but share dependencies with their parent runs.</w:t>
      </w:r>
    </w:p>
    <w:p w14:paraId="5B028335"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program is longitudinal and adaptive rather than a single preregistered experiment. Repeated design changes create multiplicity and researcher degrees of freedom; some observations are dependent, and early intervals were demonstrably low-information. The response is procedural rather than statistical sleight of hand: preserve chronology, distinguish development from confirmatory evidence, report grouped analyses only when implemented, and avoid a pooled significance claim.</w:t>
      </w:r>
    </w:p>
    <w:p w14:paraId="0A708204"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Systems evidence is also bounded. Fresh-clone and hardened Docker execution establish reproducibility of the public-mini contract, not operational reliability under real authentication, authorization, retention, availability, or incident-management requirements. External evaluator adapters use synthetic-shaped exports rather than official platform runs, and the security scan set is incomplete. RAG Compass remains an optional candidate and has no supported superiority claim.</w:t>
      </w:r>
    </w:p>
    <w:p w14:paraId="19388D4D"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Reproducibility artifacts verify code paths, decisions, and public hygiene; they cannot independently verify licensed raw data that are excluded from the repository. Exact external replication therefore depends on acquiring the original corpora and reconstructing the declared manifests. The release tag itself is an engineering checkpoint rather than a guarantee that every historical artifact can be regenerated without those sources.</w:t>
      </w:r>
    </w:p>
    <w:p w14:paraId="29917F24"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9. Reproducibility, Availability, and Responsible Release</w:t>
      </w:r>
    </w:p>
    <w:p w14:paraId="4DC75C7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Project code is released under Apache-2.0; third-party datasets retain their original licenses, and raw CRAG or HotpotQA text is not redistributed. The tagged v0.1.1-rc1 artifact identifies a fixed commit and includes configs, schemas, sanitized processed results, tests, Docker assets, deployment templates, claim tables, release manifests, and an evidence ledger.</w:t>
      </w:r>
    </w:p>
    <w:p w14:paraId="74326F7B" w14:textId="77777777" w:rsidR="00F4612D" w:rsidRDefault="00DC3F14">
      <w:pPr>
        <w:pStyle w:val="BodyText"/>
      </w:pPr>
      <w:r>
        <w:t>Public artifacts exclude raw licensed dataset text, raw prompts, generated answers, raw API responses, credentials, local caches, and model weights; where needed, the repository retains hashes, IDs, counts, metrics, and sanitized summaries.</w:t>
      </w:r>
    </w:p>
    <w:p w14:paraId="4DEBBB5E"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 fresh clone can run the deterministic public-mini job without private data, a generator, or cloud credentials. The hardened container reproduces the same governance contract, while verify-run checks the artifact manifest, hashes, schemas, and hygiene conditions. Dataset-dependent studies require users to acquire the original data under their licenses. These mechanisms make the decision logic and failure modes independently inspectable even when licensed raw evidence cannot be published.</w:t>
      </w:r>
    </w:p>
    <w:p w14:paraId="677FDE63"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GitHub CI executes publication tests and claim checks on the public tree. Deployment templates target Kubernetes and major cloud job primitives, but they are intentionally separated from the scientific claim: a template shows how to schedule the container, whereas platform evidence would require a real platform-native run record.</w:t>
      </w:r>
    </w:p>
    <w:p w14:paraId="2F83629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10. Conclusion</w:t>
      </w:r>
    </w:p>
    <w:p w14:paraId="5E6B1B64" w14:textId="108FA0AF" w:rsidR="00A16D83" w:rsidRPr="002A2802" w:rsidRDefault="0090312D">
      <w:pPr>
        <w:pStyle w:val="BodyText"/>
        <w:spacing w:after="84" w:line="254" w:lineRule="auto"/>
        <w:ind w:firstLine="317"/>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 xml:space="preserve"> makes release judgment executable. It normalizes evidence, applies non-compensatory gates, uses predeclared quality margins where appropriate, preserves negative outcomes, emits machine-readable decisions, validates public claims, and packages the result as a reproducible containerized job. The empirical record demonstrates the property most important to this design: apparent efficiency gains can be refused when quality, held-out, or evidence-validity checks do not survive.</w:t>
      </w:r>
    </w:p>
    <w:p w14:paraId="4E06BCE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That boundary is the paper's central proposal: measurement should inform release, but it should not silently become release authority.</w:t>
      </w:r>
    </w:p>
    <w:p w14:paraId="738A6B4B"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next priority is to calibrate promotion decisions on larger independent corpora, add blinded human adjudication, execute real evaluator and platform integrations, and measure false refusal alongside false promotion. Until then, the framework's contribution is a disciplined systems boundary between “we measured it” and “we are justified in deploying it.”</w:t>
      </w:r>
    </w:p>
    <w:p w14:paraId="204319FA"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49485DB7"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Appendix A. Decision and Evidence Taxonomy</w:t>
      </w:r>
    </w:p>
    <w:p w14:paraId="784023C6" w14:textId="2C0E5D53" w:rsidR="00A16D83" w:rsidRPr="002A2802" w:rsidRDefault="0090312D">
      <w:pPr>
        <w:pStyle w:val="BodyText"/>
        <w:spacing w:after="84" w:line="254" w:lineRule="auto"/>
        <w:jc w:val="both"/>
        <w:rPr>
          <w:rFonts w:asciiTheme="majorHAnsi" w:hAnsiTheme="majorHAnsi"/>
          <w:color w:val="000000" w:themeColor="text1"/>
        </w:rPr>
      </w:pPr>
      <w:r>
        <w:rPr>
          <w:rFonts w:asciiTheme="majorHAnsi" w:hAnsiTheme="majorHAnsi"/>
          <w:color w:val="000000" w:themeColor="text1"/>
        </w:rPr>
        <w:t>RAGWarrant</w:t>
      </w:r>
      <w:r w:rsidR="0034031E" w:rsidRPr="002A2802">
        <w:rPr>
          <w:rFonts w:asciiTheme="majorHAnsi" w:hAnsiTheme="majorHAnsi"/>
          <w:color w:val="000000" w:themeColor="text1"/>
        </w:rPr>
        <w:t>'s evidence taxonomy is deliberately asymmetric: stronger evidence may support a narrower claim, but weaker evidence cannot be relabeled upward. The categories below define the maximum defensible statement associated with each run type.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872"/>
        <w:gridCol w:w="2952"/>
        <w:gridCol w:w="2664"/>
        <w:gridCol w:w="2592"/>
      </w:tblGrid>
      <w:tr w:rsidR="00A16D83" w:rsidRPr="002A2802" w14:paraId="30000595" w14:textId="77777777">
        <w:trPr>
          <w:cantSplit/>
          <w:tblHeader/>
          <w:jc w:val="center"/>
        </w:trPr>
        <w:tc>
          <w:tcPr>
            <w:tcW w:w="1872" w:type="dxa"/>
            <w:shd w:val="clear" w:color="auto" w:fill="DCE8EF"/>
            <w:tcMar>
              <w:top w:w="70" w:type="dxa"/>
              <w:left w:w="90" w:type="dxa"/>
              <w:bottom w:w="70" w:type="dxa"/>
              <w:right w:w="90" w:type="dxa"/>
            </w:tcMar>
            <w:vAlign w:val="center"/>
          </w:tcPr>
          <w:p w14:paraId="4FA94B28"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Evidence class</w:t>
            </w:r>
          </w:p>
        </w:tc>
        <w:tc>
          <w:tcPr>
            <w:tcW w:w="2952" w:type="dxa"/>
            <w:shd w:val="clear" w:color="auto" w:fill="DCE8EF"/>
            <w:tcMar>
              <w:top w:w="70" w:type="dxa"/>
              <w:left w:w="90" w:type="dxa"/>
              <w:bottom w:w="70" w:type="dxa"/>
              <w:right w:w="90" w:type="dxa"/>
            </w:tcMar>
            <w:vAlign w:val="center"/>
          </w:tcPr>
          <w:p w14:paraId="2CB50A7C"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What it establishes</w:t>
            </w:r>
          </w:p>
        </w:tc>
        <w:tc>
          <w:tcPr>
            <w:tcW w:w="2664" w:type="dxa"/>
            <w:shd w:val="clear" w:color="auto" w:fill="DCE8EF"/>
            <w:tcMar>
              <w:top w:w="70" w:type="dxa"/>
              <w:left w:w="90" w:type="dxa"/>
              <w:bottom w:w="70" w:type="dxa"/>
              <w:right w:w="90" w:type="dxa"/>
            </w:tcMar>
            <w:vAlign w:val="center"/>
          </w:tcPr>
          <w:p w14:paraId="385FFF6E"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Permitted claim example</w:t>
            </w:r>
          </w:p>
        </w:tc>
        <w:tc>
          <w:tcPr>
            <w:tcW w:w="2592" w:type="dxa"/>
            <w:shd w:val="clear" w:color="auto" w:fill="DCE8EF"/>
            <w:tcMar>
              <w:top w:w="70" w:type="dxa"/>
              <w:left w:w="90" w:type="dxa"/>
              <w:bottom w:w="70" w:type="dxa"/>
              <w:right w:w="90" w:type="dxa"/>
            </w:tcMar>
            <w:vAlign w:val="center"/>
          </w:tcPr>
          <w:p w14:paraId="55D6E445"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4"/>
              </w:rPr>
              <w:t>Not permitted</w:t>
            </w:r>
          </w:p>
        </w:tc>
      </w:tr>
      <w:tr w:rsidR="00A16D83" w:rsidRPr="002A2802" w14:paraId="1A4339F2" w14:textId="77777777">
        <w:trPr>
          <w:cantSplit/>
          <w:jc w:val="center"/>
        </w:trPr>
        <w:tc>
          <w:tcPr>
            <w:tcW w:w="1872" w:type="dxa"/>
            <w:tcMar>
              <w:top w:w="70" w:type="dxa"/>
              <w:left w:w="90" w:type="dxa"/>
              <w:bottom w:w="70" w:type="dxa"/>
              <w:right w:w="90" w:type="dxa"/>
            </w:tcMar>
            <w:vAlign w:val="center"/>
          </w:tcPr>
          <w:p w14:paraId="0BE2E8C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Fixture / smoke</w:t>
            </w:r>
          </w:p>
        </w:tc>
        <w:tc>
          <w:tcPr>
            <w:tcW w:w="2952" w:type="dxa"/>
            <w:tcMar>
              <w:top w:w="70" w:type="dxa"/>
              <w:left w:w="90" w:type="dxa"/>
              <w:bottom w:w="70" w:type="dxa"/>
              <w:right w:w="90" w:type="dxa"/>
            </w:tcMar>
            <w:vAlign w:val="center"/>
          </w:tcPr>
          <w:p w14:paraId="1B09680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Code path, schema, and refusal behavior execute</w:t>
            </w:r>
          </w:p>
        </w:tc>
        <w:tc>
          <w:tcPr>
            <w:tcW w:w="2664" w:type="dxa"/>
            <w:tcMar>
              <w:top w:w="70" w:type="dxa"/>
              <w:left w:w="90" w:type="dxa"/>
              <w:bottom w:w="70" w:type="dxa"/>
              <w:right w:w="90" w:type="dxa"/>
            </w:tcMar>
            <w:vAlign w:val="center"/>
          </w:tcPr>
          <w:p w14:paraId="52E965F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Harness runs and artifacts validate.</w:t>
            </w:r>
          </w:p>
        </w:tc>
        <w:tc>
          <w:tcPr>
            <w:tcW w:w="2592" w:type="dxa"/>
            <w:tcMar>
              <w:top w:w="70" w:type="dxa"/>
              <w:left w:w="90" w:type="dxa"/>
              <w:bottom w:w="70" w:type="dxa"/>
              <w:right w:w="90" w:type="dxa"/>
            </w:tcMar>
            <w:vAlign w:val="center"/>
          </w:tcPr>
          <w:p w14:paraId="5EF93A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Benchmark or quality superiority</w:t>
            </w:r>
          </w:p>
        </w:tc>
      </w:tr>
      <w:tr w:rsidR="00A16D83" w:rsidRPr="002A2802" w14:paraId="33DBA70D" w14:textId="77777777">
        <w:trPr>
          <w:cantSplit/>
          <w:jc w:val="center"/>
        </w:trPr>
        <w:tc>
          <w:tcPr>
            <w:tcW w:w="1872" w:type="dxa"/>
            <w:tcMar>
              <w:top w:w="70" w:type="dxa"/>
              <w:left w:w="90" w:type="dxa"/>
              <w:bottom w:w="70" w:type="dxa"/>
              <w:right w:w="90" w:type="dxa"/>
            </w:tcMar>
            <w:vAlign w:val="center"/>
          </w:tcPr>
          <w:p w14:paraId="2012C44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Development</w:t>
            </w:r>
          </w:p>
        </w:tc>
        <w:tc>
          <w:tcPr>
            <w:tcW w:w="2952" w:type="dxa"/>
            <w:tcMar>
              <w:top w:w="70" w:type="dxa"/>
              <w:left w:w="90" w:type="dxa"/>
              <w:bottom w:w="70" w:type="dxa"/>
              <w:right w:w="90" w:type="dxa"/>
            </w:tcMar>
            <w:vAlign w:val="center"/>
          </w:tcPr>
          <w:p w14:paraId="0B0140C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Candidate behavior on nonsealed data</w:t>
            </w:r>
          </w:p>
        </w:tc>
        <w:tc>
          <w:tcPr>
            <w:tcW w:w="2664" w:type="dxa"/>
            <w:tcMar>
              <w:top w:w="70" w:type="dxa"/>
              <w:left w:w="90" w:type="dxa"/>
              <w:bottom w:w="70" w:type="dxa"/>
              <w:right w:w="90" w:type="dxa"/>
            </w:tcMar>
            <w:vAlign w:val="center"/>
          </w:tcPr>
          <w:p w14:paraId="4A1DAE8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Promising development signal.</w:t>
            </w:r>
          </w:p>
        </w:tc>
        <w:tc>
          <w:tcPr>
            <w:tcW w:w="2592" w:type="dxa"/>
            <w:tcMar>
              <w:top w:w="70" w:type="dxa"/>
              <w:left w:w="90" w:type="dxa"/>
              <w:bottom w:w="70" w:type="dxa"/>
              <w:right w:w="90" w:type="dxa"/>
            </w:tcMar>
            <w:vAlign w:val="center"/>
          </w:tcPr>
          <w:p w14:paraId="6FBCAA3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Confirmatory or production claim</w:t>
            </w:r>
          </w:p>
        </w:tc>
      </w:tr>
      <w:tr w:rsidR="00A16D83" w:rsidRPr="002A2802" w14:paraId="13C7AD2A" w14:textId="77777777">
        <w:trPr>
          <w:cantSplit/>
          <w:jc w:val="center"/>
        </w:trPr>
        <w:tc>
          <w:tcPr>
            <w:tcW w:w="1872" w:type="dxa"/>
            <w:tcMar>
              <w:top w:w="70" w:type="dxa"/>
              <w:left w:w="90" w:type="dxa"/>
              <w:bottom w:w="70" w:type="dxa"/>
              <w:right w:w="90" w:type="dxa"/>
            </w:tcMar>
            <w:vAlign w:val="center"/>
          </w:tcPr>
          <w:p w14:paraId="0CA45CB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Public confirmatory</w:t>
            </w:r>
          </w:p>
        </w:tc>
        <w:tc>
          <w:tcPr>
            <w:tcW w:w="2952" w:type="dxa"/>
            <w:tcMar>
              <w:top w:w="70" w:type="dxa"/>
              <w:left w:w="90" w:type="dxa"/>
              <w:bottom w:w="70" w:type="dxa"/>
              <w:right w:w="90" w:type="dxa"/>
            </w:tcMar>
            <w:vAlign w:val="center"/>
          </w:tcPr>
          <w:p w14:paraId="18868F4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Held-out result under frozen configuration</w:t>
            </w:r>
          </w:p>
        </w:tc>
        <w:tc>
          <w:tcPr>
            <w:tcW w:w="2664" w:type="dxa"/>
            <w:tcMar>
              <w:top w:w="70" w:type="dxa"/>
              <w:left w:w="90" w:type="dxa"/>
              <w:bottom w:w="70" w:type="dxa"/>
              <w:right w:w="90" w:type="dxa"/>
            </w:tcMar>
            <w:vAlign w:val="center"/>
          </w:tcPr>
          <w:p w14:paraId="7D33A81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external signal on this corpus.</w:t>
            </w:r>
          </w:p>
        </w:tc>
        <w:tc>
          <w:tcPr>
            <w:tcW w:w="2592" w:type="dxa"/>
            <w:tcMar>
              <w:top w:w="70" w:type="dxa"/>
              <w:left w:w="90" w:type="dxa"/>
              <w:bottom w:w="70" w:type="dxa"/>
              <w:right w:w="90" w:type="dxa"/>
            </w:tcMar>
            <w:vAlign w:val="center"/>
          </w:tcPr>
          <w:p w14:paraId="41C3E8D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Universal generalization</w:t>
            </w:r>
          </w:p>
        </w:tc>
      </w:tr>
      <w:tr w:rsidR="00A16D83" w:rsidRPr="002A2802" w14:paraId="2980ADAF" w14:textId="77777777">
        <w:trPr>
          <w:cantSplit/>
          <w:jc w:val="center"/>
        </w:trPr>
        <w:tc>
          <w:tcPr>
            <w:tcW w:w="1872" w:type="dxa"/>
            <w:tcMar>
              <w:top w:w="70" w:type="dxa"/>
              <w:left w:w="90" w:type="dxa"/>
              <w:bottom w:w="70" w:type="dxa"/>
              <w:right w:w="90" w:type="dxa"/>
            </w:tcMar>
            <w:vAlign w:val="center"/>
          </w:tcPr>
          <w:p w14:paraId="6E4AD4C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Frozen-observation derived</w:t>
            </w:r>
          </w:p>
        </w:tc>
        <w:tc>
          <w:tcPr>
            <w:tcW w:w="2952" w:type="dxa"/>
            <w:tcMar>
              <w:top w:w="70" w:type="dxa"/>
              <w:left w:w="90" w:type="dxa"/>
              <w:bottom w:w="70" w:type="dxa"/>
              <w:right w:w="90" w:type="dxa"/>
            </w:tcMar>
            <w:vAlign w:val="center"/>
          </w:tcPr>
          <w:p w14:paraId="47D2FE0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Ablation and counterfactual analysis</w:t>
            </w:r>
          </w:p>
        </w:tc>
        <w:tc>
          <w:tcPr>
            <w:tcW w:w="2664" w:type="dxa"/>
            <w:tcMar>
              <w:top w:w="70" w:type="dxa"/>
              <w:left w:w="90" w:type="dxa"/>
              <w:bottom w:w="70" w:type="dxa"/>
              <w:right w:w="90" w:type="dxa"/>
            </w:tcMar>
            <w:vAlign w:val="center"/>
          </w:tcPr>
          <w:p w14:paraId="046799D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Derived operational comparison.</w:t>
            </w:r>
          </w:p>
        </w:tc>
        <w:tc>
          <w:tcPr>
            <w:tcW w:w="2592" w:type="dxa"/>
            <w:tcMar>
              <w:top w:w="70" w:type="dxa"/>
              <w:left w:w="90" w:type="dxa"/>
              <w:bottom w:w="70" w:type="dxa"/>
              <w:right w:w="90" w:type="dxa"/>
            </w:tcMar>
            <w:vAlign w:val="center"/>
          </w:tcPr>
          <w:p w14:paraId="1584FA3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Independent replication</w:t>
            </w:r>
          </w:p>
        </w:tc>
      </w:tr>
      <w:tr w:rsidR="00A16D83" w:rsidRPr="002A2802" w14:paraId="3B68D1DB" w14:textId="77777777">
        <w:trPr>
          <w:cantSplit/>
          <w:jc w:val="center"/>
        </w:trPr>
        <w:tc>
          <w:tcPr>
            <w:tcW w:w="1872" w:type="dxa"/>
            <w:tcMar>
              <w:top w:w="70" w:type="dxa"/>
              <w:left w:w="90" w:type="dxa"/>
              <w:bottom w:w="70" w:type="dxa"/>
              <w:right w:w="90" w:type="dxa"/>
            </w:tcMar>
            <w:vAlign w:val="center"/>
          </w:tcPr>
          <w:p w14:paraId="4893DCE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Generative local</w:t>
            </w:r>
          </w:p>
        </w:tc>
        <w:tc>
          <w:tcPr>
            <w:tcW w:w="2952" w:type="dxa"/>
            <w:tcMar>
              <w:top w:w="70" w:type="dxa"/>
              <w:left w:w="90" w:type="dxa"/>
              <w:bottom w:w="70" w:type="dxa"/>
              <w:right w:w="90" w:type="dxa"/>
            </w:tcMar>
            <w:vAlign w:val="center"/>
          </w:tcPr>
          <w:p w14:paraId="6B8E6AF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Pinned generator and generated-answer scoring</w:t>
            </w:r>
          </w:p>
        </w:tc>
        <w:tc>
          <w:tcPr>
            <w:tcW w:w="2664" w:type="dxa"/>
            <w:tcMar>
              <w:top w:w="70" w:type="dxa"/>
              <w:left w:w="90" w:type="dxa"/>
              <w:bottom w:w="70" w:type="dxa"/>
              <w:right w:w="90" w:type="dxa"/>
            </w:tcMar>
            <w:vAlign w:val="center"/>
          </w:tcPr>
          <w:p w14:paraId="51A9CEB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Bounded local generative validation.</w:t>
            </w:r>
          </w:p>
        </w:tc>
        <w:tc>
          <w:tcPr>
            <w:tcW w:w="2592" w:type="dxa"/>
            <w:tcMar>
              <w:top w:w="70" w:type="dxa"/>
              <w:left w:w="90" w:type="dxa"/>
              <w:bottom w:w="70" w:type="dxa"/>
              <w:right w:w="90" w:type="dxa"/>
            </w:tcMar>
            <w:vAlign w:val="center"/>
          </w:tcPr>
          <w:p w14:paraId="7A6CCFB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or platform validation</w:t>
            </w:r>
          </w:p>
        </w:tc>
      </w:tr>
      <w:tr w:rsidR="00A16D83" w:rsidRPr="002A2802" w14:paraId="060B5E07" w14:textId="77777777">
        <w:trPr>
          <w:cantSplit/>
          <w:jc w:val="center"/>
        </w:trPr>
        <w:tc>
          <w:tcPr>
            <w:tcW w:w="1872" w:type="dxa"/>
            <w:tcMar>
              <w:top w:w="70" w:type="dxa"/>
              <w:left w:w="90" w:type="dxa"/>
              <w:bottom w:w="70" w:type="dxa"/>
              <w:right w:w="90" w:type="dxa"/>
            </w:tcMar>
            <w:vAlign w:val="center"/>
          </w:tcPr>
          <w:p w14:paraId="3F47918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evaluation</w:t>
            </w:r>
          </w:p>
        </w:tc>
        <w:tc>
          <w:tcPr>
            <w:tcW w:w="2952" w:type="dxa"/>
            <w:tcMar>
              <w:top w:w="70" w:type="dxa"/>
              <w:left w:w="90" w:type="dxa"/>
              <w:bottom w:w="70" w:type="dxa"/>
              <w:right w:w="90" w:type="dxa"/>
            </w:tcMar>
            <w:vAlign w:val="center"/>
          </w:tcPr>
          <w:p w14:paraId="37A5DEA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Completed blinded annotations</w:t>
            </w:r>
          </w:p>
        </w:tc>
        <w:tc>
          <w:tcPr>
            <w:tcW w:w="2664" w:type="dxa"/>
            <w:tcMar>
              <w:top w:w="70" w:type="dxa"/>
              <w:left w:w="90" w:type="dxa"/>
              <w:bottom w:w="70" w:type="dxa"/>
              <w:right w:w="90" w:type="dxa"/>
            </w:tcMar>
            <w:vAlign w:val="center"/>
          </w:tcPr>
          <w:p w14:paraId="715A750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Human-adjudicated result.</w:t>
            </w:r>
          </w:p>
        </w:tc>
        <w:tc>
          <w:tcPr>
            <w:tcW w:w="2592" w:type="dxa"/>
            <w:tcMar>
              <w:top w:w="70" w:type="dxa"/>
              <w:left w:w="90" w:type="dxa"/>
              <w:bottom w:w="70" w:type="dxa"/>
              <w:right w:w="90" w:type="dxa"/>
            </w:tcMar>
            <w:vAlign w:val="center"/>
          </w:tcPr>
          <w:p w14:paraId="364812F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outcome without operations</w:t>
            </w:r>
          </w:p>
        </w:tc>
      </w:tr>
      <w:tr w:rsidR="00A16D83" w:rsidRPr="002A2802" w14:paraId="30BB3CA2" w14:textId="77777777">
        <w:trPr>
          <w:cantSplit/>
          <w:jc w:val="center"/>
        </w:trPr>
        <w:tc>
          <w:tcPr>
            <w:tcW w:w="1872" w:type="dxa"/>
            <w:tcMar>
              <w:top w:w="70" w:type="dxa"/>
              <w:left w:w="90" w:type="dxa"/>
              <w:bottom w:w="70" w:type="dxa"/>
              <w:right w:w="90" w:type="dxa"/>
            </w:tcMar>
            <w:vAlign w:val="center"/>
          </w:tcPr>
          <w:p w14:paraId="7D22E80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Platform-native</w:t>
            </w:r>
          </w:p>
        </w:tc>
        <w:tc>
          <w:tcPr>
            <w:tcW w:w="2952" w:type="dxa"/>
            <w:tcMar>
              <w:top w:w="70" w:type="dxa"/>
              <w:left w:w="90" w:type="dxa"/>
              <w:bottom w:w="70" w:type="dxa"/>
              <w:right w:w="90" w:type="dxa"/>
            </w:tcMar>
            <w:vAlign w:val="center"/>
          </w:tcPr>
          <w:p w14:paraId="3F2CBBF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Actual platform execution and run records</w:t>
            </w:r>
          </w:p>
        </w:tc>
        <w:tc>
          <w:tcPr>
            <w:tcW w:w="2664" w:type="dxa"/>
            <w:tcMar>
              <w:top w:w="70" w:type="dxa"/>
              <w:left w:w="90" w:type="dxa"/>
              <w:bottom w:w="70" w:type="dxa"/>
              <w:right w:w="90" w:type="dxa"/>
            </w:tcMar>
            <w:vAlign w:val="center"/>
          </w:tcPr>
          <w:p w14:paraId="323502E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Platform-executed benchmark.</w:t>
            </w:r>
          </w:p>
        </w:tc>
        <w:tc>
          <w:tcPr>
            <w:tcW w:w="2592" w:type="dxa"/>
            <w:tcMar>
              <w:top w:w="70" w:type="dxa"/>
              <w:left w:w="90" w:type="dxa"/>
              <w:bottom w:w="70" w:type="dxa"/>
              <w:right w:w="90" w:type="dxa"/>
            </w:tcMar>
            <w:vAlign w:val="center"/>
          </w:tcPr>
          <w:p w14:paraId="36BDF70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Vendor certification</w:t>
            </w:r>
          </w:p>
        </w:tc>
      </w:tr>
      <w:tr w:rsidR="00A16D83" w:rsidRPr="002A2802" w14:paraId="16F0DAE1" w14:textId="77777777">
        <w:trPr>
          <w:cantSplit/>
          <w:jc w:val="center"/>
        </w:trPr>
        <w:tc>
          <w:tcPr>
            <w:tcW w:w="1872" w:type="dxa"/>
            <w:tcMar>
              <w:top w:w="70" w:type="dxa"/>
              <w:left w:w="90" w:type="dxa"/>
              <w:bottom w:w="70" w:type="dxa"/>
              <w:right w:w="90" w:type="dxa"/>
            </w:tcMar>
            <w:vAlign w:val="center"/>
          </w:tcPr>
          <w:p w14:paraId="1A11F250"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w:t>
            </w:r>
          </w:p>
        </w:tc>
        <w:tc>
          <w:tcPr>
            <w:tcW w:w="2952" w:type="dxa"/>
            <w:tcMar>
              <w:top w:w="70" w:type="dxa"/>
              <w:left w:w="90" w:type="dxa"/>
              <w:bottom w:w="70" w:type="dxa"/>
              <w:right w:w="90" w:type="dxa"/>
            </w:tcMar>
            <w:vAlign w:val="center"/>
          </w:tcPr>
          <w:p w14:paraId="3D89AA4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Monitored operational outcomes</w:t>
            </w:r>
          </w:p>
        </w:tc>
        <w:tc>
          <w:tcPr>
            <w:tcW w:w="2664" w:type="dxa"/>
            <w:tcMar>
              <w:top w:w="70" w:type="dxa"/>
              <w:left w:w="90" w:type="dxa"/>
              <w:bottom w:w="70" w:type="dxa"/>
              <w:right w:w="90" w:type="dxa"/>
            </w:tcMar>
            <w:vAlign w:val="center"/>
          </w:tcPr>
          <w:p w14:paraId="655616A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Production evidence in declared environment.</w:t>
            </w:r>
          </w:p>
        </w:tc>
        <w:tc>
          <w:tcPr>
            <w:tcW w:w="2592" w:type="dxa"/>
            <w:tcMar>
              <w:top w:w="70" w:type="dxa"/>
              <w:left w:w="90" w:type="dxa"/>
              <w:bottom w:w="70" w:type="dxa"/>
              <w:right w:w="90" w:type="dxa"/>
            </w:tcMar>
            <w:vAlign w:val="center"/>
          </w:tcPr>
          <w:p w14:paraId="32AFA24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General safety guarantee</w:t>
            </w:r>
          </w:p>
        </w:tc>
      </w:tr>
    </w:tbl>
    <w:p w14:paraId="3109AADA"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A1. Evidence classes and claim ceilings.</w:t>
      </w:r>
    </w:p>
    <w:p w14:paraId="5AEC411D"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B. Machine-Readable Promotion Decision</w:t>
      </w:r>
    </w:p>
    <w:p w14:paraId="348AE029" w14:textId="0B811F74"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promotion</w:t>
      </w:r>
      <w:r w:rsidR="00BA2D96">
        <w:rPr>
          <w:rFonts w:asciiTheme="majorHAnsi" w:hAnsiTheme="majorHAnsi"/>
          <w:color w:val="000000" w:themeColor="text1"/>
        </w:rPr>
        <w:t xml:space="preserve"> </w:t>
      </w:r>
      <w:r w:rsidRPr="002A2802">
        <w:rPr>
          <w:rFonts w:asciiTheme="majorHAnsi" w:hAnsiTheme="majorHAnsi"/>
          <w:color w:val="000000" w:themeColor="text1"/>
        </w:rPr>
        <w:t>decision.json schema separates scientific outcome from runtime success. A job may execute correctly and still return BLOCK or INCONCLUSIVE. The record carries the evidence needed for review, CI/CD, change management, or artifact storage.</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1584"/>
        <w:gridCol w:w="3744"/>
        <w:gridCol w:w="4752"/>
      </w:tblGrid>
      <w:tr w:rsidR="00A16D83" w:rsidRPr="002A2802" w14:paraId="47D3AEBA" w14:textId="77777777">
        <w:trPr>
          <w:cantSplit/>
          <w:tblHeader/>
          <w:jc w:val="center"/>
        </w:trPr>
        <w:tc>
          <w:tcPr>
            <w:tcW w:w="1584" w:type="dxa"/>
            <w:shd w:val="clear" w:color="auto" w:fill="DCE8EF"/>
            <w:tcMar>
              <w:top w:w="70" w:type="dxa"/>
              <w:left w:w="90" w:type="dxa"/>
              <w:bottom w:w="70" w:type="dxa"/>
              <w:right w:w="90" w:type="dxa"/>
            </w:tcMar>
            <w:vAlign w:val="center"/>
          </w:tcPr>
          <w:p w14:paraId="4EC64A94"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Field group</w:t>
            </w:r>
          </w:p>
        </w:tc>
        <w:tc>
          <w:tcPr>
            <w:tcW w:w="3744" w:type="dxa"/>
            <w:shd w:val="clear" w:color="auto" w:fill="DCE8EF"/>
            <w:tcMar>
              <w:top w:w="70" w:type="dxa"/>
              <w:left w:w="90" w:type="dxa"/>
              <w:bottom w:w="70" w:type="dxa"/>
              <w:right w:w="90" w:type="dxa"/>
            </w:tcMar>
            <w:vAlign w:val="center"/>
          </w:tcPr>
          <w:p w14:paraId="2827E6C2"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Representative fields</w:t>
            </w:r>
          </w:p>
        </w:tc>
        <w:tc>
          <w:tcPr>
            <w:tcW w:w="4752" w:type="dxa"/>
            <w:shd w:val="clear" w:color="auto" w:fill="DCE8EF"/>
            <w:tcMar>
              <w:top w:w="70" w:type="dxa"/>
              <w:left w:w="90" w:type="dxa"/>
              <w:bottom w:w="70" w:type="dxa"/>
              <w:right w:w="90" w:type="dxa"/>
            </w:tcMar>
            <w:vAlign w:val="center"/>
          </w:tcPr>
          <w:p w14:paraId="1DCC75E6"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Purpose</w:t>
            </w:r>
          </w:p>
        </w:tc>
      </w:tr>
      <w:tr w:rsidR="00A16D83" w:rsidRPr="002A2802" w14:paraId="21F94284" w14:textId="77777777">
        <w:trPr>
          <w:cantSplit/>
          <w:jc w:val="center"/>
        </w:trPr>
        <w:tc>
          <w:tcPr>
            <w:tcW w:w="1584" w:type="dxa"/>
            <w:tcMar>
              <w:top w:w="70" w:type="dxa"/>
              <w:left w:w="90" w:type="dxa"/>
              <w:bottom w:w="70" w:type="dxa"/>
              <w:right w:w="90" w:type="dxa"/>
            </w:tcMar>
            <w:vAlign w:val="center"/>
          </w:tcPr>
          <w:p w14:paraId="1EE2FBE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Identity</w:t>
            </w:r>
          </w:p>
        </w:tc>
        <w:tc>
          <w:tcPr>
            <w:tcW w:w="3744" w:type="dxa"/>
            <w:tcMar>
              <w:top w:w="70" w:type="dxa"/>
              <w:left w:w="90" w:type="dxa"/>
              <w:bottom w:w="70" w:type="dxa"/>
              <w:right w:w="90" w:type="dxa"/>
            </w:tcMar>
            <w:vAlign w:val="center"/>
          </w:tcPr>
          <w:p w14:paraId="04E76B39"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run_id, suite, timestamp_utc, schema_version</w:t>
            </w:r>
          </w:p>
        </w:tc>
        <w:tc>
          <w:tcPr>
            <w:tcW w:w="4752" w:type="dxa"/>
            <w:tcMar>
              <w:top w:w="70" w:type="dxa"/>
              <w:left w:w="90" w:type="dxa"/>
              <w:bottom w:w="70" w:type="dxa"/>
              <w:right w:w="90" w:type="dxa"/>
            </w:tcMar>
            <w:vAlign w:val="center"/>
          </w:tcPr>
          <w:p w14:paraId="3D091F0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Trace the decision to code, config, and evidence.</w:t>
            </w:r>
          </w:p>
        </w:tc>
      </w:tr>
      <w:tr w:rsidR="00A16D83" w:rsidRPr="002A2802" w14:paraId="672BE60C" w14:textId="77777777">
        <w:trPr>
          <w:cantSplit/>
          <w:jc w:val="center"/>
        </w:trPr>
        <w:tc>
          <w:tcPr>
            <w:tcW w:w="1584" w:type="dxa"/>
            <w:tcMar>
              <w:top w:w="70" w:type="dxa"/>
              <w:left w:w="90" w:type="dxa"/>
              <w:bottom w:w="70" w:type="dxa"/>
              <w:right w:w="90" w:type="dxa"/>
            </w:tcMar>
            <w:vAlign w:val="center"/>
          </w:tcPr>
          <w:p w14:paraId="7279810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w:t>
            </w:r>
          </w:p>
        </w:tc>
        <w:tc>
          <w:tcPr>
            <w:tcW w:w="3744" w:type="dxa"/>
            <w:tcMar>
              <w:top w:w="70" w:type="dxa"/>
              <w:left w:w="90" w:type="dxa"/>
              <w:bottom w:w="70" w:type="dxa"/>
              <w:right w:w="90" w:type="dxa"/>
            </w:tcMar>
            <w:vAlign w:val="center"/>
          </w:tcPr>
          <w:p w14:paraId="3A585A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decision, result_class, decision_reason</w:t>
            </w:r>
          </w:p>
        </w:tc>
        <w:tc>
          <w:tcPr>
            <w:tcW w:w="4752" w:type="dxa"/>
            <w:tcMar>
              <w:top w:w="70" w:type="dxa"/>
              <w:left w:w="90" w:type="dxa"/>
              <w:bottom w:w="70" w:type="dxa"/>
              <w:right w:w="90" w:type="dxa"/>
            </w:tcMar>
            <w:vAlign w:val="center"/>
          </w:tcPr>
          <w:p w14:paraId="6A98135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Separate runtime status from governance outcome.</w:t>
            </w:r>
          </w:p>
        </w:tc>
      </w:tr>
      <w:tr w:rsidR="00A16D83" w:rsidRPr="002A2802" w14:paraId="4907B76B" w14:textId="77777777">
        <w:trPr>
          <w:cantSplit/>
          <w:jc w:val="center"/>
        </w:trPr>
        <w:tc>
          <w:tcPr>
            <w:tcW w:w="1584" w:type="dxa"/>
            <w:tcMar>
              <w:top w:w="70" w:type="dxa"/>
              <w:left w:w="90" w:type="dxa"/>
              <w:bottom w:w="70" w:type="dxa"/>
              <w:right w:w="90" w:type="dxa"/>
            </w:tcMar>
            <w:vAlign w:val="center"/>
          </w:tcPr>
          <w:p w14:paraId="1A253F9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Selection</w:t>
            </w:r>
          </w:p>
        </w:tc>
        <w:tc>
          <w:tcPr>
            <w:tcW w:w="3744" w:type="dxa"/>
            <w:tcMar>
              <w:top w:w="70" w:type="dxa"/>
              <w:left w:w="90" w:type="dxa"/>
              <w:bottom w:w="70" w:type="dxa"/>
              <w:right w:w="90" w:type="dxa"/>
            </w:tcMar>
            <w:vAlign w:val="center"/>
          </w:tcPr>
          <w:p w14:paraId="2205468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selected_policy, baseline_policy</w:t>
            </w:r>
          </w:p>
        </w:tc>
        <w:tc>
          <w:tcPr>
            <w:tcW w:w="4752" w:type="dxa"/>
            <w:tcMar>
              <w:top w:w="70" w:type="dxa"/>
              <w:left w:w="90" w:type="dxa"/>
              <w:bottom w:w="70" w:type="dxa"/>
              <w:right w:w="90" w:type="dxa"/>
            </w:tcMar>
            <w:vAlign w:val="center"/>
          </w:tcPr>
          <w:p w14:paraId="3F700F4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Record what was compared and what, if anything, advances.</w:t>
            </w:r>
          </w:p>
        </w:tc>
      </w:tr>
      <w:tr w:rsidR="00A16D83" w:rsidRPr="002A2802" w14:paraId="4FE7DEE7" w14:textId="77777777">
        <w:trPr>
          <w:cantSplit/>
          <w:jc w:val="center"/>
        </w:trPr>
        <w:tc>
          <w:tcPr>
            <w:tcW w:w="1584" w:type="dxa"/>
            <w:tcMar>
              <w:top w:w="70" w:type="dxa"/>
              <w:left w:w="90" w:type="dxa"/>
              <w:bottom w:w="70" w:type="dxa"/>
              <w:right w:w="90" w:type="dxa"/>
            </w:tcMar>
            <w:vAlign w:val="center"/>
          </w:tcPr>
          <w:p w14:paraId="481451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Effects</w:t>
            </w:r>
          </w:p>
        </w:tc>
        <w:tc>
          <w:tcPr>
            <w:tcW w:w="3744" w:type="dxa"/>
            <w:tcMar>
              <w:top w:w="70" w:type="dxa"/>
              <w:left w:w="90" w:type="dxa"/>
              <w:bottom w:w="70" w:type="dxa"/>
              <w:right w:w="90" w:type="dxa"/>
            </w:tcMar>
            <w:vAlign w:val="center"/>
          </w:tcPr>
          <w:p w14:paraId="4E8475F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quality_delta, cost_delta, latency_delta, evidence_support_delta</w:t>
            </w:r>
          </w:p>
        </w:tc>
        <w:tc>
          <w:tcPr>
            <w:tcW w:w="4752" w:type="dxa"/>
            <w:tcMar>
              <w:top w:w="70" w:type="dxa"/>
              <w:left w:w="90" w:type="dxa"/>
              <w:bottom w:w="70" w:type="dxa"/>
              <w:right w:w="90" w:type="dxa"/>
            </w:tcMar>
            <w:vAlign w:val="center"/>
          </w:tcPr>
          <w:p w14:paraId="4AAFA8B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Expose the empirical basis.</w:t>
            </w:r>
          </w:p>
        </w:tc>
      </w:tr>
      <w:tr w:rsidR="00A16D83" w:rsidRPr="002A2802" w14:paraId="777C3FF2" w14:textId="77777777">
        <w:trPr>
          <w:cantSplit/>
          <w:jc w:val="center"/>
        </w:trPr>
        <w:tc>
          <w:tcPr>
            <w:tcW w:w="1584" w:type="dxa"/>
            <w:tcMar>
              <w:top w:w="70" w:type="dxa"/>
              <w:left w:w="90" w:type="dxa"/>
              <w:bottom w:w="70" w:type="dxa"/>
              <w:right w:w="90" w:type="dxa"/>
            </w:tcMar>
            <w:vAlign w:val="center"/>
          </w:tcPr>
          <w:p w14:paraId="0D5F11C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w:t>
            </w:r>
          </w:p>
        </w:tc>
        <w:tc>
          <w:tcPr>
            <w:tcW w:w="3744" w:type="dxa"/>
            <w:tcMar>
              <w:top w:w="70" w:type="dxa"/>
              <w:left w:w="90" w:type="dxa"/>
              <w:bottom w:w="70" w:type="dxa"/>
              <w:right w:w="90" w:type="dxa"/>
            </w:tcMar>
            <w:vAlign w:val="center"/>
          </w:tcPr>
          <w:p w14:paraId="133981D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risk_flags, claim_boundaries, validator_status</w:t>
            </w:r>
          </w:p>
        </w:tc>
        <w:tc>
          <w:tcPr>
            <w:tcW w:w="4752" w:type="dxa"/>
            <w:tcMar>
              <w:top w:w="70" w:type="dxa"/>
              <w:left w:w="90" w:type="dxa"/>
              <w:bottom w:w="70" w:type="dxa"/>
              <w:right w:w="90" w:type="dxa"/>
            </w:tcMar>
            <w:vAlign w:val="center"/>
          </w:tcPr>
          <w:p w14:paraId="2036F5B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Prevent operational gains from overriding disqualifiers.</w:t>
            </w:r>
          </w:p>
        </w:tc>
      </w:tr>
      <w:tr w:rsidR="00A16D83" w:rsidRPr="002A2802" w14:paraId="4469B262" w14:textId="77777777">
        <w:trPr>
          <w:cantSplit/>
          <w:jc w:val="center"/>
        </w:trPr>
        <w:tc>
          <w:tcPr>
            <w:tcW w:w="1584" w:type="dxa"/>
            <w:tcMar>
              <w:top w:w="70" w:type="dxa"/>
              <w:left w:w="90" w:type="dxa"/>
              <w:bottom w:w="70" w:type="dxa"/>
              <w:right w:w="90" w:type="dxa"/>
            </w:tcMar>
            <w:vAlign w:val="center"/>
          </w:tcPr>
          <w:p w14:paraId="74AE0D0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Artifacts</w:t>
            </w:r>
          </w:p>
        </w:tc>
        <w:tc>
          <w:tcPr>
            <w:tcW w:w="3744" w:type="dxa"/>
            <w:tcMar>
              <w:top w:w="70" w:type="dxa"/>
              <w:left w:w="90" w:type="dxa"/>
              <w:bottom w:w="70" w:type="dxa"/>
              <w:right w:w="90" w:type="dxa"/>
            </w:tcMar>
            <w:vAlign w:val="center"/>
          </w:tcPr>
          <w:p w14:paraId="543728A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artifact_uris, manifest hashes</w:t>
            </w:r>
          </w:p>
        </w:tc>
        <w:tc>
          <w:tcPr>
            <w:tcW w:w="4752" w:type="dxa"/>
            <w:tcMar>
              <w:top w:w="70" w:type="dxa"/>
              <w:left w:w="90" w:type="dxa"/>
              <w:bottom w:w="70" w:type="dxa"/>
              <w:right w:w="90" w:type="dxa"/>
            </w:tcMar>
            <w:vAlign w:val="center"/>
          </w:tcPr>
          <w:p w14:paraId="631F576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5"/>
              </w:rPr>
              <w:t>Support independent review and tamper detection.</w:t>
            </w:r>
          </w:p>
        </w:tc>
      </w:tr>
    </w:tbl>
    <w:p w14:paraId="25ED45E0"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B1. Promotion-decision schema groups.</w:t>
      </w:r>
    </w:p>
    <w:p w14:paraId="1A9E67E9"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C. Current Claim Status</w:t>
      </w:r>
    </w:p>
    <w:p w14:paraId="4A051EB3" w14:textId="77777777" w:rsidR="00A16D83" w:rsidRPr="002A2802" w:rsidRDefault="0034031E">
      <w:pPr>
        <w:pStyle w:val="BodyText"/>
        <w:spacing w:after="84" w:line="254" w:lineRule="auto"/>
        <w:jc w:val="both"/>
        <w:rPr>
          <w:rFonts w:asciiTheme="majorHAnsi" w:hAnsiTheme="majorHAnsi"/>
          <w:color w:val="000000" w:themeColor="text1"/>
        </w:rPr>
      </w:pPr>
      <w:r w:rsidRPr="002A2802">
        <w:rPr>
          <w:rFonts w:asciiTheme="majorHAnsi" w:hAnsiTheme="majorHAnsi"/>
          <w:color w:val="000000" w:themeColor="text1"/>
        </w:rPr>
        <w:t>The release candidate supports a bounded governance-and-systems claim. It does not support optimizer superiority, stable generative efficiency gains, human validation, official platform benchmarking, production readiness, or hallucination elimination.</w:t>
      </w:r>
    </w:p>
    <w:tbl>
      <w:tblPr>
        <w:tblW w:w="0" w:type="auto"/>
        <w:jc w:val="center"/>
        <w:tblBorders>
          <w:top w:val="single" w:sz="6" w:space="0" w:color="8A99A6"/>
          <w:left w:val="single" w:sz="6" w:space="0" w:color="8A99A6"/>
          <w:bottom w:val="single" w:sz="6" w:space="0" w:color="8A99A6"/>
          <w:right w:val="single" w:sz="6" w:space="0" w:color="8A99A6"/>
          <w:insideH w:val="single" w:sz="6" w:space="0" w:color="8A99A6"/>
          <w:insideV w:val="single" w:sz="6" w:space="0" w:color="8A99A6"/>
        </w:tblBorders>
        <w:tblLayout w:type="fixed"/>
        <w:tblLook w:val="04A0" w:firstRow="1" w:lastRow="0" w:firstColumn="1" w:lastColumn="0" w:noHBand="0" w:noVBand="1"/>
      </w:tblPr>
      <w:tblGrid>
        <w:gridCol w:w="2520"/>
        <w:gridCol w:w="2088"/>
        <w:gridCol w:w="5472"/>
      </w:tblGrid>
      <w:tr w:rsidR="00A16D83" w:rsidRPr="002A2802" w14:paraId="256E8447" w14:textId="77777777">
        <w:trPr>
          <w:cantSplit/>
          <w:tblHeader/>
          <w:jc w:val="center"/>
        </w:trPr>
        <w:tc>
          <w:tcPr>
            <w:tcW w:w="2520" w:type="dxa"/>
            <w:shd w:val="clear" w:color="auto" w:fill="DCE8EF"/>
            <w:tcMar>
              <w:top w:w="70" w:type="dxa"/>
              <w:left w:w="90" w:type="dxa"/>
              <w:bottom w:w="70" w:type="dxa"/>
              <w:right w:w="90" w:type="dxa"/>
            </w:tcMar>
            <w:vAlign w:val="center"/>
          </w:tcPr>
          <w:p w14:paraId="417796B0"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Claim</w:t>
            </w:r>
          </w:p>
        </w:tc>
        <w:tc>
          <w:tcPr>
            <w:tcW w:w="2088" w:type="dxa"/>
            <w:shd w:val="clear" w:color="auto" w:fill="DCE8EF"/>
            <w:tcMar>
              <w:top w:w="70" w:type="dxa"/>
              <w:left w:w="90" w:type="dxa"/>
              <w:bottom w:w="70" w:type="dxa"/>
              <w:right w:w="90" w:type="dxa"/>
            </w:tcMar>
            <w:vAlign w:val="center"/>
          </w:tcPr>
          <w:p w14:paraId="23DCB9BA"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Status at v0.1.1-rc1</w:t>
            </w:r>
          </w:p>
        </w:tc>
        <w:tc>
          <w:tcPr>
            <w:tcW w:w="5472" w:type="dxa"/>
            <w:shd w:val="clear" w:color="auto" w:fill="DCE8EF"/>
            <w:tcMar>
              <w:top w:w="70" w:type="dxa"/>
              <w:left w:w="90" w:type="dxa"/>
              <w:bottom w:w="70" w:type="dxa"/>
              <w:right w:w="90" w:type="dxa"/>
            </w:tcMar>
            <w:vAlign w:val="center"/>
          </w:tcPr>
          <w:p w14:paraId="65CDDB9A" w14:textId="77777777" w:rsidR="00A16D83" w:rsidRPr="002A2802" w:rsidRDefault="0034031E">
            <w:pPr>
              <w:spacing w:after="0" w:line="240" w:lineRule="auto"/>
              <w:jc w:val="center"/>
              <w:rPr>
                <w:rFonts w:asciiTheme="majorHAnsi" w:hAnsiTheme="majorHAnsi"/>
                <w:color w:val="000000" w:themeColor="text1"/>
              </w:rPr>
            </w:pPr>
            <w:r w:rsidRPr="002A2802">
              <w:rPr>
                <w:rFonts w:asciiTheme="majorHAnsi" w:hAnsiTheme="majorHAnsi"/>
                <w:color w:val="000000" w:themeColor="text1"/>
                <w:sz w:val="15"/>
              </w:rPr>
              <w:t>Evidence boundary</w:t>
            </w:r>
          </w:p>
        </w:tc>
      </w:tr>
      <w:tr w:rsidR="00A16D83" w:rsidRPr="002A2802" w14:paraId="10312EB3" w14:textId="77777777">
        <w:trPr>
          <w:cantSplit/>
          <w:jc w:val="center"/>
        </w:trPr>
        <w:tc>
          <w:tcPr>
            <w:tcW w:w="2520" w:type="dxa"/>
            <w:tcMar>
              <w:top w:w="70" w:type="dxa"/>
              <w:left w:w="90" w:type="dxa"/>
              <w:bottom w:w="70" w:type="dxa"/>
              <w:right w:w="90" w:type="dxa"/>
            </w:tcMar>
            <w:vAlign w:val="center"/>
          </w:tcPr>
          <w:p w14:paraId="1BD56FC3"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Open-source governance engine</w:t>
            </w:r>
          </w:p>
        </w:tc>
        <w:tc>
          <w:tcPr>
            <w:tcW w:w="2088" w:type="dxa"/>
            <w:tcMar>
              <w:top w:w="70" w:type="dxa"/>
              <w:left w:w="90" w:type="dxa"/>
              <w:bottom w:w="70" w:type="dxa"/>
              <w:right w:w="90" w:type="dxa"/>
            </w:tcMar>
            <w:vAlign w:val="center"/>
          </w:tcPr>
          <w:p w14:paraId="662D48C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w:t>
            </w:r>
          </w:p>
        </w:tc>
        <w:tc>
          <w:tcPr>
            <w:tcW w:w="5472" w:type="dxa"/>
            <w:tcMar>
              <w:top w:w="70" w:type="dxa"/>
              <w:left w:w="90" w:type="dxa"/>
              <w:bottom w:w="70" w:type="dxa"/>
              <w:right w:w="90" w:type="dxa"/>
            </w:tcMar>
            <w:vAlign w:val="center"/>
          </w:tcPr>
          <w:p w14:paraId="724D07CD"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Fresh clone, CLI, public mini, schemas, tests, Docker job</w:t>
            </w:r>
          </w:p>
        </w:tc>
      </w:tr>
      <w:tr w:rsidR="00A16D83" w:rsidRPr="002A2802" w14:paraId="7247EAD1" w14:textId="77777777">
        <w:trPr>
          <w:cantSplit/>
          <w:jc w:val="center"/>
        </w:trPr>
        <w:tc>
          <w:tcPr>
            <w:tcW w:w="2520" w:type="dxa"/>
            <w:tcMar>
              <w:top w:w="70" w:type="dxa"/>
              <w:left w:w="90" w:type="dxa"/>
              <w:bottom w:w="70" w:type="dxa"/>
              <w:right w:w="90" w:type="dxa"/>
            </w:tcMar>
            <w:vAlign w:val="center"/>
          </w:tcPr>
          <w:p w14:paraId="49D939CE"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CRAG source/retrieval governance signal</w:t>
            </w:r>
          </w:p>
        </w:tc>
        <w:tc>
          <w:tcPr>
            <w:tcW w:w="2088" w:type="dxa"/>
            <w:tcMar>
              <w:top w:w="70" w:type="dxa"/>
              <w:left w:w="90" w:type="dxa"/>
              <w:bottom w:w="70" w:type="dxa"/>
              <w:right w:w="90" w:type="dxa"/>
            </w:tcMar>
            <w:vAlign w:val="center"/>
          </w:tcPr>
          <w:p w14:paraId="2D8B773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with boundaries</w:t>
            </w:r>
          </w:p>
        </w:tc>
        <w:tc>
          <w:tcPr>
            <w:tcW w:w="5472" w:type="dxa"/>
            <w:tcMar>
              <w:top w:w="70" w:type="dxa"/>
              <w:left w:w="90" w:type="dxa"/>
              <w:bottom w:w="70" w:type="dxa"/>
              <w:right w:w="90" w:type="dxa"/>
            </w:tcMar>
            <w:vAlign w:val="center"/>
          </w:tcPr>
          <w:p w14:paraId="5A68671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Mock-API result is cost/latency driven and uses a restricted dataset</w:t>
            </w:r>
          </w:p>
        </w:tc>
      </w:tr>
      <w:tr w:rsidR="00A16D83" w:rsidRPr="002A2802" w14:paraId="3C000BA6" w14:textId="77777777">
        <w:trPr>
          <w:cantSplit/>
          <w:jc w:val="center"/>
        </w:trPr>
        <w:tc>
          <w:tcPr>
            <w:tcW w:w="2520" w:type="dxa"/>
            <w:tcMar>
              <w:top w:w="70" w:type="dxa"/>
              <w:left w:w="90" w:type="dxa"/>
              <w:bottom w:w="70" w:type="dxa"/>
              <w:right w:w="90" w:type="dxa"/>
            </w:tcMar>
            <w:vAlign w:val="center"/>
          </w:tcPr>
          <w:p w14:paraId="4C0851B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Selector governance blocks unsafe choices</w:t>
            </w:r>
          </w:p>
        </w:tc>
        <w:tc>
          <w:tcPr>
            <w:tcW w:w="2088" w:type="dxa"/>
            <w:tcMar>
              <w:top w:w="70" w:type="dxa"/>
              <w:left w:w="90" w:type="dxa"/>
              <w:bottom w:w="70" w:type="dxa"/>
              <w:right w:w="90" w:type="dxa"/>
            </w:tcMar>
            <w:vAlign w:val="center"/>
          </w:tcPr>
          <w:p w14:paraId="76344BD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Supported as stress-test evidence</w:t>
            </w:r>
          </w:p>
        </w:tc>
        <w:tc>
          <w:tcPr>
            <w:tcW w:w="5472" w:type="dxa"/>
            <w:tcMar>
              <w:top w:w="70" w:type="dxa"/>
              <w:left w:w="90" w:type="dxa"/>
              <w:bottom w:w="70" w:type="dxa"/>
              <w:right w:w="90" w:type="dxa"/>
            </w:tcMar>
            <w:vAlign w:val="center"/>
          </w:tcPr>
          <w:p w14:paraId="4F4F9B2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Packaged cases; not a population estimate</w:t>
            </w:r>
          </w:p>
        </w:tc>
      </w:tr>
      <w:tr w:rsidR="00A16D83" w:rsidRPr="002A2802" w14:paraId="1B3465BB" w14:textId="77777777">
        <w:trPr>
          <w:cantSplit/>
          <w:jc w:val="center"/>
        </w:trPr>
        <w:tc>
          <w:tcPr>
            <w:tcW w:w="2520" w:type="dxa"/>
            <w:tcMar>
              <w:top w:w="70" w:type="dxa"/>
              <w:left w:w="90" w:type="dxa"/>
              <w:bottom w:w="70" w:type="dxa"/>
              <w:right w:w="90" w:type="dxa"/>
            </w:tcMar>
            <w:vAlign w:val="center"/>
          </w:tcPr>
          <w:p w14:paraId="68CBA90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RAG Compass superiority</w:t>
            </w:r>
          </w:p>
        </w:tc>
        <w:tc>
          <w:tcPr>
            <w:tcW w:w="2088" w:type="dxa"/>
            <w:tcMar>
              <w:top w:w="70" w:type="dxa"/>
              <w:left w:w="90" w:type="dxa"/>
              <w:bottom w:w="70" w:type="dxa"/>
              <w:right w:w="90" w:type="dxa"/>
            </w:tcMar>
            <w:vAlign w:val="center"/>
          </w:tcPr>
          <w:p w14:paraId="68208DEB"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43F14D6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Ranks below alternatives in multiple runs</w:t>
            </w:r>
          </w:p>
        </w:tc>
      </w:tr>
      <w:tr w:rsidR="00A16D83" w:rsidRPr="002A2802" w14:paraId="461E8DF9" w14:textId="77777777">
        <w:trPr>
          <w:cantSplit/>
          <w:jc w:val="center"/>
        </w:trPr>
        <w:tc>
          <w:tcPr>
            <w:tcW w:w="2520" w:type="dxa"/>
            <w:tcMar>
              <w:top w:w="70" w:type="dxa"/>
              <w:left w:w="90" w:type="dxa"/>
              <w:bottom w:w="70" w:type="dxa"/>
              <w:right w:w="90" w:type="dxa"/>
            </w:tcMar>
            <w:vAlign w:val="center"/>
          </w:tcPr>
          <w:p w14:paraId="442F7892"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Stable generative cost/latency superiority</w:t>
            </w:r>
          </w:p>
        </w:tc>
        <w:tc>
          <w:tcPr>
            <w:tcW w:w="2088" w:type="dxa"/>
            <w:tcMar>
              <w:top w:w="70" w:type="dxa"/>
              <w:left w:w="90" w:type="dxa"/>
              <w:bottom w:w="70" w:type="dxa"/>
              <w:right w:w="90" w:type="dxa"/>
            </w:tcMar>
            <w:vAlign w:val="center"/>
          </w:tcPr>
          <w:p w14:paraId="6C31575F"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3BF1CBA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Positive primary slice did not replicate</w:t>
            </w:r>
          </w:p>
        </w:tc>
      </w:tr>
      <w:tr w:rsidR="00A16D83" w:rsidRPr="002A2802" w14:paraId="03BCF97D" w14:textId="77777777">
        <w:trPr>
          <w:cantSplit/>
          <w:jc w:val="center"/>
        </w:trPr>
        <w:tc>
          <w:tcPr>
            <w:tcW w:w="2520" w:type="dxa"/>
            <w:tcMar>
              <w:top w:w="70" w:type="dxa"/>
              <w:left w:w="90" w:type="dxa"/>
              <w:bottom w:w="70" w:type="dxa"/>
              <w:right w:w="90" w:type="dxa"/>
            </w:tcMar>
            <w:vAlign w:val="center"/>
          </w:tcPr>
          <w:p w14:paraId="1D396E2A"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Human validation</w:t>
            </w:r>
          </w:p>
        </w:tc>
        <w:tc>
          <w:tcPr>
            <w:tcW w:w="2088" w:type="dxa"/>
            <w:tcMar>
              <w:top w:w="70" w:type="dxa"/>
              <w:left w:w="90" w:type="dxa"/>
              <w:bottom w:w="70" w:type="dxa"/>
              <w:right w:w="90" w:type="dxa"/>
            </w:tcMar>
            <w:vAlign w:val="center"/>
          </w:tcPr>
          <w:p w14:paraId="3F43F98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2DC899B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completed annotations</w:t>
            </w:r>
          </w:p>
        </w:tc>
      </w:tr>
      <w:tr w:rsidR="00A16D83" w:rsidRPr="002A2802" w14:paraId="4B2AB87D" w14:textId="77777777">
        <w:trPr>
          <w:cantSplit/>
          <w:jc w:val="center"/>
        </w:trPr>
        <w:tc>
          <w:tcPr>
            <w:tcW w:w="2520" w:type="dxa"/>
            <w:tcMar>
              <w:top w:w="70" w:type="dxa"/>
              <w:left w:w="90" w:type="dxa"/>
              <w:bottom w:w="70" w:type="dxa"/>
              <w:right w:w="90" w:type="dxa"/>
            </w:tcMar>
            <w:vAlign w:val="center"/>
          </w:tcPr>
          <w:p w14:paraId="03BBF04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Official platform benchmarking</w:t>
            </w:r>
          </w:p>
        </w:tc>
        <w:tc>
          <w:tcPr>
            <w:tcW w:w="2088" w:type="dxa"/>
            <w:tcMar>
              <w:top w:w="70" w:type="dxa"/>
              <w:left w:w="90" w:type="dxa"/>
              <w:bottom w:w="70" w:type="dxa"/>
              <w:right w:w="90" w:type="dxa"/>
            </w:tcMar>
            <w:vAlign w:val="center"/>
          </w:tcPr>
          <w:p w14:paraId="5BFC97CC"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04585111"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Adapters/templates only; no platform-native runs</w:t>
            </w:r>
          </w:p>
        </w:tc>
      </w:tr>
      <w:tr w:rsidR="00A16D83" w:rsidRPr="002A2802" w14:paraId="51476057" w14:textId="77777777">
        <w:trPr>
          <w:cantSplit/>
          <w:jc w:val="center"/>
        </w:trPr>
        <w:tc>
          <w:tcPr>
            <w:tcW w:w="2520" w:type="dxa"/>
            <w:tcMar>
              <w:top w:w="70" w:type="dxa"/>
              <w:left w:w="90" w:type="dxa"/>
              <w:bottom w:w="70" w:type="dxa"/>
              <w:right w:w="90" w:type="dxa"/>
            </w:tcMar>
            <w:vAlign w:val="center"/>
          </w:tcPr>
          <w:p w14:paraId="40F47FE8"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lastRenderedPageBreak/>
              <w:t>Production readiness</w:t>
            </w:r>
          </w:p>
        </w:tc>
        <w:tc>
          <w:tcPr>
            <w:tcW w:w="2088" w:type="dxa"/>
            <w:tcMar>
              <w:top w:w="70" w:type="dxa"/>
              <w:left w:w="90" w:type="dxa"/>
              <w:bottom w:w="70" w:type="dxa"/>
              <w:right w:w="90" w:type="dxa"/>
            </w:tcMar>
            <w:vAlign w:val="center"/>
          </w:tcPr>
          <w:p w14:paraId="7EDBC1B7"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4FA392E6"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Local hardened Docker validation is not production operation</w:t>
            </w:r>
          </w:p>
        </w:tc>
      </w:tr>
      <w:tr w:rsidR="00A16D83" w:rsidRPr="002A2802" w14:paraId="7DF31581" w14:textId="77777777">
        <w:trPr>
          <w:cantSplit/>
          <w:jc w:val="center"/>
        </w:trPr>
        <w:tc>
          <w:tcPr>
            <w:tcW w:w="2520" w:type="dxa"/>
            <w:tcMar>
              <w:top w:w="70" w:type="dxa"/>
              <w:left w:w="90" w:type="dxa"/>
              <w:bottom w:w="70" w:type="dxa"/>
              <w:right w:w="90" w:type="dxa"/>
            </w:tcMar>
            <w:vAlign w:val="center"/>
          </w:tcPr>
          <w:p w14:paraId="3A47BAD4"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Hallucination elimination</w:t>
            </w:r>
          </w:p>
        </w:tc>
        <w:tc>
          <w:tcPr>
            <w:tcW w:w="2088" w:type="dxa"/>
            <w:tcMar>
              <w:top w:w="70" w:type="dxa"/>
              <w:left w:w="90" w:type="dxa"/>
              <w:bottom w:w="70" w:type="dxa"/>
              <w:right w:w="90" w:type="dxa"/>
            </w:tcMar>
            <w:vAlign w:val="center"/>
          </w:tcPr>
          <w:p w14:paraId="6CD72CF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Unsupported</w:t>
            </w:r>
          </w:p>
        </w:tc>
        <w:tc>
          <w:tcPr>
            <w:tcW w:w="5472" w:type="dxa"/>
            <w:tcMar>
              <w:top w:w="70" w:type="dxa"/>
              <w:left w:w="90" w:type="dxa"/>
              <w:bottom w:w="70" w:type="dxa"/>
              <w:right w:w="90" w:type="dxa"/>
            </w:tcMar>
            <w:vAlign w:val="center"/>
          </w:tcPr>
          <w:p w14:paraId="15E499F5" w14:textId="77777777" w:rsidR="00A16D83" w:rsidRPr="002A2802" w:rsidRDefault="0034031E">
            <w:pPr>
              <w:spacing w:after="0" w:line="240" w:lineRule="auto"/>
              <w:rPr>
                <w:rFonts w:asciiTheme="majorHAnsi" w:hAnsiTheme="majorHAnsi"/>
                <w:color w:val="000000" w:themeColor="text1"/>
              </w:rPr>
            </w:pPr>
            <w:r w:rsidRPr="002A2802">
              <w:rPr>
                <w:rFonts w:asciiTheme="majorHAnsi" w:hAnsiTheme="majorHAnsi"/>
                <w:color w:val="000000" w:themeColor="text1"/>
                <w:sz w:val="14"/>
              </w:rPr>
              <w:t>No such guarantee is tested</w:t>
            </w:r>
          </w:p>
        </w:tc>
      </w:tr>
    </w:tbl>
    <w:p w14:paraId="718CFD55" w14:textId="77777777" w:rsidR="00A16D83" w:rsidRPr="002A2802" w:rsidRDefault="0034031E">
      <w:pPr>
        <w:keepLines/>
        <w:spacing w:before="60" w:after="140"/>
        <w:jc w:val="center"/>
        <w:rPr>
          <w:rFonts w:asciiTheme="majorHAnsi" w:hAnsiTheme="majorHAnsi"/>
          <w:color w:val="000000" w:themeColor="text1"/>
        </w:rPr>
      </w:pPr>
      <w:r w:rsidRPr="002A2802">
        <w:rPr>
          <w:rFonts w:asciiTheme="majorHAnsi" w:hAnsiTheme="majorHAnsi"/>
          <w:color w:val="000000" w:themeColor="text1"/>
          <w:sz w:val="16"/>
        </w:rPr>
        <w:t>Table C1. Explicitly supported and unsupported claims.</w:t>
      </w:r>
    </w:p>
    <w:p w14:paraId="48DF8F4E"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t>Appendix D. Statistical Audit History</w:t>
      </w:r>
    </w:p>
    <w:p w14:paraId="43896CB1"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An early offline public real-RAG grouped-split run reported RAG Compass ahead of a validation-selected baseline by 0.0488 with a zero-width bootstrap interval. The result appeared precise because 49,850 paired example-seed rows were available across 4,985 unique examples and 10 seeds.</w:t>
      </w:r>
    </w:p>
    <w:p w14:paraId="0A1B957A" w14:textId="45685724"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 xml:space="preserve">A row-level reconstruction found only one unique paired delta. Query, cluster, dataset-blocked, seed, and hierarchical resampling therefore repeated the same aggregate policy difference rather than exposing query-level variation. </w:t>
      </w:r>
      <w:r w:rsidR="0090312D">
        <w:rPr>
          <w:rFonts w:asciiTheme="majorHAnsi" w:hAnsiTheme="majorHAnsi"/>
          <w:color w:val="000000" w:themeColor="text1"/>
        </w:rPr>
        <w:t>RAGWarrant</w:t>
      </w:r>
      <w:r w:rsidRPr="002A2802">
        <w:rPr>
          <w:rFonts w:asciiTheme="majorHAnsi" w:hAnsiTheme="majorHAnsi"/>
          <w:color w:val="000000" w:themeColor="text1"/>
        </w:rPr>
        <w:t xml:space="preserve"> retained the original run as descriptive candidate-output evidence but marked it inconclusive for calibrated query-level uncertainty.</w:t>
      </w:r>
    </w:p>
    <w:p w14:paraId="5F420E42" w14:textId="77777777" w:rsidR="00A16D83" w:rsidRPr="002A2802" w:rsidRDefault="0034031E">
      <w:pPr>
        <w:pStyle w:val="BodyText"/>
        <w:spacing w:after="84" w:line="254" w:lineRule="auto"/>
        <w:ind w:firstLine="317"/>
        <w:jc w:val="both"/>
        <w:rPr>
          <w:rFonts w:asciiTheme="majorHAnsi" w:hAnsiTheme="majorHAnsi"/>
          <w:color w:val="000000" w:themeColor="text1"/>
        </w:rPr>
      </w:pPr>
      <w:r w:rsidRPr="002A2802">
        <w:rPr>
          <w:rFonts w:asciiTheme="majorHAnsi" w:hAnsiTheme="majorHAnsi"/>
          <w:color w:val="000000" w:themeColor="text1"/>
        </w:rPr>
        <w:t>The episode motivated three changes: checks for nonconstant paired signals, refusal to report one bootstrap under multiple labels, and a historical evidence ledger that can narrow a prior claim without deleting the record. It is included here because it illustrates the framework's correction mechanism rather than a current empirical result.</w:t>
      </w:r>
    </w:p>
    <w:p w14:paraId="0429E8E0" w14:textId="77777777" w:rsidR="00A16D83" w:rsidRPr="002A2802" w:rsidRDefault="0034031E">
      <w:pPr>
        <w:rPr>
          <w:rFonts w:asciiTheme="majorHAnsi" w:hAnsiTheme="majorHAnsi"/>
          <w:color w:val="000000" w:themeColor="text1"/>
        </w:rPr>
      </w:pPr>
      <w:r w:rsidRPr="002A2802">
        <w:rPr>
          <w:rFonts w:asciiTheme="majorHAnsi" w:hAnsiTheme="majorHAnsi"/>
          <w:color w:val="000000" w:themeColor="text1"/>
        </w:rPr>
        <w:br w:type="page"/>
      </w:r>
    </w:p>
    <w:p w14:paraId="56D78642" w14:textId="77777777" w:rsidR="00A16D83" w:rsidRPr="002A2802" w:rsidRDefault="0034031E">
      <w:pPr>
        <w:pStyle w:val="Heading1"/>
        <w:spacing w:before="180" w:after="80"/>
        <w:rPr>
          <w:b w:val="0"/>
          <w:bCs w:val="0"/>
          <w:color w:val="000000" w:themeColor="text1"/>
        </w:rPr>
      </w:pPr>
      <w:r w:rsidRPr="002A2802">
        <w:rPr>
          <w:b w:val="0"/>
          <w:bCs w:val="0"/>
          <w:color w:val="000000" w:themeColor="text1"/>
          <w:sz w:val="30"/>
        </w:rPr>
        <w:lastRenderedPageBreak/>
        <w:t>References</w:t>
      </w:r>
    </w:p>
    <w:p w14:paraId="2546644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 P. Lewis, E. Perez, A. Piktus, et al., 'Retrieval-Augmented Generation for Knowledge-Intensive NLP Tasks,' Advances in Neural Information Processing Systems, vol. 33, pp. 9459-9474, 2020. arXiv:2005.11401.</w:t>
      </w:r>
    </w:p>
    <w:p w14:paraId="1880AFAA"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[2] Y. Gao, Y. Xiong, X. Gao, et al., 'Retrieval-Augmented Generation for Large Language Models: A Survey,' arXiv:2312.10997, 2023; revised 2024.</w:t>
      </w:r>
    </w:p>
    <w:p w14:paraId="1BDFBA04"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[3] S. Es, J. James, L. Espinosa-Anke, and S. Schockaert, 'RAGAS: Automated Evaluation of Retrieval Augmented Generation,' arXiv:2309.15217, 2023.</w:t>
      </w:r>
    </w:p>
    <w:p w14:paraId="70EFFA3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[4] J. Saad-Falcon, O. Khattab, C. Potts, and M. Zaharia, 'ARES: An Automated Evaluation Framework for Retrieval-Augmented Generation Systems,' arXiv:2311.09476, 2023; NAACL 2024.</w:t>
      </w:r>
    </w:p>
    <w:p w14:paraId="415E730F"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[5] D. Ru, L. Qiu, X. Hu, et al., 'RAGChecker: A Fine-grained Framework for Diagnosing Retrieval-Augmented Generation,' arXiv:2408.08067, 2024.</w:t>
      </w:r>
    </w:p>
    <w:p w14:paraId="5F70DBF1"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[6] R. Friel, M. Belyi, and A. Sanyal, 'RAGBench: Explainable Benchmark for Retrieval-Augmented Generation Systems,' arXiv:2407.11005, 2024.</w:t>
      </w:r>
    </w:p>
    <w:p w14:paraId="07B2900F"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[7] X. Yang, K. Sun, H. Xin, et al., 'CRAG: Comprehensive RAG Benchmark,' arXiv:2406.04744, 2024.</w:t>
      </w:r>
    </w:p>
    <w:p w14:paraId="684D4B51"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[8] Z. Yang, P. Qi, S. Zhang, et al., 'HotpotQA: A Dataset for Diverse, Explainable Multi-hop Question Answering,' Proceedings of EMNLP, pp. 2369-2380, 2018. arXiv:1809.09600.</w:t>
      </w:r>
    </w:p>
    <w:p w14:paraId="784F414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[9] O. Khattab, A. Singhvi, P. Maheshwari, et al., 'DSPy: Compiling Declarative Language Model Calls into Self-Improving Pipelines,' arXiv:2310.03714, 2023; ICLR 2024.</w:t>
      </w:r>
    </w:p>
    <w:p w14:paraId="138865B7"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[10] J. Chen, H. Lin, X. Han, and L. Sun, 'Benchmarking Large Language Models in Retrieval-Augmented Generation,' Proceedings of AAAI, 2024. arXiv:2309.01431.</w:t>
      </w:r>
    </w:p>
    <w:p w14:paraId="72B2C90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[11] E. Tabassi, Artificial Intelligence Risk Management Framework (AI RMF 1.0), NIST AI 100-1, National Institute of Standards and Technology, 2023. doi:10.6028/NIST.AI.100-1.</w:t>
      </w:r>
    </w:p>
    <w:p w14:paraId="4FD66662"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[12] C. Autio, R. Schwartz, J. Dunietz, et al., Artificial Intelligence Risk Management Framework: Generative Artificial Intelligence Profile, NIST AI 600-1, 2024. doi:10.6028/NIST.AI.600-1.</w:t>
      </w:r>
    </w:p>
    <w:p w14:paraId="6F22A5D3"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[13] International Organization for Standardization, ISO/IEC 42001:2023, Information Technology-Artificial Intelligence-Management System, 2023.</w:t>
      </w:r>
    </w:p>
    <w:p w14:paraId="1F4082E5"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[14] D. Sculley, G. Holt, D. Golovin, et al., 'Hidden Technical Debt in Machine Learning Systems,' Advances in Neural Information Processing Systems, vol. 28, pp. 2503-2511, 2015.</w:t>
      </w:r>
    </w:p>
    <w:p w14:paraId="08EA4C9C"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[15] E. Breck, S. Cai, E. Nielsen, M. Salib, and D. Sculley, 'The ML Test Score: A Rubric for ML Production Readiness and Technical Debt Reduction,' IEEE International Conference on Big Data, pp. 1123-1132, 2017. doi:10.1109/BigData.2017.8258038.</w:t>
      </w:r>
    </w:p>
    <w:p w14:paraId="1F899FBE"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[16] S. Wellek, Testing Statistical Hypotheses of Equivalence and Noninferiority, 2nd ed., Chapman &amp; Hall/CRC, 2010.</w:t>
      </w:r>
    </w:p>
    <w:p w14:paraId="7DC1EFCC"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[17] G. Piaggio, D. R. Elbourne, S. J. Pocock, S. J. W. Evans, and D. G. Altman, 'Reporting of Noninferiority and Equivalence Randomized Trials: Extension of the CONSORT 2010 Statement,' JAMA, vol. 308, no. 24, pp. 2594-2604, 2012. doi:10.1001/jama.2012.87802.</w:t>
      </w:r>
    </w:p>
    <w:p w14:paraId="141952A8"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[18] LangChain, 'LangSmith Evaluation Concepts,' documentation, accessed August 2026. https://docs.langchain.com/langsmith/evaluation-concepts.</w:t>
      </w:r>
    </w:p>
    <w:p w14:paraId="2A84BFF0" w14:textId="77777777" w:rsidR="00A16D83" w:rsidRPr="002A2802" w:rsidRDefault="0034031E">
      <w:pPr>
        <w:spacing w:after="42" w:line="240" w:lineRule="auto"/>
        <w:ind w:left="331" w:hanging="331"/>
        <w:rPr>
          <w:rFonts w:asciiTheme="majorHAnsi" w:hAnsiTheme="majorHAnsi"/>
          <w:color w:val="000000" w:themeColor="text1"/>
        </w:rPr>
      </w:pPr>
      <w:r w:rsidRPr="002A2802">
        <w:rPr>
          <w:rFonts w:asciiTheme="majorHAnsi" w:hAnsiTheme="majorHAnsi"/>
          <w:color w:val="000000" w:themeColor="text1"/>
          <w:sz w:val="16"/>
        </w:rPr>
        <w:t>[19] Arize AI, 'Phoenix: AI Observability and Evaluation,' open-source documentation, accessed August 2026. https://arize.com/docs/phoenix/.</w:t>
      </w:r>
    </w:p>
    <w:p w14:paraId="41C429E9" w14:textId="47E581ED" w:rsidR="00A16D83" w:rsidRPr="002A2802" w:rsidRDefault="0034031E">
      <w:pPr>
        <w:spacing w:after="42" w:line="240" w:lineRule="auto"/>
        <w:ind w:left="331" w:hanging="331"/>
        <w:rPr>
          <w:rFonts w:asciiTheme="majorHAnsi" w:hAnsiTheme="majorHAnsi"/>
          <w:color w:val="000000" w:themeColor="text1"/>
        </w:rPr>
      </w:pPr>
      <w:r>
        <w:rPr>
          <w:sz w:val="16"/>
        </w:rPr>
        <w:t>[20] AIM-</w:t>
      </w:r>
      <w:r w:rsidR="0090312D">
        <w:rPr>
          <w:sz w:val="16"/>
        </w:rPr>
        <w:t>RAGWarrant</w:t>
      </w:r>
      <w:r>
        <w:rPr>
          <w:sz w:val="16"/>
        </w:rPr>
        <w:t xml:space="preserve"> Contributors, </w:t>
      </w:r>
      <w:r w:rsidR="0090312D">
        <w:rPr>
          <w:sz w:val="16"/>
        </w:rPr>
        <w:t>RAGWarrant</w:t>
      </w:r>
      <w:r>
        <w:rPr>
          <w:sz w:val="16"/>
        </w:rPr>
        <w:t xml:space="preserve"> Governance, version </w:t>
      </w:r>
      <w:proofErr w:type="spellStart"/>
      <w:r>
        <w:rPr>
          <w:sz w:val="16"/>
        </w:rPr>
        <w:t>0.1.1-rc1</w:t>
      </w:r>
      <w:proofErr w:type="spellEnd"/>
      <w:r>
        <w:rPr>
          <w:sz w:val="16"/>
        </w:rPr>
        <w:t>, 2026. https://github.com/AIM-</w:t>
      </w:r>
      <w:r w:rsidR="0090312D">
        <w:rPr>
          <w:sz w:val="16"/>
        </w:rPr>
        <w:t>RAGWarrant</w:t>
      </w:r>
      <w:r>
        <w:rPr>
          <w:sz w:val="16"/>
        </w:rPr>
        <w:t>/rag-tuning-governance.</w:t>
      </w:r>
    </w:p>
    <w:p w14:paraId="1D88B3AD" w14:textId="77777777" w:rsidR="00F4612D" w:rsidRDefault="00DC3F14">
      <w:r>
        <w:rPr>
          <w:sz w:val="16"/>
        </w:rPr>
        <w:t>[21] J. Strich, E. K. Isgorur, M. Trescher, C. Biemann, and M. Semmann, 'T2-RAGBench: Text-and-Table Benchmark for Evaluating Retrieval-Augmented Generation,' Proceedings of the 19th Conference of the European Chapter of the Association for Computational Linguistics (Volume 1: Long Papers), pp. 165-191, 2026. doi:10.18653/v1/2026.eacl-long.8.</w:t>
      </w:r>
    </w:p>
    <w:p w14:paraId="2061BA22" w14:textId="77777777" w:rsidR="00F4612D" w:rsidRDefault="00DC3F14">
      <w:r>
        <w:rPr>
          <w:sz w:val="16"/>
        </w:rPr>
        <w:t>[22] Y. Tang and Y. Yang, 'MultiHop-RAG: Benchmarking Retrieval-Augmented Generation for Multi-Hop Queries,' arXiv:2401.15391, 2024.</w:t>
      </w:r>
    </w:p>
    <w:p w14:paraId="602E6C5D" w14:textId="77777777" w:rsidR="00A16D83" w:rsidRPr="002A2802" w:rsidRDefault="0034031E">
      <w:pPr>
        <w:spacing w:before="160"/>
        <w:jc w:val="center"/>
        <w:rPr>
          <w:rFonts w:asciiTheme="majorHAnsi" w:hAnsiTheme="majorHAnsi"/>
          <w:color w:val="000000" w:themeColor="text1"/>
        </w:rPr>
      </w:pPr>
      <w:r w:rsidRPr="002A2802">
        <w:rPr>
          <w:rFonts w:asciiTheme="majorHAnsi" w:hAnsiTheme="majorHAnsi"/>
          <w:color w:val="000000" w:themeColor="text1"/>
          <w:sz w:val="17"/>
        </w:rPr>
        <w:t>End of preprint draft</w:t>
      </w:r>
    </w:p>
    <w:p w14:paraId="70000698" w14:textId="77777777" w:rsidR="00F4612D" w:rsidRDefault="00F4612D"/>
    <w:p w14:paraId="4C09FB1D" w14:textId="77777777" w:rsidR="00F4612D" w:rsidRDefault="00F4612D"/>
    <w:p w14:paraId="35F37827" w14:textId="77777777" w:rsidR="00F4612D" w:rsidRDefault="00F4612D"/>
    <w:p w14:paraId="58554A3B" w14:textId="77777777" w:rsidR="00F4612D" w:rsidRDefault="00F4612D"/>
    <w:p w14:paraId="5B0DA002" w14:textId="77777777" w:rsidR="00F4612D" w:rsidRDefault="00F4612D"/>
    <w:p w14:paraId="34C0601E" w14:textId="77777777" w:rsidR="00F4612D" w:rsidRDefault="00F4612D"/>
    <w:sectPr w:rsidR="00F4612D" w:rsidSect="00034616">
      <w:headerReference w:type="default" r:id="rId14"/>
      <w:footerReference w:type="default" r:id="rId15"/>
      <w:pgSz w:w="12240" w:h="15840"/>
      <w:pgMar w:top="893" w:right="1037" w:bottom="893" w:left="1037"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E8B114" w14:textId="77777777" w:rsidR="0034031E" w:rsidRDefault="0034031E">
      <w:pPr>
        <w:spacing w:after="0" w:line="240" w:lineRule="auto"/>
      </w:pPr>
      <w:r>
        <w:separator/>
      </w:r>
    </w:p>
  </w:endnote>
  <w:endnote w:type="continuationSeparator" w:id="0">
    <w:p w14:paraId="61A896AC" w14:textId="77777777" w:rsidR="0034031E" w:rsidRDefault="00340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AppleSystemUIFont">
    <w:altName w:val="Cambria"/>
    <w:panose1 w:val="020B0604020202020204"/>
    <w:charset w:val="00"/>
    <w:family w:val="roman"/>
    <w:pitch w:val="default"/>
  </w:font>
  <w:font w:name="UICTFontTextStyleItalicBody">
    <w:altName w:val="Cambria"/>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FDF156" w14:textId="77777777" w:rsidR="00A16D83" w:rsidRDefault="0034031E">
    <w:pPr>
      <w:pStyle w:val="Footer"/>
      <w:jc w:val="right"/>
    </w:pPr>
    <w:r>
      <w:rPr>
        <w:rFonts w:ascii="Lato" w:hAnsi="Lato"/>
        <w:color w:val="5B6570"/>
        <w:sz w:val="16"/>
      </w:rPr>
      <w:t xml:space="preserve">Preprint draft  |  </w:t>
    </w:r>
    <w:r>
      <w:rPr>
        <w:rFonts w:ascii="Lato" w:hAnsi="Lato"/>
        <w:color w:val="5B6570"/>
        <w:sz w:val="16"/>
      </w:rPr>
      <w:t xml:space="preserve">v0.1.1-rc1  |  </w:t>
    </w:r>
    <w:r>
      <w:rPr>
        <w:rFonts w:ascii="Lato" w:hAnsi="Lato"/>
        <w:color w:val="5B6570"/>
        <w:sz w:val="16"/>
      </w:rPr>
      <w:fldChar w:fldCharType="begin"/>
    </w:r>
    <w:r>
      <w:rPr>
        <w:rFonts w:ascii="Lato" w:hAnsi="Lato"/>
        <w:color w:val="5B6570"/>
        <w:sz w:val="16"/>
      </w:rPr>
      <w:instrText xml:space="preserve"> PAGE </w:instrText>
    </w:r>
    <w:r>
      <w:rPr>
        <w:rFonts w:ascii="Lato" w:hAnsi="Lato"/>
        <w:color w:val="5B6570"/>
        <w:sz w:val="16"/>
      </w:rPr>
      <w:fldChar w:fldCharType="separate"/>
    </w:r>
    <w:r w:rsidR="00190ACF">
      <w:rPr>
        <w:rFonts w:ascii="Lato" w:hAnsi="Lato"/>
        <w:noProof/>
        <w:color w:val="5B6570"/>
        <w:sz w:val="16"/>
      </w:rPr>
      <w:t>2</w:t>
    </w:r>
    <w:r>
      <w:rPr>
        <w:rFonts w:ascii="Lato" w:hAnsi="Lato"/>
        <w:color w:val="5B65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DF0E71" w14:textId="77777777" w:rsidR="0034031E" w:rsidRDefault="0034031E">
      <w:pPr>
        <w:spacing w:after="0" w:line="240" w:lineRule="auto"/>
      </w:pPr>
      <w:r>
        <w:separator/>
      </w:r>
    </w:p>
  </w:footnote>
  <w:footnote w:type="continuationSeparator" w:id="0">
    <w:p w14:paraId="149122E8" w14:textId="77777777" w:rsidR="0034031E" w:rsidRDefault="003403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050E86" w14:textId="4B36A3E9" w:rsidR="00A16D83" w:rsidRDefault="0090312D">
    <w:pPr>
      <w:pStyle w:val="Header"/>
    </w:pPr>
    <w:r>
      <w:rPr>
        <w:rFonts w:ascii="Lato" w:hAnsi="Lato"/>
        <w:b/>
        <w:color w:val="5B6570"/>
        <w:sz w:val="16"/>
      </w:rPr>
      <w:t>RAGWarrant</w:t>
    </w:r>
    <w:r w:rsidR="0034031E">
      <w:rPr>
        <w:rFonts w:ascii="Lato" w:hAnsi="Lato"/>
        <w:b/>
        <w:color w:val="5B6570"/>
        <w:sz w:val="16"/>
      </w:rPr>
      <w:t xml:space="preserve">  |  Evidence-Preserving RAG Governance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7953765">
    <w:abstractNumId w:val="8"/>
  </w:num>
  <w:num w:numId="2" w16cid:durableId="1461535547">
    <w:abstractNumId w:val="6"/>
  </w:num>
  <w:num w:numId="3" w16cid:durableId="728502132">
    <w:abstractNumId w:val="5"/>
  </w:num>
  <w:num w:numId="4" w16cid:durableId="330916146">
    <w:abstractNumId w:val="4"/>
  </w:num>
  <w:num w:numId="5" w16cid:durableId="1101604730">
    <w:abstractNumId w:val="7"/>
  </w:num>
  <w:num w:numId="6" w16cid:durableId="2104183416">
    <w:abstractNumId w:val="3"/>
  </w:num>
  <w:num w:numId="7" w16cid:durableId="300842808">
    <w:abstractNumId w:val="2"/>
  </w:num>
  <w:num w:numId="8" w16cid:durableId="976760865">
    <w:abstractNumId w:val="1"/>
  </w:num>
  <w:num w:numId="9" w16cid:durableId="1076437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57"/>
    <w:rsid w:val="00000C7D"/>
    <w:rsid w:val="00034616"/>
    <w:rsid w:val="0006063C"/>
    <w:rsid w:val="00063ADE"/>
    <w:rsid w:val="00075699"/>
    <w:rsid w:val="000D311F"/>
    <w:rsid w:val="000D71FC"/>
    <w:rsid w:val="0011026B"/>
    <w:rsid w:val="0015074B"/>
    <w:rsid w:val="00176B92"/>
    <w:rsid w:val="00190ACF"/>
    <w:rsid w:val="001B2F24"/>
    <w:rsid w:val="001C1837"/>
    <w:rsid w:val="00211977"/>
    <w:rsid w:val="00226EE5"/>
    <w:rsid w:val="0029639D"/>
    <w:rsid w:val="002A2802"/>
    <w:rsid w:val="002F7CE9"/>
    <w:rsid w:val="0030370F"/>
    <w:rsid w:val="003061BD"/>
    <w:rsid w:val="00326F90"/>
    <w:rsid w:val="003328CB"/>
    <w:rsid w:val="0034031E"/>
    <w:rsid w:val="003476E3"/>
    <w:rsid w:val="003A3A6B"/>
    <w:rsid w:val="003A3BEF"/>
    <w:rsid w:val="00470F50"/>
    <w:rsid w:val="0049724E"/>
    <w:rsid w:val="00567359"/>
    <w:rsid w:val="005B40A7"/>
    <w:rsid w:val="005C6143"/>
    <w:rsid w:val="0062187F"/>
    <w:rsid w:val="006C515E"/>
    <w:rsid w:val="006F67A7"/>
    <w:rsid w:val="0070309A"/>
    <w:rsid w:val="007F657B"/>
    <w:rsid w:val="008130DB"/>
    <w:rsid w:val="00852858"/>
    <w:rsid w:val="008776D0"/>
    <w:rsid w:val="008B56F9"/>
    <w:rsid w:val="008D29D3"/>
    <w:rsid w:val="0090312D"/>
    <w:rsid w:val="0094794A"/>
    <w:rsid w:val="00961EB7"/>
    <w:rsid w:val="009676DA"/>
    <w:rsid w:val="009A7557"/>
    <w:rsid w:val="009B678E"/>
    <w:rsid w:val="009D5E4C"/>
    <w:rsid w:val="009F0E0F"/>
    <w:rsid w:val="00A16D83"/>
    <w:rsid w:val="00AA1D8D"/>
    <w:rsid w:val="00B3501D"/>
    <w:rsid w:val="00B47730"/>
    <w:rsid w:val="00B531DF"/>
    <w:rsid w:val="00B92CB8"/>
    <w:rsid w:val="00BA2D96"/>
    <w:rsid w:val="00C02C7C"/>
    <w:rsid w:val="00C424ED"/>
    <w:rsid w:val="00CB0664"/>
    <w:rsid w:val="00CF1625"/>
    <w:rsid w:val="00CF5D45"/>
    <w:rsid w:val="00D1548E"/>
    <w:rsid w:val="00DC3F14"/>
    <w:rsid w:val="00DD3026"/>
    <w:rsid w:val="00E03420"/>
    <w:rsid w:val="00E87B02"/>
    <w:rsid w:val="00EA1D07"/>
    <w:rsid w:val="00EA71BD"/>
    <w:rsid w:val="00EC589E"/>
    <w:rsid w:val="00F33854"/>
    <w:rsid w:val="00F41364"/>
    <w:rsid w:val="00F4612D"/>
    <w:rsid w:val="00F531AC"/>
    <w:rsid w:val="00FA0C75"/>
    <w:rsid w:val="00FC215A"/>
    <w:rsid w:val="00FC693F"/>
    <w:rsid w:val="00FD0A5E"/>
    <w:rsid w:val="00FD5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FBAB9"/>
  <w14:defaultImageDpi w14:val="300"/>
  <w15:docId w15:val="{EEE656E2-7CF3-7F46-B0D5-6C8D7152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erif" w:hAnsi="Noto Seri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646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A7F8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A7F8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FA0C75"/>
    <w:pPr>
      <w:spacing w:after="0" w:line="240" w:lineRule="auto"/>
    </w:pPr>
    <w:rPr>
      <w:rFonts w:ascii=".AppleSystemUIFont" w:hAnsi=".AppleSystemUIFont" w:cs="Times New Roman"/>
      <w:sz w:val="35"/>
      <w:szCs w:val="35"/>
    </w:rPr>
  </w:style>
  <w:style w:type="character" w:customStyle="1" w:styleId="s1">
    <w:name w:val="s1"/>
    <w:basedOn w:val="DefaultParagraphFont"/>
    <w:rsid w:val="00FA0C75"/>
    <w:rPr>
      <w:rFonts w:ascii="UICTFontTextStyleItalicBody" w:hAnsi="UICTFontTextStyleItalicBody" w:hint="default"/>
      <w:b w:val="0"/>
      <w:bCs w:val="0"/>
      <w:i/>
      <w:i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16</Pages>
  <Words>7316</Words>
  <Characters>41704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RAGTune: Evidence-Preserving Governance for RAG Policy Promotion Under Quality, Cost, Latency, and Risk Constraints</dc:title>
  <dc:subject>Condensed arXiv preprint manuscript</dc:subject>
  <dc:creator>AIM-RAGTune Contributors</dc:creator>
  <cp:keywords>RAG, governance, promotion control, noninferiority, reproducibility, LLMOps</cp:keywords>
  <dc:description>Condensed manuscript revision based on v0.1.0-rc1 evidence.</dc:description>
  <cp:lastModifiedBy>Richard Krueger</cp:lastModifiedBy>
  <cp:revision>5</cp:revision>
  <dcterms:created xsi:type="dcterms:W3CDTF">2026-09-17T13:18:00Z</dcterms:created>
  <dcterms:modified xsi:type="dcterms:W3CDTF">2026-09-17T14:59:00Z</dcterms:modified>
  <cp:category/>
</cp:coreProperties>
</file>