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DCAEA" w14:textId="77777777" w:rsidR="00A16D83" w:rsidRPr="002A2802" w:rsidRDefault="0034031E">
      <w:pPr>
        <w:spacing w:before="560"/>
        <w:jc w:val="center"/>
        <w:rPr>
          <w:rFonts w:asciiTheme="majorHAnsi" w:hAnsiTheme="majorHAnsi"/>
          <w:color w:val="000000" w:themeColor="text1"/>
        </w:rPr>
      </w:pPr>
      <w:r w:rsidRPr="002A2802">
        <w:rPr>
          <w:rFonts w:asciiTheme="majorHAnsi" w:hAnsiTheme="majorHAnsi"/>
          <w:color w:val="000000" w:themeColor="text1"/>
          <w:sz w:val="58"/>
        </w:rPr>
        <w:t>RAGWarrant</w:t>
      </w:r>
    </w:p>
    <w:p w14:paraId="2E7E4EDF"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3EA48F03" w14:textId="5E5825A4"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p>
    <w:p w14:paraId="4A0F434D" w14:textId="77777777"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Independent open-source research project  |  August 2026  |  Preprint version 0.1.0-rc1</w:t>
      </w:r>
    </w:p>
    <w:p w14:paraId="4695B950"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78F311D1" w14:textId="3BBA9B3F"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RAGWarrant, an open-source promotion-control framework that treats deployment as a constrained evidence decision rather than a leaderboard choice. RAGWarrant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1FFF8460"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28861DAF" w14:textId="77777777" w:rsidR="00A16D83" w:rsidRPr="002A2802" w:rsidRDefault="0034031E">
      <w:pPr>
        <w:spacing w:after="20"/>
        <w:rPr>
          <w:rFonts w:asciiTheme="majorHAnsi" w:hAnsiTheme="majorHAnsi"/>
          <w:color w:val="000000" w:themeColor="text1"/>
        </w:rPr>
      </w:pPr>
      <w:r>
        <w:t>Code and artifacts: github.com/RAGWarrant/ragwarrant-governance</w:t>
      </w:r>
    </w:p>
    <w:p w14:paraId="3C2D8F0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v0.1.0-rc1  |  Commit: ff529005bf7d00a0c3f79ba991563f3923d63205</w:t>
      </w:r>
    </w:p>
    <w:p w14:paraId="3AD3D754"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6BF893A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3A4605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2B49104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2D01B2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addresses that decision layer. Its central abstraction is not a new answer-quality metric or a universal optimizer. It is an evidence-preserving promotion controller. RAGWarrant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14:paraId="35337CD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13491F1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distinction matters because deployment authority is often implicit. In a research notebook, the highest validation score may become the de facto recommendation; in an enterprise workflow, a cost dashboard or latency trace may play the same role. RAGWarrant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7739BCA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7D06E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2581129"/>
                    </a:xfrm>
                    <a:prstGeom prst="rect">
                      <a:avLst/>
                    </a:prstGeom>
                  </pic:spPr>
                </pic:pic>
              </a:graphicData>
            </a:graphic>
          </wp:inline>
        </w:drawing>
      </w:r>
    </w:p>
    <w:p w14:paraId="0DEE945F"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1. RAGWarrant converts candidate-policy evidence into an auditable promotion decision; artifacts, telemetry, and negative results feed the next evaluation cycle.</w:t>
      </w:r>
    </w:p>
    <w:p w14:paraId="14BEBDE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7487318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0183411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RAGWarrant consumes these measurements as bounded evidence; it does not replace their metric semantics.</w:t>
      </w:r>
    </w:p>
    <w:p w14:paraId="2364C2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B81F7D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NIST's AI Risk Management Framework and Generative AI Profile organize lifecycle governance around Govern, Map, Measure, and Manage, and ISO/IEC 42001 specifies an AI management system [11-13]. RAGWarrant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3735030D" w14:textId="77777777">
        <w:trPr>
          <w:tblHeader/>
          <w:jc w:val="center"/>
        </w:trPr>
        <w:tc>
          <w:tcPr>
            <w:tcW w:w="1944" w:type="dxa"/>
            <w:shd w:val="clear" w:color="auto" w:fill="DCE8EF"/>
            <w:tcMar>
              <w:top w:w="70" w:type="dxa"/>
              <w:left w:w="90" w:type="dxa"/>
              <w:bottom w:w="70" w:type="dxa"/>
              <w:right w:w="90" w:type="dxa"/>
            </w:tcMar>
            <w:vAlign w:val="center"/>
          </w:tcPr>
          <w:p w14:paraId="740D574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3ED9CCA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448D13B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733AF0C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RAGWarrant relationship</w:t>
            </w:r>
          </w:p>
        </w:tc>
      </w:tr>
      <w:tr w:rsidR="00A16D83" w:rsidRPr="002A2802" w14:paraId="7A093F99" w14:textId="77777777">
        <w:trPr>
          <w:jc w:val="center"/>
        </w:trPr>
        <w:tc>
          <w:tcPr>
            <w:tcW w:w="1944" w:type="dxa"/>
            <w:tcMar>
              <w:top w:w="70" w:type="dxa"/>
              <w:left w:w="90" w:type="dxa"/>
              <w:bottom w:w="70" w:type="dxa"/>
              <w:right w:w="90" w:type="dxa"/>
            </w:tcMar>
            <w:vAlign w:val="center"/>
          </w:tcPr>
          <w:p w14:paraId="07C2D9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590E6F1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19C8A0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40B851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16611F82" w14:textId="77777777">
        <w:trPr>
          <w:jc w:val="center"/>
        </w:trPr>
        <w:tc>
          <w:tcPr>
            <w:tcW w:w="1944" w:type="dxa"/>
            <w:tcMar>
              <w:top w:w="70" w:type="dxa"/>
              <w:left w:w="90" w:type="dxa"/>
              <w:bottom w:w="70" w:type="dxa"/>
              <w:right w:w="90" w:type="dxa"/>
            </w:tcMar>
            <w:vAlign w:val="center"/>
          </w:tcPr>
          <w:p w14:paraId="4FD9CA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71372BA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6C93B6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DFB6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36DFD4B0" w14:textId="77777777">
        <w:trPr>
          <w:jc w:val="center"/>
        </w:trPr>
        <w:tc>
          <w:tcPr>
            <w:tcW w:w="1944" w:type="dxa"/>
            <w:tcMar>
              <w:top w:w="70" w:type="dxa"/>
              <w:left w:w="90" w:type="dxa"/>
              <w:bottom w:w="70" w:type="dxa"/>
              <w:right w:w="90" w:type="dxa"/>
            </w:tcMar>
            <w:vAlign w:val="center"/>
          </w:tcPr>
          <w:p w14:paraId="27028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268E38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391AA48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4E2685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190D9D92" w14:textId="77777777">
        <w:trPr>
          <w:jc w:val="center"/>
        </w:trPr>
        <w:tc>
          <w:tcPr>
            <w:tcW w:w="1944" w:type="dxa"/>
            <w:tcMar>
              <w:top w:w="70" w:type="dxa"/>
              <w:left w:w="90" w:type="dxa"/>
              <w:bottom w:w="70" w:type="dxa"/>
              <w:right w:w="90" w:type="dxa"/>
            </w:tcMar>
            <w:vAlign w:val="center"/>
          </w:tcPr>
          <w:p w14:paraId="43EF2D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49BD8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72ADE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12A32D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5C8C6573" w14:textId="77777777">
        <w:trPr>
          <w:jc w:val="center"/>
        </w:trPr>
        <w:tc>
          <w:tcPr>
            <w:tcW w:w="1944" w:type="dxa"/>
            <w:tcMar>
              <w:top w:w="70" w:type="dxa"/>
              <w:left w:w="90" w:type="dxa"/>
              <w:bottom w:w="70" w:type="dxa"/>
              <w:right w:w="90" w:type="dxa"/>
            </w:tcMar>
            <w:vAlign w:val="center"/>
          </w:tcPr>
          <w:p w14:paraId="3A629F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480DF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0F15C7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18453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196FF0BF" w14:textId="77777777">
        <w:trPr>
          <w:jc w:val="center"/>
        </w:trPr>
        <w:tc>
          <w:tcPr>
            <w:tcW w:w="1944" w:type="dxa"/>
            <w:tcMar>
              <w:top w:w="70" w:type="dxa"/>
              <w:left w:w="90" w:type="dxa"/>
              <w:bottom w:w="70" w:type="dxa"/>
              <w:right w:w="90" w:type="dxa"/>
            </w:tcMar>
            <w:vAlign w:val="center"/>
          </w:tcPr>
          <w:p w14:paraId="111CE2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RAGWarrant</w:t>
            </w:r>
          </w:p>
        </w:tc>
        <w:tc>
          <w:tcPr>
            <w:tcW w:w="2376" w:type="dxa"/>
            <w:tcMar>
              <w:top w:w="70" w:type="dxa"/>
              <w:left w:w="90" w:type="dxa"/>
              <w:bottom w:w="70" w:type="dxa"/>
              <w:right w:w="90" w:type="dxa"/>
            </w:tcMar>
            <w:vAlign w:val="center"/>
          </w:tcPr>
          <w:p w14:paraId="1C187D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729C88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7A3D36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7673851B"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1. RAGWarrant complements metric, benchmark, optimization, observability, and management-framework layers.</w:t>
      </w:r>
    </w:p>
    <w:p w14:paraId="48C6661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7E46DE1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7FC3D7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17424D3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65983ED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CB0C456"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4468CA1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31EC78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4EDA403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25DE6F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616B32F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4. RAGWarrant System</w:t>
      </w:r>
    </w:p>
    <w:p w14:paraId="688F226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56274F6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RAGWarrant records behavioral parameters alongside normalized evidence such as answer correctness, faithfulness, evidence support, context recall, abstention correctness, API calls, cost, latency, failure rate, and protected-regression indicators.</w:t>
      </w:r>
    </w:p>
    <w:p w14:paraId="3D1E5D5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50F09A0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95268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992BFAD"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7DD01C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3EDACDB"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400D12DE"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5099A92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31FB73E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657600" cy="3014654"/>
                    </a:xfrm>
                    <a:prstGeom prst="rect">
                      <a:avLst/>
                    </a:prstGeom>
                  </pic:spPr>
                </pic:pic>
              </a:graphicData>
            </a:graphic>
          </wp:inline>
        </w:drawing>
      </w:r>
    </w:p>
    <w:p w14:paraId="169AD90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D84FFD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0258BA1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3679FE6D" w14:textId="77777777">
        <w:trPr>
          <w:tblHeader/>
          <w:jc w:val="center"/>
        </w:trPr>
        <w:tc>
          <w:tcPr>
            <w:tcW w:w="1152" w:type="dxa"/>
            <w:shd w:val="clear" w:color="auto" w:fill="DCE8EF"/>
            <w:tcMar>
              <w:top w:w="70" w:type="dxa"/>
              <w:left w:w="90" w:type="dxa"/>
              <w:bottom w:w="70" w:type="dxa"/>
              <w:right w:w="90" w:type="dxa"/>
            </w:tcMar>
            <w:vAlign w:val="center"/>
          </w:tcPr>
          <w:p w14:paraId="20E716E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5C65CD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4896BDF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5A02BF8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2C967E0A" w14:textId="77777777">
        <w:trPr>
          <w:jc w:val="center"/>
        </w:trPr>
        <w:tc>
          <w:tcPr>
            <w:tcW w:w="1152" w:type="dxa"/>
            <w:tcMar>
              <w:top w:w="70" w:type="dxa"/>
              <w:left w:w="90" w:type="dxa"/>
              <w:bottom w:w="70" w:type="dxa"/>
              <w:right w:w="90" w:type="dxa"/>
            </w:tcMar>
            <w:vAlign w:val="center"/>
          </w:tcPr>
          <w:p w14:paraId="01225C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1E4006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19484A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05586E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45A89D53" w14:textId="77777777">
        <w:trPr>
          <w:jc w:val="center"/>
        </w:trPr>
        <w:tc>
          <w:tcPr>
            <w:tcW w:w="1152" w:type="dxa"/>
            <w:tcMar>
              <w:top w:w="70" w:type="dxa"/>
              <w:left w:w="90" w:type="dxa"/>
              <w:bottom w:w="70" w:type="dxa"/>
              <w:right w:w="90" w:type="dxa"/>
            </w:tcMar>
            <w:vAlign w:val="center"/>
          </w:tcPr>
          <w:p w14:paraId="246E21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2FFAE3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46FEE6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3BDA6D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4B8B3BE7" w14:textId="77777777">
        <w:trPr>
          <w:jc w:val="center"/>
        </w:trPr>
        <w:tc>
          <w:tcPr>
            <w:tcW w:w="1152" w:type="dxa"/>
            <w:tcMar>
              <w:top w:w="70" w:type="dxa"/>
              <w:left w:w="90" w:type="dxa"/>
              <w:bottom w:w="70" w:type="dxa"/>
              <w:right w:w="90" w:type="dxa"/>
            </w:tcMar>
            <w:vAlign w:val="center"/>
          </w:tcPr>
          <w:p w14:paraId="70A845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027983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0AB5F4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01664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73573922" w14:textId="77777777">
        <w:trPr>
          <w:jc w:val="center"/>
        </w:trPr>
        <w:tc>
          <w:tcPr>
            <w:tcW w:w="1152" w:type="dxa"/>
            <w:tcMar>
              <w:top w:w="70" w:type="dxa"/>
              <w:left w:w="90" w:type="dxa"/>
              <w:bottom w:w="70" w:type="dxa"/>
              <w:right w:w="90" w:type="dxa"/>
            </w:tcMar>
            <w:vAlign w:val="center"/>
          </w:tcPr>
          <w:p w14:paraId="3785DD7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258F219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7F093A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201C28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437D1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1C73AB2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1C7987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7D4D4A6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069080" cy="2914189"/>
                    </a:xfrm>
                    <a:prstGeom prst="rect">
                      <a:avLst/>
                    </a:prstGeom>
                  </pic:spPr>
                </pic:pic>
              </a:graphicData>
            </a:graphic>
          </wp:inline>
        </w:drawing>
      </w:r>
    </w:p>
    <w:p w14:paraId="192BF0D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45C2399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47287AD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76FDAF9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7D4749F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32ED7574"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Warrant containerized governance job and producing a promotion decision, audit bundle, and claim-boundary report." title="Cloud-agnostic deployment diagram showing policy configurations, datasets, and telemetry entering a hardened RAGWarrant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15000" cy="3218181"/>
                    </a:xfrm>
                    <a:prstGeom prst="rect">
                      <a:avLst/>
                    </a:prstGeom>
                  </pic:spPr>
                </pic:pic>
              </a:graphicData>
            </a:graphic>
          </wp:inline>
        </w:drawing>
      </w:r>
    </w:p>
    <w:p w14:paraId="5ABFAC32"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063DD7D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0D8D957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0BAAD71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supplied a larger development path; MultiHop-RAG provided a fresh sealed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0F0E5392" w14:textId="77777777">
        <w:trPr>
          <w:tblHeader/>
          <w:jc w:val="center"/>
        </w:trPr>
        <w:tc>
          <w:tcPr>
            <w:tcW w:w="1656" w:type="dxa"/>
            <w:shd w:val="clear" w:color="auto" w:fill="DCE8EF"/>
            <w:tcMar>
              <w:top w:w="70" w:type="dxa"/>
              <w:left w:w="90" w:type="dxa"/>
              <w:bottom w:w="70" w:type="dxa"/>
              <w:right w:w="90" w:type="dxa"/>
            </w:tcMar>
            <w:vAlign w:val="center"/>
          </w:tcPr>
          <w:p w14:paraId="340A21F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03C5B25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2574A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79C4D43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546C1820" w14:textId="77777777">
        <w:trPr>
          <w:jc w:val="center"/>
        </w:trPr>
        <w:tc>
          <w:tcPr>
            <w:tcW w:w="1656" w:type="dxa"/>
            <w:tcMar>
              <w:top w:w="70" w:type="dxa"/>
              <w:left w:w="90" w:type="dxa"/>
              <w:bottom w:w="70" w:type="dxa"/>
              <w:right w:w="90" w:type="dxa"/>
            </w:tcMar>
            <w:vAlign w:val="center"/>
          </w:tcPr>
          <w:p w14:paraId="33A8B8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6AC70D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715557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7208BD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6BB75D71" w14:textId="77777777">
        <w:trPr>
          <w:jc w:val="center"/>
        </w:trPr>
        <w:tc>
          <w:tcPr>
            <w:tcW w:w="1656" w:type="dxa"/>
            <w:tcMar>
              <w:top w:w="70" w:type="dxa"/>
              <w:left w:w="90" w:type="dxa"/>
              <w:bottom w:w="70" w:type="dxa"/>
              <w:right w:w="90" w:type="dxa"/>
            </w:tcMar>
            <w:vAlign w:val="center"/>
          </w:tcPr>
          <w:p w14:paraId="51E65F6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0DE72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78A48B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5B872C3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220ECE09" w14:textId="77777777">
        <w:trPr>
          <w:jc w:val="center"/>
        </w:trPr>
        <w:tc>
          <w:tcPr>
            <w:tcW w:w="1656" w:type="dxa"/>
            <w:tcMar>
              <w:top w:w="70" w:type="dxa"/>
              <w:left w:w="90" w:type="dxa"/>
              <w:bottom w:w="70" w:type="dxa"/>
              <w:right w:w="90" w:type="dxa"/>
            </w:tcMar>
            <w:vAlign w:val="center"/>
          </w:tcPr>
          <w:p w14:paraId="7488AB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3A315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12C521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2F992A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3D7F2E05" w14:textId="77777777">
        <w:trPr>
          <w:jc w:val="center"/>
        </w:trPr>
        <w:tc>
          <w:tcPr>
            <w:tcW w:w="1656" w:type="dxa"/>
            <w:tcMar>
              <w:top w:w="70" w:type="dxa"/>
              <w:left w:w="90" w:type="dxa"/>
              <w:bottom w:w="70" w:type="dxa"/>
              <w:right w:w="90" w:type="dxa"/>
            </w:tcMar>
            <w:vAlign w:val="center"/>
          </w:tcPr>
          <w:p w14:paraId="2D02F0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64BE54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4AFCE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179155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46FC16FE" w14:textId="77777777">
        <w:trPr>
          <w:jc w:val="center"/>
        </w:trPr>
        <w:tc>
          <w:tcPr>
            <w:tcW w:w="1656" w:type="dxa"/>
            <w:tcMar>
              <w:top w:w="70" w:type="dxa"/>
              <w:left w:w="90" w:type="dxa"/>
              <w:bottom w:w="70" w:type="dxa"/>
              <w:right w:w="90" w:type="dxa"/>
            </w:tcMar>
            <w:vAlign w:val="center"/>
          </w:tcPr>
          <w:p w14:paraId="531546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7230A2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4EC897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006F40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79B785B" w14:textId="77777777">
        <w:trPr>
          <w:jc w:val="center"/>
        </w:trPr>
        <w:tc>
          <w:tcPr>
            <w:tcW w:w="1656" w:type="dxa"/>
            <w:tcMar>
              <w:top w:w="70" w:type="dxa"/>
              <w:left w:w="90" w:type="dxa"/>
              <w:bottom w:w="70" w:type="dxa"/>
              <w:right w:w="90" w:type="dxa"/>
            </w:tcMar>
            <w:vAlign w:val="center"/>
          </w:tcPr>
          <w:p w14:paraId="500AE2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4C9D07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3F3591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050EE6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2B8685C6" w14:textId="77777777">
        <w:trPr>
          <w:jc w:val="center"/>
        </w:trPr>
        <w:tc>
          <w:tcPr>
            <w:tcW w:w="1656" w:type="dxa"/>
            <w:tcMar>
              <w:top w:w="70" w:type="dxa"/>
              <w:left w:w="90" w:type="dxa"/>
              <w:bottom w:w="70" w:type="dxa"/>
              <w:right w:w="90" w:type="dxa"/>
            </w:tcMar>
            <w:vAlign w:val="center"/>
          </w:tcPr>
          <w:p w14:paraId="1264FE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478134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42B5AC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4E9E5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62C6CE0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7FD9C4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604F395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5A57ADB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70B07A5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D52E15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2F9B3F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14:paraId="71DF6E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9C71DE"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6080760" cy="3379752"/>
                    </a:xfrm>
                    <a:prstGeom prst="rect">
                      <a:avLst/>
                    </a:prstGeom>
                  </pic:spPr>
                </pic:pic>
              </a:graphicData>
            </a:graphic>
          </wp:inline>
        </w:drawing>
      </w:r>
    </w:p>
    <w:p w14:paraId="43C90786"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12326A2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31F6F8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w:t>
      </w:r>
      <w:r w:rsidRPr="002A2802">
        <w:rPr>
          <w:rFonts w:asciiTheme="majorHAnsi" w:hAnsiTheme="majorHAnsi"/>
          <w:color w:val="000000" w:themeColor="text1"/>
        </w:rPr>
        <w:lastRenderedPageBreak/>
        <w:t>retrieval, both selectors again chose the same high-retrieval policy. A larger T2-RAGBench development run was directly unfavorable to RAG Compass, reinforcing the optimizer-agnostic design.</w:t>
      </w:r>
    </w:p>
    <w:p w14:paraId="58055B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609C49A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66C190A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These studies also expose an important distinction between selection correctness and hindsight regret. A policy selected from validation evidence can lose to another policy on a sealed test set without implying a logic defect. RAGWarrant records that reversal, but it does not retroactively choose the test winner. This preserves the separation between model selection and final estimation that the governance contract is intended to enforce.</w:t>
      </w:r>
    </w:p>
    <w:p w14:paraId="2AD68D51"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03F816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HotpotQA provides the clearest negative test. The governed policy reduced retrieval cost, context volume, and calls, but answer quality declined beyond the declared noninferiority margin. A conventional efficiency report could describe the run as a cost win; RAGWarrant classified it as operational gain with quality loss and withheld promotion.</w:t>
      </w:r>
    </w:p>
    <w:p w14:paraId="5F86B71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4E2A6483" w14:textId="151F48E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4B5EE528"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128A1B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73F948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3D32138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4524E283"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331290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6F836F3"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lastRenderedPageBreak/>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77C0722" w14:textId="63AE762B" w:rsidR="00A16D83" w:rsidRPr="002A2802" w:rsidRDefault="00A16D83">
      <w:pPr>
        <w:pStyle w:val="BodyText"/>
        <w:spacing w:after="84" w:line="254" w:lineRule="auto"/>
        <w:ind w:firstLine="317"/>
        <w:jc w:val="both"/>
        <w:rPr>
          <w:rFonts w:asciiTheme="majorHAnsi" w:hAnsiTheme="majorHAnsi"/>
          <w:color w:val="000000" w:themeColor="text1"/>
        </w:rPr>
      </w:pPr>
    </w:p>
    <w:p w14:paraId="5C2A59F9"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6035040" cy="2745623"/>
                    </a:xfrm>
                    <a:prstGeom prst="rect">
                      <a:avLst/>
                    </a:prstGeom>
                  </pic:spPr>
                </pic:pic>
              </a:graphicData>
            </a:graphic>
          </wp:inline>
        </w:drawing>
      </w:r>
    </w:p>
    <w:p w14:paraId="5FCA8F4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500D496F" w14:textId="77777777">
        <w:trPr>
          <w:tblHeader/>
          <w:jc w:val="center"/>
        </w:trPr>
        <w:tc>
          <w:tcPr>
            <w:tcW w:w="1800" w:type="dxa"/>
            <w:shd w:val="clear" w:color="auto" w:fill="DCE8EF"/>
            <w:tcMar>
              <w:top w:w="70" w:type="dxa"/>
              <w:left w:w="90" w:type="dxa"/>
              <w:bottom w:w="70" w:type="dxa"/>
              <w:right w:w="90" w:type="dxa"/>
            </w:tcMar>
            <w:vAlign w:val="center"/>
          </w:tcPr>
          <w:p w14:paraId="78E69CB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Evaluation</w:t>
            </w:r>
          </w:p>
        </w:tc>
        <w:tc>
          <w:tcPr>
            <w:tcW w:w="1872" w:type="dxa"/>
            <w:shd w:val="clear" w:color="auto" w:fill="DCE8EF"/>
            <w:tcMar>
              <w:top w:w="70" w:type="dxa"/>
              <w:left w:w="90" w:type="dxa"/>
              <w:bottom w:w="70" w:type="dxa"/>
              <w:right w:w="90" w:type="dxa"/>
            </w:tcMar>
            <w:vAlign w:val="center"/>
          </w:tcPr>
          <w:p w14:paraId="4217B64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22B7D34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0131015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5CFE8236" w14:textId="77777777">
        <w:trPr>
          <w:jc w:val="center"/>
        </w:trPr>
        <w:tc>
          <w:tcPr>
            <w:tcW w:w="1800" w:type="dxa"/>
            <w:tcMar>
              <w:top w:w="70" w:type="dxa"/>
              <w:left w:w="90" w:type="dxa"/>
              <w:bottom w:w="70" w:type="dxa"/>
              <w:right w:w="90" w:type="dxa"/>
            </w:tcMar>
            <w:vAlign w:val="center"/>
          </w:tcPr>
          <w:p w14:paraId="28C717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78DFFEB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443BF2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4ACE07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729D9F6C" w14:textId="77777777">
        <w:trPr>
          <w:jc w:val="center"/>
        </w:trPr>
        <w:tc>
          <w:tcPr>
            <w:tcW w:w="1800" w:type="dxa"/>
            <w:tcMar>
              <w:top w:w="70" w:type="dxa"/>
              <w:left w:w="90" w:type="dxa"/>
              <w:bottom w:w="70" w:type="dxa"/>
              <w:right w:w="90" w:type="dxa"/>
            </w:tcMar>
            <w:vAlign w:val="center"/>
          </w:tcPr>
          <w:p w14:paraId="2AD62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74AD00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2BF5E2D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30CF1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6B925A89" w14:textId="77777777">
        <w:trPr>
          <w:jc w:val="center"/>
        </w:trPr>
        <w:tc>
          <w:tcPr>
            <w:tcW w:w="1800" w:type="dxa"/>
            <w:tcMar>
              <w:top w:w="70" w:type="dxa"/>
              <w:left w:w="90" w:type="dxa"/>
              <w:bottom w:w="70" w:type="dxa"/>
              <w:right w:w="90" w:type="dxa"/>
            </w:tcMar>
            <w:vAlign w:val="center"/>
          </w:tcPr>
          <w:p w14:paraId="23F9E3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44979E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7A0BC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C6E39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6DDDAC5B" w14:textId="77777777">
        <w:trPr>
          <w:jc w:val="center"/>
        </w:trPr>
        <w:tc>
          <w:tcPr>
            <w:tcW w:w="1800" w:type="dxa"/>
            <w:tcMar>
              <w:top w:w="70" w:type="dxa"/>
              <w:left w:w="90" w:type="dxa"/>
              <w:bottom w:w="70" w:type="dxa"/>
              <w:right w:w="90" w:type="dxa"/>
            </w:tcMar>
            <w:vAlign w:val="center"/>
          </w:tcPr>
          <w:p w14:paraId="68A838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1896D9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6E1A27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7C7D4C1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2F5B6DD2" w14:textId="77777777">
        <w:trPr>
          <w:jc w:val="center"/>
        </w:trPr>
        <w:tc>
          <w:tcPr>
            <w:tcW w:w="1800" w:type="dxa"/>
            <w:tcMar>
              <w:top w:w="70" w:type="dxa"/>
              <w:left w:w="90" w:type="dxa"/>
              <w:bottom w:w="70" w:type="dxa"/>
              <w:right w:w="90" w:type="dxa"/>
            </w:tcMar>
            <w:vAlign w:val="center"/>
          </w:tcPr>
          <w:p w14:paraId="6C2A05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231B8B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72D051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3CCA13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22BA969F" w14:textId="77777777">
        <w:trPr>
          <w:jc w:val="center"/>
        </w:trPr>
        <w:tc>
          <w:tcPr>
            <w:tcW w:w="1800" w:type="dxa"/>
            <w:tcMar>
              <w:top w:w="70" w:type="dxa"/>
              <w:left w:w="90" w:type="dxa"/>
              <w:bottom w:w="70" w:type="dxa"/>
              <w:right w:w="90" w:type="dxa"/>
            </w:tcMar>
            <w:vAlign w:val="center"/>
          </w:tcPr>
          <w:p w14:paraId="6190D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C20EA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65D5B6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52C9CC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6159ECE3" w14:textId="77777777">
        <w:trPr>
          <w:jc w:val="center"/>
        </w:trPr>
        <w:tc>
          <w:tcPr>
            <w:tcW w:w="1800" w:type="dxa"/>
            <w:tcMar>
              <w:top w:w="70" w:type="dxa"/>
              <w:left w:w="90" w:type="dxa"/>
              <w:bottom w:w="70" w:type="dxa"/>
              <w:right w:w="90" w:type="dxa"/>
            </w:tcMar>
            <w:vAlign w:val="center"/>
          </w:tcPr>
          <w:p w14:paraId="6B311C7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561DDE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2F6ECE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65EA1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48B2B6D7" w14:textId="77777777">
        <w:trPr>
          <w:jc w:val="center"/>
        </w:trPr>
        <w:tc>
          <w:tcPr>
            <w:tcW w:w="1800" w:type="dxa"/>
            <w:tcMar>
              <w:top w:w="70" w:type="dxa"/>
              <w:left w:w="90" w:type="dxa"/>
              <w:bottom w:w="70" w:type="dxa"/>
              <w:right w:w="90" w:type="dxa"/>
            </w:tcMar>
            <w:vAlign w:val="center"/>
          </w:tcPr>
          <w:p w14:paraId="51E19F7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57AFCB1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0E0ED4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69FDCD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00FFF971" w14:textId="77777777">
        <w:trPr>
          <w:jc w:val="center"/>
        </w:trPr>
        <w:tc>
          <w:tcPr>
            <w:tcW w:w="1800" w:type="dxa"/>
            <w:tcMar>
              <w:top w:w="70" w:type="dxa"/>
              <w:left w:w="90" w:type="dxa"/>
              <w:bottom w:w="70" w:type="dxa"/>
              <w:right w:w="90" w:type="dxa"/>
            </w:tcMar>
            <w:vAlign w:val="center"/>
          </w:tcPr>
          <w:p w14:paraId="0B1D1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775844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104983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6F468F9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77110624"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14:paraId="632585B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3187C5C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40BB26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This position is complementary to existing tools. A team may obtain answer correctness from one evaluator, faithfulness from another, cost and latency from traces, and a security disqualifier from a separate suite. RAGWarrant's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66B85A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49737D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practical governance program must eventually price false refusal as carefully as false promotion. Blocking too often can preserve a costly configuration, slow improvement, and encourage teams to bypass the process. RAGWarrant's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6EB26F6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RAGWarrant can run as a finite CI/CD or monitoring job and emit an artifact suitable for change review; integration with live identity, authorization, and incident processes remains deployment-specific.</w:t>
      </w:r>
    </w:p>
    <w:p w14:paraId="4E694DE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38DECF0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56B8B17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067CA9A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pPr>
        <w:pStyle w:val="BodyText"/>
        <w:spacing w:after="84" w:line="254" w:lineRule="auto"/>
        <w:ind w:firstLine="317"/>
        <w:jc w:val="both"/>
      </w:pPr>
      <w:r>
        <w:t>The governance controller treats quality signals as inputs and inherits their variance; deterministic proxy composites were chosen for the public program precisely to avoid judge-model variance, and governed use of LLM-as-judge signals would require variance characterization first.</w:t>
      </w:r>
    </w:p>
    <w:p w14:paraId="77851E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48EEC1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pPr>
        <w:pStyle w:val="BodyText"/>
        <w:spacing w:after="84" w:line="254" w:lineRule="auto"/>
        <w:ind w:firstLine="317"/>
        <w:jc w:val="both"/>
      </w:pPr>
      <w:r>
        <w:t>Fixed predeclared margins are a deliberate audit property, and extensions to group-sequential or adaptive designs with prespecified spending functions are compatible future work.</w:t>
      </w:r>
    </w:p>
    <w:p w14:paraId="0A7998F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75EECD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Reproducibility artifacts verify code paths, decisions, and public hygiene; they cannot independently verify licensed raw data that are excluded from the repository. Exact external replication therefore depends on acquiring the original corpora </w:t>
      </w:r>
      <w:r w:rsidRPr="002A2802">
        <w:rPr>
          <w:rFonts w:asciiTheme="majorHAnsi" w:hAnsiTheme="majorHAnsi"/>
          <w:color w:val="000000" w:themeColor="text1"/>
        </w:rPr>
        <w:lastRenderedPageBreak/>
        <w:t>and reconstructing the declared manifests. The release tag itself is an engineering checkpoint rather than a guarantee that every historical artifact can be regenerated without those sources.</w:t>
      </w:r>
    </w:p>
    <w:p w14:paraId="6549767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E52EC6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v0.1.0-rc1 artifact identifies a fixed commit and includes configs, schemas, sanitized processed results, tests, Docker assets, deployment templates, claim tables, release manifests, and an evidence ledger.</w:t>
      </w:r>
    </w:p>
    <w:p w14:paraId="5E4318B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4F17BEEE" w14:textId="5C16B72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5D048ED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10. Conclusion</w:t>
      </w:r>
    </w:p>
    <w:p w14:paraId="12E9D5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RAGWarrant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2FBA37A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15F6337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1218412"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1DD47B96"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B95E32F"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RAGWarrant's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7A63A808" w14:textId="77777777">
        <w:trPr>
          <w:tblHeader/>
          <w:jc w:val="center"/>
        </w:trPr>
        <w:tc>
          <w:tcPr>
            <w:tcW w:w="1872" w:type="dxa"/>
            <w:shd w:val="clear" w:color="auto" w:fill="DCE8EF"/>
            <w:tcMar>
              <w:top w:w="70" w:type="dxa"/>
              <w:left w:w="90" w:type="dxa"/>
              <w:bottom w:w="70" w:type="dxa"/>
              <w:right w:w="90" w:type="dxa"/>
            </w:tcMar>
            <w:vAlign w:val="center"/>
          </w:tcPr>
          <w:p w14:paraId="40397D0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787E789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26E52D2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4101BAAF"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696611" w14:textId="77777777">
        <w:trPr>
          <w:jc w:val="center"/>
        </w:trPr>
        <w:tc>
          <w:tcPr>
            <w:tcW w:w="1872" w:type="dxa"/>
            <w:tcMar>
              <w:top w:w="70" w:type="dxa"/>
              <w:left w:w="90" w:type="dxa"/>
              <w:bottom w:w="70" w:type="dxa"/>
              <w:right w:w="90" w:type="dxa"/>
            </w:tcMar>
            <w:vAlign w:val="center"/>
          </w:tcPr>
          <w:p w14:paraId="5C3240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0EE729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52A1DA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4BBFDC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16D7D254" w14:textId="77777777">
        <w:trPr>
          <w:jc w:val="center"/>
        </w:trPr>
        <w:tc>
          <w:tcPr>
            <w:tcW w:w="1872" w:type="dxa"/>
            <w:tcMar>
              <w:top w:w="70" w:type="dxa"/>
              <w:left w:w="90" w:type="dxa"/>
              <w:bottom w:w="70" w:type="dxa"/>
              <w:right w:w="90" w:type="dxa"/>
            </w:tcMar>
            <w:vAlign w:val="center"/>
          </w:tcPr>
          <w:p w14:paraId="587D6C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5EB35C5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21E967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1227AB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68214C07" w14:textId="77777777">
        <w:trPr>
          <w:jc w:val="center"/>
        </w:trPr>
        <w:tc>
          <w:tcPr>
            <w:tcW w:w="1872" w:type="dxa"/>
            <w:tcMar>
              <w:top w:w="70" w:type="dxa"/>
              <w:left w:w="90" w:type="dxa"/>
              <w:bottom w:w="70" w:type="dxa"/>
              <w:right w:w="90" w:type="dxa"/>
            </w:tcMar>
            <w:vAlign w:val="center"/>
          </w:tcPr>
          <w:p w14:paraId="70ACA4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2A260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10C907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0B376B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430B67DD" w14:textId="77777777">
        <w:trPr>
          <w:jc w:val="center"/>
        </w:trPr>
        <w:tc>
          <w:tcPr>
            <w:tcW w:w="1872" w:type="dxa"/>
            <w:tcMar>
              <w:top w:w="70" w:type="dxa"/>
              <w:left w:w="90" w:type="dxa"/>
              <w:bottom w:w="70" w:type="dxa"/>
              <w:right w:w="90" w:type="dxa"/>
            </w:tcMar>
            <w:vAlign w:val="center"/>
          </w:tcPr>
          <w:p w14:paraId="606E86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0B1994F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6F738A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3E93B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CAC94BB" w14:textId="77777777">
        <w:trPr>
          <w:jc w:val="center"/>
        </w:trPr>
        <w:tc>
          <w:tcPr>
            <w:tcW w:w="1872" w:type="dxa"/>
            <w:tcMar>
              <w:top w:w="70" w:type="dxa"/>
              <w:left w:w="90" w:type="dxa"/>
              <w:bottom w:w="70" w:type="dxa"/>
              <w:right w:w="90" w:type="dxa"/>
            </w:tcMar>
            <w:vAlign w:val="center"/>
          </w:tcPr>
          <w:p w14:paraId="279C50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32B695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218986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340847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62C51989" w14:textId="77777777">
        <w:trPr>
          <w:jc w:val="center"/>
        </w:trPr>
        <w:tc>
          <w:tcPr>
            <w:tcW w:w="1872" w:type="dxa"/>
            <w:tcMar>
              <w:top w:w="70" w:type="dxa"/>
              <w:left w:w="90" w:type="dxa"/>
              <w:bottom w:w="70" w:type="dxa"/>
              <w:right w:w="90" w:type="dxa"/>
            </w:tcMar>
            <w:vAlign w:val="center"/>
          </w:tcPr>
          <w:p w14:paraId="43D294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00974E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47BDEF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5C9F351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032EE810" w14:textId="77777777">
        <w:trPr>
          <w:jc w:val="center"/>
        </w:trPr>
        <w:tc>
          <w:tcPr>
            <w:tcW w:w="1872" w:type="dxa"/>
            <w:tcMar>
              <w:top w:w="70" w:type="dxa"/>
              <w:left w:w="90" w:type="dxa"/>
              <w:bottom w:w="70" w:type="dxa"/>
              <w:right w:w="90" w:type="dxa"/>
            </w:tcMar>
            <w:vAlign w:val="center"/>
          </w:tcPr>
          <w:p w14:paraId="3E7176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21E0105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2BDFD95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45A26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216DB49" w14:textId="77777777">
        <w:trPr>
          <w:jc w:val="center"/>
        </w:trPr>
        <w:tc>
          <w:tcPr>
            <w:tcW w:w="1872" w:type="dxa"/>
            <w:tcMar>
              <w:top w:w="70" w:type="dxa"/>
              <w:left w:w="90" w:type="dxa"/>
              <w:bottom w:w="70" w:type="dxa"/>
              <w:right w:w="90" w:type="dxa"/>
            </w:tcMar>
            <w:vAlign w:val="center"/>
          </w:tcPr>
          <w:p w14:paraId="3989536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64525D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46D923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132874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11E73313"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6D9F122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0A8943FC"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promotion_decision.json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7265F34D" w14:textId="77777777">
        <w:trPr>
          <w:tblHeader/>
          <w:jc w:val="center"/>
        </w:trPr>
        <w:tc>
          <w:tcPr>
            <w:tcW w:w="1584" w:type="dxa"/>
            <w:shd w:val="clear" w:color="auto" w:fill="DCE8EF"/>
            <w:tcMar>
              <w:top w:w="70" w:type="dxa"/>
              <w:left w:w="90" w:type="dxa"/>
              <w:bottom w:w="70" w:type="dxa"/>
              <w:right w:w="90" w:type="dxa"/>
            </w:tcMar>
            <w:vAlign w:val="center"/>
          </w:tcPr>
          <w:p w14:paraId="4F01C2C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119A6141"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6A91B1F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4FC10553" w14:textId="77777777">
        <w:trPr>
          <w:jc w:val="center"/>
        </w:trPr>
        <w:tc>
          <w:tcPr>
            <w:tcW w:w="1584" w:type="dxa"/>
            <w:tcMar>
              <w:top w:w="70" w:type="dxa"/>
              <w:left w:w="90" w:type="dxa"/>
              <w:bottom w:w="70" w:type="dxa"/>
              <w:right w:w="90" w:type="dxa"/>
            </w:tcMar>
            <w:vAlign w:val="center"/>
          </w:tcPr>
          <w:p w14:paraId="4C33BA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777CE4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0D5D4F8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259546C9" w14:textId="77777777">
        <w:trPr>
          <w:jc w:val="center"/>
        </w:trPr>
        <w:tc>
          <w:tcPr>
            <w:tcW w:w="1584" w:type="dxa"/>
            <w:tcMar>
              <w:top w:w="70" w:type="dxa"/>
              <w:left w:w="90" w:type="dxa"/>
              <w:bottom w:w="70" w:type="dxa"/>
              <w:right w:w="90" w:type="dxa"/>
            </w:tcMar>
            <w:vAlign w:val="center"/>
          </w:tcPr>
          <w:p w14:paraId="3AF610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0CEC85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8D0994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24141BA6" w14:textId="77777777">
        <w:trPr>
          <w:jc w:val="center"/>
        </w:trPr>
        <w:tc>
          <w:tcPr>
            <w:tcW w:w="1584" w:type="dxa"/>
            <w:tcMar>
              <w:top w:w="70" w:type="dxa"/>
              <w:left w:w="90" w:type="dxa"/>
              <w:bottom w:w="70" w:type="dxa"/>
              <w:right w:w="90" w:type="dxa"/>
            </w:tcMar>
            <w:vAlign w:val="center"/>
          </w:tcPr>
          <w:p w14:paraId="6AC94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46EFABF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73A535F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75CD3280" w14:textId="77777777">
        <w:trPr>
          <w:jc w:val="center"/>
        </w:trPr>
        <w:tc>
          <w:tcPr>
            <w:tcW w:w="1584" w:type="dxa"/>
            <w:tcMar>
              <w:top w:w="70" w:type="dxa"/>
              <w:left w:w="90" w:type="dxa"/>
              <w:bottom w:w="70" w:type="dxa"/>
              <w:right w:w="90" w:type="dxa"/>
            </w:tcMar>
            <w:vAlign w:val="center"/>
          </w:tcPr>
          <w:p w14:paraId="32757D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606635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C29A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1F5E9606" w14:textId="77777777">
        <w:trPr>
          <w:jc w:val="center"/>
        </w:trPr>
        <w:tc>
          <w:tcPr>
            <w:tcW w:w="1584" w:type="dxa"/>
            <w:tcMar>
              <w:top w:w="70" w:type="dxa"/>
              <w:left w:w="90" w:type="dxa"/>
              <w:bottom w:w="70" w:type="dxa"/>
              <w:right w:w="90" w:type="dxa"/>
            </w:tcMar>
            <w:vAlign w:val="center"/>
          </w:tcPr>
          <w:p w14:paraId="5C1748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04515E8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40A545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1C538CA1" w14:textId="77777777">
        <w:trPr>
          <w:jc w:val="center"/>
        </w:trPr>
        <w:tc>
          <w:tcPr>
            <w:tcW w:w="1584" w:type="dxa"/>
            <w:tcMar>
              <w:top w:w="70" w:type="dxa"/>
              <w:left w:w="90" w:type="dxa"/>
              <w:bottom w:w="70" w:type="dxa"/>
              <w:right w:w="90" w:type="dxa"/>
            </w:tcMar>
            <w:vAlign w:val="center"/>
          </w:tcPr>
          <w:p w14:paraId="0AAE1B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66B2D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02E81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4C46CD6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53432C9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53121822"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12860038" w14:textId="77777777">
        <w:trPr>
          <w:tblHeader/>
          <w:jc w:val="center"/>
        </w:trPr>
        <w:tc>
          <w:tcPr>
            <w:tcW w:w="2520" w:type="dxa"/>
            <w:shd w:val="clear" w:color="auto" w:fill="DCE8EF"/>
            <w:tcMar>
              <w:top w:w="70" w:type="dxa"/>
              <w:left w:w="90" w:type="dxa"/>
              <w:bottom w:w="70" w:type="dxa"/>
              <w:right w:w="90" w:type="dxa"/>
            </w:tcMar>
            <w:vAlign w:val="center"/>
          </w:tcPr>
          <w:p w14:paraId="7834B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1AA5269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v0.1.0-rc1</w:t>
            </w:r>
          </w:p>
        </w:tc>
        <w:tc>
          <w:tcPr>
            <w:tcW w:w="5472" w:type="dxa"/>
            <w:shd w:val="clear" w:color="auto" w:fill="DCE8EF"/>
            <w:tcMar>
              <w:top w:w="70" w:type="dxa"/>
              <w:left w:w="90" w:type="dxa"/>
              <w:bottom w:w="70" w:type="dxa"/>
              <w:right w:w="90" w:type="dxa"/>
            </w:tcMar>
            <w:vAlign w:val="center"/>
          </w:tcPr>
          <w:p w14:paraId="4CC73D4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4121086B" w14:textId="77777777">
        <w:trPr>
          <w:jc w:val="center"/>
        </w:trPr>
        <w:tc>
          <w:tcPr>
            <w:tcW w:w="2520" w:type="dxa"/>
            <w:tcMar>
              <w:top w:w="70" w:type="dxa"/>
              <w:left w:w="90" w:type="dxa"/>
              <w:bottom w:w="70" w:type="dxa"/>
              <w:right w:w="90" w:type="dxa"/>
            </w:tcMar>
            <w:vAlign w:val="center"/>
          </w:tcPr>
          <w:p w14:paraId="39C325C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0E8C4C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376F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5FAE9354" w14:textId="77777777">
        <w:trPr>
          <w:jc w:val="center"/>
        </w:trPr>
        <w:tc>
          <w:tcPr>
            <w:tcW w:w="2520" w:type="dxa"/>
            <w:tcMar>
              <w:top w:w="70" w:type="dxa"/>
              <w:left w:w="90" w:type="dxa"/>
              <w:bottom w:w="70" w:type="dxa"/>
              <w:right w:w="90" w:type="dxa"/>
            </w:tcMar>
            <w:vAlign w:val="center"/>
          </w:tcPr>
          <w:p w14:paraId="2B4CB9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397FD7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786898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56F44FCA" w14:textId="77777777">
        <w:trPr>
          <w:jc w:val="center"/>
        </w:trPr>
        <w:tc>
          <w:tcPr>
            <w:tcW w:w="2520" w:type="dxa"/>
            <w:tcMar>
              <w:top w:w="70" w:type="dxa"/>
              <w:left w:w="90" w:type="dxa"/>
              <w:bottom w:w="70" w:type="dxa"/>
              <w:right w:w="90" w:type="dxa"/>
            </w:tcMar>
            <w:vAlign w:val="center"/>
          </w:tcPr>
          <w:p w14:paraId="4756E5E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6BBE36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7B4311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2CD31F9A" w14:textId="77777777">
        <w:trPr>
          <w:jc w:val="center"/>
        </w:trPr>
        <w:tc>
          <w:tcPr>
            <w:tcW w:w="2520" w:type="dxa"/>
            <w:tcMar>
              <w:top w:w="70" w:type="dxa"/>
              <w:left w:w="90" w:type="dxa"/>
              <w:bottom w:w="70" w:type="dxa"/>
              <w:right w:w="90" w:type="dxa"/>
            </w:tcMar>
            <w:vAlign w:val="center"/>
          </w:tcPr>
          <w:p w14:paraId="75A5D2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758A25D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DB58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1CC98E25" w14:textId="77777777">
        <w:trPr>
          <w:jc w:val="center"/>
        </w:trPr>
        <w:tc>
          <w:tcPr>
            <w:tcW w:w="2520" w:type="dxa"/>
            <w:tcMar>
              <w:top w:w="70" w:type="dxa"/>
              <w:left w:w="90" w:type="dxa"/>
              <w:bottom w:w="70" w:type="dxa"/>
              <w:right w:w="90" w:type="dxa"/>
            </w:tcMar>
            <w:vAlign w:val="center"/>
          </w:tcPr>
          <w:p w14:paraId="3A701B9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79DEE5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0F30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62AA5BDB" w14:textId="77777777">
        <w:trPr>
          <w:jc w:val="center"/>
        </w:trPr>
        <w:tc>
          <w:tcPr>
            <w:tcW w:w="2520" w:type="dxa"/>
            <w:tcMar>
              <w:top w:w="70" w:type="dxa"/>
              <w:left w:w="90" w:type="dxa"/>
              <w:bottom w:w="70" w:type="dxa"/>
              <w:right w:w="90" w:type="dxa"/>
            </w:tcMar>
            <w:vAlign w:val="center"/>
          </w:tcPr>
          <w:p w14:paraId="7B5EEC7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03A1A4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6B2E1A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66264389" w14:textId="77777777">
        <w:trPr>
          <w:jc w:val="center"/>
        </w:trPr>
        <w:tc>
          <w:tcPr>
            <w:tcW w:w="2520" w:type="dxa"/>
            <w:tcMar>
              <w:top w:w="70" w:type="dxa"/>
              <w:left w:w="90" w:type="dxa"/>
              <w:bottom w:w="70" w:type="dxa"/>
              <w:right w:w="90" w:type="dxa"/>
            </w:tcMar>
            <w:vAlign w:val="center"/>
          </w:tcPr>
          <w:p w14:paraId="3C92D9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68ABB72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E9F73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05D897F1" w14:textId="77777777">
        <w:trPr>
          <w:jc w:val="center"/>
        </w:trPr>
        <w:tc>
          <w:tcPr>
            <w:tcW w:w="2520" w:type="dxa"/>
            <w:tcMar>
              <w:top w:w="70" w:type="dxa"/>
              <w:left w:w="90" w:type="dxa"/>
              <w:bottom w:w="70" w:type="dxa"/>
              <w:right w:w="90" w:type="dxa"/>
            </w:tcMar>
            <w:vAlign w:val="center"/>
          </w:tcPr>
          <w:p w14:paraId="64F9D0B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5EC9A0B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826DC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661BF771" w14:textId="77777777">
        <w:trPr>
          <w:jc w:val="center"/>
        </w:trPr>
        <w:tc>
          <w:tcPr>
            <w:tcW w:w="2520" w:type="dxa"/>
            <w:tcMar>
              <w:top w:w="70" w:type="dxa"/>
              <w:left w:w="90" w:type="dxa"/>
              <w:bottom w:w="70" w:type="dxa"/>
              <w:right w:w="90" w:type="dxa"/>
            </w:tcMar>
            <w:vAlign w:val="center"/>
          </w:tcPr>
          <w:p w14:paraId="6149AE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2C695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5A813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59F0896F"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7BD549E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0820A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57E51E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row-level reconstruction found only one unique paired delta. Query, cluster, dataset-blocked, seed, and hierarchical resampling therefore repeated the same aggregate policy difference rather than exposing query-level variation. RAGWarrant retained the original run as descriptive candidate-output evidence but marked it inconclusive for calibrated query-level uncertainty.</w:t>
      </w:r>
    </w:p>
    <w:p w14:paraId="0BC1D90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26AF400D"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2C39052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2872EC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371AC6C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947F65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8C236B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DBA769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0563F31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6671A5B3" w14:textId="1E957177" w:rsidR="00A16D83" w:rsidRPr="002A2802" w:rsidRDefault="0034031E">
      <w:pPr>
        <w:spacing w:after="42" w:line="240" w:lineRule="auto"/>
        <w:ind w:left="331" w:hanging="331"/>
        <w:rPr>
          <w:rFonts w:asciiTheme="majorHAnsi" w:hAnsiTheme="majorHAnsi"/>
          <w:color w:val="000000" w:themeColor="text1"/>
        </w:rPr>
      </w:pPr>
      <w:r>
        <w:t>[7] X. Yang, K. Sun, H. Xin, et al., 'CRAG: Comprehensive RAG Benchmark,' arXiv:2406.04744, 2024.</w:t>
      </w:r>
    </w:p>
    <w:p w14:paraId="30EEB6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50EB342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6A3B8D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09B664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3540802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06826E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54CD868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6BAE3EE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6B12D8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262C00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012CC4D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D87404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38BA6A32"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[20] RAGWarrant Contributors, RAGWarrant Governance, version 0.1.0-rc1, 2026. https://github.com/RAGWarrant/ragwarrant-governance.</w:t>
      </w:r>
    </w:p>
    <w:p w14:paraId="6288C330"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sectPr w:rsidR="00A16D83" w:rsidRPr="002A2802" w:rsidSect="00034616">
      <w:headerReference w:type="default" r:id="rId15"/>
      <w:footerReference w:type="default" r:id="rId16"/>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9F80" w14:textId="77777777" w:rsidR="0034031E" w:rsidRDefault="0034031E">
      <w:pPr>
        <w:spacing w:after="0" w:line="240" w:lineRule="auto"/>
      </w:pPr>
      <w:r>
        <w:separator/>
      </w:r>
    </w:p>
  </w:endnote>
  <w:endnote w:type="continuationSeparator" w:id="0">
    <w:p w14:paraId="06FBAEF9"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5305" w14:textId="60DE158E" w:rsidR="00A16D83" w:rsidRDefault="0034031E">
    <w:pPr>
      <w:pStyle w:val="Footer"/>
      <w:jc w:val="right"/>
    </w:pPr>
    <w:r>
      <w:rPr>
        <w:rFonts w:ascii="Lato" w:hAnsi="Lato"/>
        <w:color w:val="5B6570"/>
        <w:sz w:val="16"/>
      </w:rPr>
      <w:t xml:space="preserve">Preprint draft  |  v0.1.0-rc1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2FDB3" w14:textId="77777777" w:rsidR="0034031E" w:rsidRDefault="0034031E">
      <w:pPr>
        <w:spacing w:after="0" w:line="240" w:lineRule="auto"/>
      </w:pPr>
      <w:r>
        <w:separator/>
      </w:r>
    </w:p>
  </w:footnote>
  <w:footnote w:type="continuationSeparator" w:id="0">
    <w:p w14:paraId="0F598A51"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20BDC" w14:textId="77777777" w:rsidR="00A16D83" w:rsidRDefault="0034031E">
    <w:pPr>
      <w:pStyle w:val="Header"/>
    </w:pPr>
    <w:r>
      <w:rPr>
        <w:rFonts w:ascii="Lato" w:hAnsi="Lato"/>
        <w:b/>
        <w:color w:val="5B6570"/>
        <w:sz w:val="16"/>
      </w:rPr>
      <w:t>RAGWarrant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34616"/>
    <w:rsid w:val="0006063C"/>
    <w:rsid w:val="00063ADE"/>
    <w:rsid w:val="00075699"/>
    <w:rsid w:val="000D71FC"/>
    <w:rsid w:val="0015074B"/>
    <w:rsid w:val="00176B92"/>
    <w:rsid w:val="00190ACF"/>
    <w:rsid w:val="00211977"/>
    <w:rsid w:val="0029639D"/>
    <w:rsid w:val="002A2802"/>
    <w:rsid w:val="0030370F"/>
    <w:rsid w:val="003061BD"/>
    <w:rsid w:val="00326F90"/>
    <w:rsid w:val="003328CB"/>
    <w:rsid w:val="0034031E"/>
    <w:rsid w:val="003476E3"/>
    <w:rsid w:val="0049724E"/>
    <w:rsid w:val="005C6143"/>
    <w:rsid w:val="0062187F"/>
    <w:rsid w:val="006C515E"/>
    <w:rsid w:val="007F657B"/>
    <w:rsid w:val="008130DB"/>
    <w:rsid w:val="00852858"/>
    <w:rsid w:val="008776D0"/>
    <w:rsid w:val="008D29D3"/>
    <w:rsid w:val="00961EB7"/>
    <w:rsid w:val="009F0E0F"/>
    <w:rsid w:val="00A16D83"/>
    <w:rsid w:val="00AA1284"/>
    <w:rsid w:val="00AA1D8D"/>
    <w:rsid w:val="00B3501D"/>
    <w:rsid w:val="00B47730"/>
    <w:rsid w:val="00B531DF"/>
    <w:rsid w:val="00CB0664"/>
    <w:rsid w:val="00CF1625"/>
    <w:rsid w:val="00CF5D45"/>
    <w:rsid w:val="00D1548E"/>
    <w:rsid w:val="00DD3026"/>
    <w:rsid w:val="00E03420"/>
    <w:rsid w:val="00E87B02"/>
    <w:rsid w:val="00EA1D07"/>
    <w:rsid w:val="00EC589E"/>
    <w:rsid w:val="00F33854"/>
    <w:rsid w:val="00F41364"/>
    <w:rsid w:val="00FA0C75"/>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10C8D"/>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GWarrant/ragwarrant-governanc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RAGWarrant: Evidence-Preserving Governance for RAG Policy Promotion Under Quality, Cost, Latency, and Risk Constraints</dc:title>
  <dc:subject>Condensed arXiv preprint manuscript</dc:subject>
  <dc:creator>RAGWarrant Contributors</dc:creator>
  <cp:keywords>RAG, governance, promotion control, noninferiority, reproducibility, LLMOps</cp:keywords>
  <dc:description>Condensed manuscript revision based on v0.1.0-rc1 evidence.</dc:description>
  <cp:lastModifiedBy>Richard Krueger</cp:lastModifiedBy>
  <cp:revision>2</cp:revision>
  <dcterms:created xsi:type="dcterms:W3CDTF">2026-08-17T20:44:00Z</dcterms:created>
  <dcterms:modified xsi:type="dcterms:W3CDTF">2026-08-17T20:44:00Z</dcterms:modified>
  <cp:category/>
</cp:coreProperties>
</file>