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DCAEA" w14:textId="77777777" w:rsidR="00A16D83" w:rsidRPr="002A2802" w:rsidRDefault="0034031E">
      <w:pPr>
        <w:spacing w:before="560"/>
        <w:jc w:val="center"/>
        <w:rPr>
          <w:rFonts w:asciiTheme="majorHAnsi" w:hAnsiTheme="majorHAnsi"/>
          <w:color w:val="000000" w:themeColor="text1"/>
        </w:rPr>
      </w:pPr>
      <w:r w:rsidRPr="002A2802">
        <w:rPr>
          <w:rFonts w:asciiTheme="majorHAnsi" w:hAnsiTheme="majorHAnsi"/>
          <w:color w:val="000000" w:themeColor="text1"/>
          <w:sz w:val="58"/>
        </w:rPr>
        <w:t>RAGWarrant</w:t>
      </w:r>
    </w:p>
    <w:p w14:paraId="2E7E4EDF" w14:textId="77777777" w:rsidR="00A16D83" w:rsidRPr="002A2802" w:rsidRDefault="0034031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3EA48F03" w14:textId="5E5825A4"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p>
    <w:p w14:paraId="4A0F434D" w14:textId="77777777" w:rsidR="00A16D83" w:rsidRPr="002A2802" w:rsidRDefault="0034031E">
      <w:pPr>
        <w:spacing w:after="280"/>
        <w:jc w:val="center"/>
        <w:rPr>
          <w:rFonts w:asciiTheme="majorHAnsi" w:hAnsiTheme="majorHAnsi"/>
          <w:color w:val="000000" w:themeColor="text1"/>
        </w:rPr>
      </w:pPr>
      <w:r w:rsidRPr="002A2802">
        <w:rPr>
          <w:rFonts w:asciiTheme="majorHAnsi" w:hAnsiTheme="majorHAnsi"/>
          <w:color w:val="000000" w:themeColor="text1"/>
          <w:sz w:val="18"/>
        </w:rPr>
        <w:t>Independent open-source research project  |  August 2026  |  Preprint version 0.1.1-rc1</w:t>
      </w:r>
    </w:p>
    <w:p w14:paraId="4695B950" w14:textId="77777777" w:rsidR="00A16D83" w:rsidRPr="002A2802" w:rsidRDefault="0034031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78F311D1" w14:textId="3BBA9B3F" w:rsidR="00A16D83" w:rsidRPr="002A2802" w:rsidRDefault="0034031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RAGWarrant, an open-source promotion-control framework that treats deployment as a constrained evidence decision rather than a leaderboard choice. RAGWarrant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14:paraId="1FFF8460" w14:textId="77777777" w:rsidR="00A16D83" w:rsidRPr="002A2802" w:rsidRDefault="0034031E">
      <w:pPr>
        <w:spacing w:after="80"/>
        <w:rPr>
          <w:rFonts w:asciiTheme="majorHAnsi" w:hAnsiTheme="majorHAnsi"/>
          <w:color w:val="000000" w:themeColor="text1"/>
        </w:rPr>
      </w:pPr>
      <w:r w:rsidRPr="002A2802">
        <w:rPr>
          <w:rFonts w:asciiTheme="majorHAnsi" w:hAnsiTheme="majorHAnsi"/>
          <w:color w:val="000000" w:themeColor="text1"/>
          <w:sz w:val="17"/>
        </w:rPr>
        <w:t>Keywords: retrieval-augmented generation; RAG evaluation; AI governance; promotion control; noninferiority; LLMOps; reproducibility</w:t>
      </w:r>
    </w:p>
    <w:p w14:paraId="28861DAF" w14:textId="77777777" w:rsidR="00A16D83" w:rsidRPr="002A2802" w:rsidRDefault="0034031E">
      <w:pPr>
        <w:spacing w:after="20"/>
        <w:rPr>
          <w:rFonts w:asciiTheme="majorHAnsi" w:hAnsiTheme="majorHAnsi"/>
          <w:color w:val="000000" w:themeColor="text1"/>
        </w:rPr>
      </w:pPr>
      <w:r>
        <w:t>Code and artifacts: https://github.com/RAGWarrant/ragwarrant-governance</w:t>
      </w:r>
    </w:p>
    <w:p w14:paraId="3C2D8F00"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sz w:val="17"/>
        </w:rPr>
        <w:t>Release candidate: v0.1.1-rc1  |  Commit: ff529005bf7d00a0c3f79ba991563f3923d63205</w:t>
      </w:r>
    </w:p>
    <w:p w14:paraId="3AD3D754"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6BF893AB"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3A46056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14:paraId="2B49104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14:paraId="2D01B2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 addresses that decision layer. Its central abstraction is not a new answer-quality metric or a universal optimizer. It is an evidence-preserving promotion controller. RAGWarrant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pPr>
        <w:pStyle w:val="BodyText"/>
      </w:pPr>
      <w:r>
        <w:t>RAGWarrant is intended to govern RAG policy promotion, not to discover, certify, or imply a globally optimal RAG configuration.</w:t>
      </w:r>
    </w:p>
    <w:p w14:paraId="35337CD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13491F1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distinction matters because deployment authority is often implicit. In a research notebook, the highest validation score may become the de facto recommendation; in an enterprise workflow, a cost dashboard or latency trace may play the same role. RAGWarrant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14:paraId="7739BCA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7D06EE3D"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989320" cy="2581129"/>
                    </a:xfrm>
                    <a:prstGeom prst="rect">
                      <a:avLst/>
                    </a:prstGeom>
                  </pic:spPr>
                </pic:pic>
              </a:graphicData>
            </a:graphic>
          </wp:inline>
        </w:drawing>
      </w:r>
    </w:p>
    <w:p w14:paraId="0DEE945F"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1. RAGWarrant converts candidate-policy evidence into an auditable promotion decision; artifacts, telemetry, and negative results feed the next evaluation cycle.</w:t>
      </w:r>
    </w:p>
    <w:p w14:paraId="14BEBDE2"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2. Background and Related Work</w:t>
      </w:r>
    </w:p>
    <w:p w14:paraId="7487318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0183411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RAGWarrant consumes these measurements as bounded evidence; it does not replace their metric semantics.</w:t>
      </w:r>
    </w:p>
    <w:p w14:paraId="2364C26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B81F7D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NIST's AI Risk Management Framework and Generative AI Profile organize lifecycle governance around Govern, Map, Measure, and Manage, and ISO/IEC 42001 specifies an AI management system [11-13]. RAGWarrant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3735030D" w14:textId="77777777">
        <w:trPr>
          <w:tblHeader/>
          <w:jc w:val="center"/>
          <w:cantSplit/>
        </w:trPr>
        <w:tc>
          <w:tcPr>
            <w:tcW w:w="1944" w:type="dxa"/>
            <w:shd w:val="clear" w:color="auto" w:fill="DCE8EF"/>
            <w:tcMar>
              <w:top w:w="70" w:type="dxa"/>
              <w:left w:w="90" w:type="dxa"/>
              <w:bottom w:w="70" w:type="dxa"/>
              <w:right w:w="90" w:type="dxa"/>
            </w:tcMar>
            <w:vAlign w:val="center"/>
          </w:tcPr>
          <w:p w14:paraId="740D574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3ED9CCA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448D13B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733AF0C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RAGWarrant relationship</w:t>
            </w:r>
          </w:p>
        </w:tc>
      </w:tr>
      <w:tr w:rsidR="00A16D83" w:rsidRPr="002A2802" w14:paraId="7A093F99" w14:textId="77777777">
        <w:trPr>
          <w:jc w:val="center"/>
          <w:cantSplit/>
        </w:trPr>
        <w:tc>
          <w:tcPr>
            <w:tcW w:w="1944" w:type="dxa"/>
            <w:tcMar>
              <w:top w:w="70" w:type="dxa"/>
              <w:left w:w="90" w:type="dxa"/>
              <w:bottom w:w="70" w:type="dxa"/>
              <w:right w:w="90" w:type="dxa"/>
            </w:tcMar>
            <w:vAlign w:val="center"/>
          </w:tcPr>
          <w:p w14:paraId="07C2D91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590E6F1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19C8A0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40B8510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16611F82" w14:textId="77777777">
        <w:trPr>
          <w:jc w:val="center"/>
          <w:cantSplit/>
        </w:trPr>
        <w:tc>
          <w:tcPr>
            <w:tcW w:w="1944" w:type="dxa"/>
            <w:tcMar>
              <w:top w:w="70" w:type="dxa"/>
              <w:left w:w="90" w:type="dxa"/>
              <w:bottom w:w="70" w:type="dxa"/>
              <w:right w:w="90" w:type="dxa"/>
            </w:tcMar>
            <w:vAlign w:val="center"/>
          </w:tcPr>
          <w:p w14:paraId="4FD9CA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71372BA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6C93B6F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DFB6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36DFD4B0" w14:textId="77777777">
        <w:trPr>
          <w:jc w:val="center"/>
          <w:cantSplit/>
        </w:trPr>
        <w:tc>
          <w:tcPr>
            <w:tcW w:w="1944" w:type="dxa"/>
            <w:tcMar>
              <w:top w:w="70" w:type="dxa"/>
              <w:left w:w="90" w:type="dxa"/>
              <w:bottom w:w="70" w:type="dxa"/>
              <w:right w:w="90" w:type="dxa"/>
            </w:tcMar>
            <w:vAlign w:val="center"/>
          </w:tcPr>
          <w:p w14:paraId="27028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268E388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391AA48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4E2685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190D9D92" w14:textId="77777777">
        <w:trPr>
          <w:jc w:val="center"/>
          <w:cantSplit/>
        </w:trPr>
        <w:tc>
          <w:tcPr>
            <w:tcW w:w="1944" w:type="dxa"/>
            <w:tcMar>
              <w:top w:w="70" w:type="dxa"/>
              <w:left w:w="90" w:type="dxa"/>
              <w:bottom w:w="70" w:type="dxa"/>
              <w:right w:w="90" w:type="dxa"/>
            </w:tcMar>
            <w:vAlign w:val="center"/>
          </w:tcPr>
          <w:p w14:paraId="43EF2D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49BD8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72ADE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12A32D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5C8C6573" w14:textId="77777777">
        <w:trPr>
          <w:jc w:val="center"/>
          <w:cantSplit/>
        </w:trPr>
        <w:tc>
          <w:tcPr>
            <w:tcW w:w="1944" w:type="dxa"/>
            <w:tcMar>
              <w:top w:w="70" w:type="dxa"/>
              <w:left w:w="90" w:type="dxa"/>
              <w:bottom w:w="70" w:type="dxa"/>
              <w:right w:w="90" w:type="dxa"/>
            </w:tcMar>
            <w:vAlign w:val="center"/>
          </w:tcPr>
          <w:p w14:paraId="3A629F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480DF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0F15C7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18453B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196FF0BF" w14:textId="77777777">
        <w:trPr>
          <w:jc w:val="center"/>
          <w:cantSplit/>
        </w:trPr>
        <w:tc>
          <w:tcPr>
            <w:tcW w:w="1944" w:type="dxa"/>
            <w:tcMar>
              <w:top w:w="70" w:type="dxa"/>
              <w:left w:w="90" w:type="dxa"/>
              <w:bottom w:w="70" w:type="dxa"/>
              <w:right w:w="90" w:type="dxa"/>
            </w:tcMar>
            <w:vAlign w:val="center"/>
          </w:tcPr>
          <w:p w14:paraId="111CE2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RAGWarrant</w:t>
            </w:r>
          </w:p>
        </w:tc>
        <w:tc>
          <w:tcPr>
            <w:tcW w:w="2376" w:type="dxa"/>
            <w:tcMar>
              <w:top w:w="70" w:type="dxa"/>
              <w:left w:w="90" w:type="dxa"/>
              <w:bottom w:w="70" w:type="dxa"/>
              <w:right w:w="90" w:type="dxa"/>
            </w:tcMar>
            <w:vAlign w:val="center"/>
          </w:tcPr>
          <w:p w14:paraId="1C187D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729C88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7A3D36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7673851B"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1. RAGWarrant complements metric, benchmark, optimization, observability, and management-framework layers.</w:t>
      </w:r>
    </w:p>
    <w:p w14:paraId="48C6661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7E46DE1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7FC3D7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17424D32"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65983ED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CB0C456"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4468CA1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31EC78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4EDA4037"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25DE6F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616B32F7"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4. RAGWarrant System</w:t>
      </w:r>
    </w:p>
    <w:p w14:paraId="688F2264"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56274F6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RAG policy is a named, versioned configuration that may change retrieval depth, endpoints, routing, reranking, context limits, fallback behavior, generator choice, abstention, or selector logic. Policies may be hand-authored, proposed by an optimizer, or imported from another experiment. RAGWarrant records behavioral parameters alongside normalized evidence such as answer correctness, faithfulness, evidence support, context recall, abstention correctness, API calls, cost, latency, failure rate, and protected-regression indicators.</w:t>
      </w:r>
    </w:p>
    <w:p w14:paraId="3D1E5D5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50F09A0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14:paraId="395268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14:paraId="2992BFAD"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4.2 Canonical promotion formalism</w:t>
      </w:r>
    </w:p>
    <w:p w14:paraId="7DD01C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14:paraId="33EDACDB"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400D12DE"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5099A92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31FB73EB"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657600" cy="3014654"/>
                    </a:xfrm>
                    <a:prstGeom prst="rect">
                      <a:avLst/>
                    </a:prstGeom>
                  </pic:spPr>
                </pic:pic>
              </a:graphicData>
            </a:graphic>
          </wp:inline>
        </w:drawing>
      </w:r>
    </w:p>
    <w:p w14:paraId="169AD90A"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D84FFDE"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0258BA1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3679FE6D" w14:textId="77777777">
        <w:trPr>
          <w:tblHeader/>
          <w:jc w:val="center"/>
          <w:cantSplit/>
        </w:trPr>
        <w:tc>
          <w:tcPr>
            <w:tcW w:w="1152" w:type="dxa"/>
            <w:shd w:val="clear" w:color="auto" w:fill="DCE8EF"/>
            <w:tcMar>
              <w:top w:w="70" w:type="dxa"/>
              <w:left w:w="90" w:type="dxa"/>
              <w:bottom w:w="70" w:type="dxa"/>
              <w:right w:w="90" w:type="dxa"/>
            </w:tcMar>
            <w:vAlign w:val="center"/>
          </w:tcPr>
          <w:p w14:paraId="20E716E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5C65CDD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4896BDF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5A02BF8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2C967E0A" w14:textId="77777777">
        <w:trPr>
          <w:jc w:val="center"/>
          <w:cantSplit/>
        </w:trPr>
        <w:tc>
          <w:tcPr>
            <w:tcW w:w="1152" w:type="dxa"/>
            <w:tcMar>
              <w:top w:w="70" w:type="dxa"/>
              <w:left w:w="90" w:type="dxa"/>
              <w:bottom w:w="70" w:type="dxa"/>
              <w:right w:w="90" w:type="dxa"/>
            </w:tcMar>
            <w:vAlign w:val="center"/>
          </w:tcPr>
          <w:p w14:paraId="01225C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1E4006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19484A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05586E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45A89D53" w14:textId="77777777">
        <w:trPr>
          <w:jc w:val="center"/>
          <w:cantSplit/>
        </w:trPr>
        <w:tc>
          <w:tcPr>
            <w:tcW w:w="1152" w:type="dxa"/>
            <w:tcMar>
              <w:top w:w="70" w:type="dxa"/>
              <w:left w:w="90" w:type="dxa"/>
              <w:bottom w:w="70" w:type="dxa"/>
              <w:right w:w="90" w:type="dxa"/>
            </w:tcMar>
            <w:vAlign w:val="center"/>
          </w:tcPr>
          <w:p w14:paraId="246E212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2FFAE3B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46FEE6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3BDA6D8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4B8B3BE7" w14:textId="77777777">
        <w:trPr>
          <w:jc w:val="center"/>
          <w:cantSplit/>
        </w:trPr>
        <w:tc>
          <w:tcPr>
            <w:tcW w:w="1152" w:type="dxa"/>
            <w:tcMar>
              <w:top w:w="70" w:type="dxa"/>
              <w:left w:w="90" w:type="dxa"/>
              <w:bottom w:w="70" w:type="dxa"/>
              <w:right w:w="90" w:type="dxa"/>
            </w:tcMar>
            <w:vAlign w:val="center"/>
          </w:tcPr>
          <w:p w14:paraId="70A845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027983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0AB5F4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016645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73573922" w14:textId="77777777">
        <w:trPr>
          <w:jc w:val="center"/>
          <w:cantSplit/>
        </w:trPr>
        <w:tc>
          <w:tcPr>
            <w:tcW w:w="1152" w:type="dxa"/>
            <w:tcMar>
              <w:top w:w="70" w:type="dxa"/>
              <w:left w:w="90" w:type="dxa"/>
              <w:bottom w:w="70" w:type="dxa"/>
              <w:right w:w="90" w:type="dxa"/>
            </w:tcMar>
            <w:vAlign w:val="center"/>
          </w:tcPr>
          <w:p w14:paraId="3785DD7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258F219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7F093A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201C28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437D1AC"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1C73AB26"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1C7987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14:paraId="7D4D4A65"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069080" cy="2914189"/>
                    </a:xfrm>
                    <a:prstGeom prst="rect">
                      <a:avLst/>
                    </a:prstGeom>
                  </pic:spPr>
                </pic:pic>
              </a:graphicData>
            </a:graphic>
          </wp:inline>
        </w:drawing>
      </w:r>
    </w:p>
    <w:p w14:paraId="192BF0D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45C2399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47287AD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14:paraId="76FDAF9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7D4749F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14:paraId="32ED7574"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Warrant containerized governance job and producing a promotion decision, audit bundle, and claim-boundary report." title="Cloud-agnostic deployment diagram showing policy configurations, datasets, and telemetry entering a hardened RAGWarrant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715000" cy="3218181"/>
                    </a:xfrm>
                    <a:prstGeom prst="rect">
                      <a:avLst/>
                    </a:prstGeom>
                  </pic:spPr>
                </pic:pic>
              </a:graphicData>
            </a:graphic>
          </wp:inline>
        </w:drawing>
      </w:r>
    </w:p>
    <w:p w14:paraId="5ABFAC32"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063DD7D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5. Experimental Program</w:t>
      </w:r>
    </w:p>
    <w:p w14:paraId="0D8D957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0BAAD71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[21] supplied a larger text-and-table development path; MultiHop-RAG [22] provided a fresh sealed multi-hop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0F0E5392" w14:textId="77777777">
        <w:trPr>
          <w:tblHeader/>
          <w:jc w:val="center"/>
          <w:cantSplit/>
        </w:trPr>
        <w:tc>
          <w:tcPr>
            <w:tcW w:w="1656" w:type="dxa"/>
            <w:shd w:val="clear" w:color="auto" w:fill="DCE8EF"/>
            <w:tcMar>
              <w:top w:w="70" w:type="dxa"/>
              <w:left w:w="90" w:type="dxa"/>
              <w:bottom w:w="70" w:type="dxa"/>
              <w:right w:w="90" w:type="dxa"/>
            </w:tcMar>
            <w:vAlign w:val="center"/>
          </w:tcPr>
          <w:p w14:paraId="340A21F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03C5B25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2574A2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79C4D43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546C1820" w14:textId="77777777">
        <w:trPr>
          <w:jc w:val="center"/>
          <w:cantSplit/>
        </w:trPr>
        <w:tc>
          <w:tcPr>
            <w:tcW w:w="1656" w:type="dxa"/>
            <w:tcMar>
              <w:top w:w="70" w:type="dxa"/>
              <w:left w:w="90" w:type="dxa"/>
              <w:bottom w:w="70" w:type="dxa"/>
              <w:right w:w="90" w:type="dxa"/>
            </w:tcMar>
            <w:vAlign w:val="center"/>
          </w:tcPr>
          <w:p w14:paraId="33A8B8D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6AC70D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715557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7208BDF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6BB75D71" w14:textId="77777777">
        <w:trPr>
          <w:jc w:val="center"/>
          <w:cantSplit/>
        </w:trPr>
        <w:tc>
          <w:tcPr>
            <w:tcW w:w="1656" w:type="dxa"/>
            <w:tcMar>
              <w:top w:w="70" w:type="dxa"/>
              <w:left w:w="90" w:type="dxa"/>
              <w:bottom w:w="70" w:type="dxa"/>
              <w:right w:w="90" w:type="dxa"/>
            </w:tcMar>
            <w:vAlign w:val="center"/>
          </w:tcPr>
          <w:p w14:paraId="51E65F6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0DE72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78A48B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5B872C3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220ECE09" w14:textId="77777777">
        <w:trPr>
          <w:jc w:val="center"/>
          <w:cantSplit/>
        </w:trPr>
        <w:tc>
          <w:tcPr>
            <w:tcW w:w="1656" w:type="dxa"/>
            <w:tcMar>
              <w:top w:w="70" w:type="dxa"/>
              <w:left w:w="90" w:type="dxa"/>
              <w:bottom w:w="70" w:type="dxa"/>
              <w:right w:w="90" w:type="dxa"/>
            </w:tcMar>
            <w:vAlign w:val="center"/>
          </w:tcPr>
          <w:p w14:paraId="7488AB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3A315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12C521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2F992AE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3D7F2E05" w14:textId="77777777">
        <w:trPr>
          <w:jc w:val="center"/>
          <w:cantSplit/>
        </w:trPr>
        <w:tc>
          <w:tcPr>
            <w:tcW w:w="1656" w:type="dxa"/>
            <w:tcMar>
              <w:top w:w="70" w:type="dxa"/>
              <w:left w:w="90" w:type="dxa"/>
              <w:bottom w:w="70" w:type="dxa"/>
              <w:right w:w="90" w:type="dxa"/>
            </w:tcMar>
            <w:vAlign w:val="center"/>
          </w:tcPr>
          <w:p w14:paraId="2D02F00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64BE54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4AFCE7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1791553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46FC16FE" w14:textId="77777777">
        <w:trPr>
          <w:jc w:val="center"/>
          <w:cantSplit/>
        </w:trPr>
        <w:tc>
          <w:tcPr>
            <w:tcW w:w="1656" w:type="dxa"/>
            <w:tcMar>
              <w:top w:w="70" w:type="dxa"/>
              <w:left w:w="90" w:type="dxa"/>
              <w:bottom w:w="70" w:type="dxa"/>
              <w:right w:w="90" w:type="dxa"/>
            </w:tcMar>
            <w:vAlign w:val="center"/>
          </w:tcPr>
          <w:p w14:paraId="5315462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7230A2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4EC897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006F402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79B785B" w14:textId="77777777">
        <w:trPr>
          <w:jc w:val="center"/>
          <w:cantSplit/>
        </w:trPr>
        <w:tc>
          <w:tcPr>
            <w:tcW w:w="1656" w:type="dxa"/>
            <w:tcMar>
              <w:top w:w="70" w:type="dxa"/>
              <w:left w:w="90" w:type="dxa"/>
              <w:bottom w:w="70" w:type="dxa"/>
              <w:right w:w="90" w:type="dxa"/>
            </w:tcMar>
            <w:vAlign w:val="center"/>
          </w:tcPr>
          <w:p w14:paraId="500AE2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4C9D07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3F3591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050EE60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2B8685C6" w14:textId="77777777">
        <w:trPr>
          <w:jc w:val="center"/>
          <w:cantSplit/>
        </w:trPr>
        <w:tc>
          <w:tcPr>
            <w:tcW w:w="1656" w:type="dxa"/>
            <w:tcMar>
              <w:top w:w="70" w:type="dxa"/>
              <w:left w:w="90" w:type="dxa"/>
              <w:bottom w:w="70" w:type="dxa"/>
              <w:right w:w="90" w:type="dxa"/>
            </w:tcMar>
            <w:vAlign w:val="center"/>
          </w:tcPr>
          <w:p w14:paraId="1264FE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4781340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42B5AC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4E9E5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62C6CE00"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7FD9C4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604F395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14:paraId="5A57ADB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70B07A5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D52E15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6. Results</w:t>
      </w:r>
    </w:p>
    <w:p w14:paraId="2F9B3F7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pPr>
        <w:pStyle w:val="BodyText"/>
      </w:pPr>
      <w:r>
        <w:t>Representative artifact pointers for Table 4 are retained in the public tree rather than reproduced as raw data. The strongest CRAG mock-API result is associated with run_id ragwarrant_crag_mock_api_validation_v1_20260809-165415-92d8c0edd4; supporting summaries include results/behavioral_governance/paper_ready_summary.md, results/multi_dataset_behavioral_governance/paper_ready_summary.md, results/generative_llm_validation/synthesis_report.md, docs/selector_ablation_stress_v2.md, results/claim_status/claim_status_table.csv, and the canonical results/run_index.csv.</w:t>
      </w:r>
    </w:p>
    <w:p w14:paraId="71DF6E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9C71DE"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6080760" cy="3379752"/>
                    </a:xfrm>
                    <a:prstGeom prst="rect">
                      <a:avLst/>
                    </a:prstGeom>
                  </pic:spPr>
                </pic:pic>
              </a:graphicData>
            </a:graphic>
          </wp:inline>
        </w:drawing>
      </w:r>
    </w:p>
    <w:p w14:paraId="43C90786"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12326A2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31F6F8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w:t>
      </w:r>
      <w:r w:rsidRPr="002A2802">
        <w:rPr>
          <w:rFonts w:asciiTheme="majorHAnsi" w:hAnsiTheme="majorHAnsi"/>
          <w:color w:val="000000" w:themeColor="text1"/>
        </w:rPr>
        <w:lastRenderedPageBreak/>
        <w:t>retrieval, both selectors again chose the same high-retrieval policy. A larger T2-RAGBench development run was directly unfavorable to RAG Compass, reinforcing the optimizer-agnostic design.</w:t>
      </w:r>
    </w:p>
    <w:p w14:paraId="58055B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14:paraId="609C49A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66C190A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These studies also expose an important distinction between selection correctness and hindsight regret. A policy selected from validation evidence can lose to another policy on a sealed test set without implying a logic defect. RAGWarrant records that reversal, but it does not retroactively choose the test winner. This preserves the separation between model selection and final estimation that the governance contract is intended to enforce.</w:t>
      </w:r>
    </w:p>
    <w:p w14:paraId="2AD68D51"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6.2 Fail-closed outcomes</w:t>
      </w:r>
    </w:p>
    <w:p w14:paraId="03F816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HotpotQA provides the clearest negative test. The governed policy reduced retrieval cost, context volume, and calls, but answer quality declined beyond the declared noninferiority margin. A conventional efficiency report could describe the run as a cost win; RAGWarrant classified it as operational gain with quality loss and withheld promotion.</w:t>
      </w:r>
    </w:p>
    <w:p w14:paraId="5F86B71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4E2A6483" w14:textId="151F48E4"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Fail-closed behavior is costly: a conservative controller can retain an expensive baseline or delay a useful change. The packaged artifacts therefore record blocked rate</w:t>
      </w:r>
      <w:r w:rsidR="00E03420">
        <w:rPr>
          <w:rFonts w:asciiTheme="majorHAnsi" w:hAnsiTheme="majorHAnsi"/>
          <w:color w:val="000000" w:themeColor="text1"/>
        </w:rPr>
        <w:t xml:space="preserve"> and </w:t>
      </w:r>
      <w:r w:rsidRPr="002A2802">
        <w:rPr>
          <w:rFonts w:asciiTheme="majorHAnsi" w:hAnsiTheme="majorHAnsi"/>
          <w:color w:val="000000" w:themeColor="text1"/>
        </w:rPr>
        <w:t>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4B5EE528"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128A1B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73F948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14:paraId="3D32138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4524E283"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331290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14:paraId="36F836F3" w14:textId="77777777" w:rsidR="00FA0C75" w:rsidRPr="003328CB" w:rsidRDefault="00FA0C75" w:rsidP="009F0E0F">
      <w:pPr>
        <w:pStyle w:val="p1"/>
        <w:ind w:firstLine="317"/>
        <w:rPr>
          <w:rFonts w:asciiTheme="majorHAnsi" w:hAnsiTheme="majorHAnsi"/>
          <w:i/>
          <w:iCs/>
          <w:sz w:val="20"/>
          <w:szCs w:val="20"/>
        </w:rPr>
      </w:pPr>
      <w:r w:rsidRPr="003328CB">
        <w:rPr>
          <w:rStyle w:val="s1"/>
          <w:rFonts w:asciiTheme="majorHAnsi" w:hAnsiTheme="majorHAnsi"/>
          <w:i w:val="0"/>
          <w:iCs w:val="0"/>
          <w:sz w:val="20"/>
          <w:szCs w:val="20"/>
        </w:rPr>
        <w:lastRenderedPageBreak/>
        <w:t>A fresh Git clone installed and reproduced the public-mini workflow without private data or model credentials; the hardened Docker job completed under the constrained runtime profile; and verify-run confirmed artifact hashes, schemas, and hygiene conditions. These results establish that an independent reviewer can execute the contract that produced a decision — the public mini is deliberately synthetic and fail-closed, proving installation, schemas, exit behavior, and claim checks without implying external efficacy.</w:t>
      </w:r>
    </w:p>
    <w:p w14:paraId="277C0722" w14:textId="63AE762B" w:rsidR="00A16D83" w:rsidRPr="002A2802" w:rsidRDefault="00A16D83">
      <w:pPr>
        <w:pStyle w:val="BodyText"/>
        <w:spacing w:after="84" w:line="254" w:lineRule="auto"/>
        <w:ind w:firstLine="317"/>
        <w:jc w:val="both"/>
        <w:rPr>
          <w:rFonts w:asciiTheme="majorHAnsi" w:hAnsiTheme="majorHAnsi"/>
          <w:color w:val="000000" w:themeColor="text1"/>
        </w:rPr>
      </w:pPr>
    </w:p>
    <w:p w14:paraId="5C2A59F9"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6035040" cy="2745623"/>
                    </a:xfrm>
                    <a:prstGeom prst="rect">
                      <a:avLst/>
                    </a:prstGeom>
                  </pic:spPr>
                </pic:pic>
              </a:graphicData>
            </a:graphic>
          </wp:inline>
        </w:drawing>
      </w:r>
    </w:p>
    <w:p w14:paraId="5FCA8F4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p>
      <w:r>
        <w:br w:type="page"/>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500D496F" w14:textId="77777777">
        <w:trPr>
          <w:tblHeader/>
          <w:jc w:val="center"/>
          <w:cantSplit/>
        </w:trPr>
        <w:tc>
          <w:tcPr>
            <w:tcW w:w="1800" w:type="dxa"/>
            <w:shd w:val="clear" w:color="auto" w:fill="DCE8EF"/>
            <w:tcMar>
              <w:top w:w="70" w:type="dxa"/>
              <w:left w:w="90" w:type="dxa"/>
              <w:bottom w:w="70" w:type="dxa"/>
              <w:right w:w="90" w:type="dxa"/>
            </w:tcMar>
            <w:vAlign w:val="center"/>
          </w:tcPr>
          <w:p w14:paraId="78E69CB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Evaluation</w:t>
            </w:r>
          </w:p>
        </w:tc>
        <w:tc>
          <w:tcPr>
            <w:tcW w:w="1872" w:type="dxa"/>
            <w:shd w:val="clear" w:color="auto" w:fill="DCE8EF"/>
            <w:tcMar>
              <w:top w:w="70" w:type="dxa"/>
              <w:left w:w="90" w:type="dxa"/>
              <w:bottom w:w="70" w:type="dxa"/>
              <w:right w:w="90" w:type="dxa"/>
            </w:tcMar>
            <w:vAlign w:val="center"/>
          </w:tcPr>
          <w:p w14:paraId="4217B64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22B7D34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0131015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5CFE8236" w14:textId="77777777">
        <w:trPr>
          <w:jc w:val="center"/>
          <w:cantSplit/>
        </w:trPr>
        <w:tc>
          <w:tcPr>
            <w:tcW w:w="1800" w:type="dxa"/>
            <w:tcMar>
              <w:top w:w="70" w:type="dxa"/>
              <w:left w:w="90" w:type="dxa"/>
              <w:bottom w:w="70" w:type="dxa"/>
              <w:right w:w="90" w:type="dxa"/>
            </w:tcMar>
            <w:vAlign w:val="center"/>
          </w:tcPr>
          <w:p w14:paraId="28C717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78DFFEB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443BF2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4ACE076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729D9F6C" w14:textId="77777777">
        <w:trPr>
          <w:jc w:val="center"/>
          <w:cantSplit/>
        </w:trPr>
        <w:tc>
          <w:tcPr>
            <w:tcW w:w="1800" w:type="dxa"/>
            <w:tcMar>
              <w:top w:w="70" w:type="dxa"/>
              <w:left w:w="90" w:type="dxa"/>
              <w:bottom w:w="70" w:type="dxa"/>
              <w:right w:w="90" w:type="dxa"/>
            </w:tcMar>
            <w:vAlign w:val="center"/>
          </w:tcPr>
          <w:p w14:paraId="2AD62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74AD00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2BF5E2D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30CF1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6B925A89" w14:textId="77777777">
        <w:trPr>
          <w:jc w:val="center"/>
          <w:cantSplit/>
        </w:trPr>
        <w:tc>
          <w:tcPr>
            <w:tcW w:w="1800" w:type="dxa"/>
            <w:tcMar>
              <w:top w:w="70" w:type="dxa"/>
              <w:left w:w="90" w:type="dxa"/>
              <w:bottom w:w="70" w:type="dxa"/>
              <w:right w:w="90" w:type="dxa"/>
            </w:tcMar>
            <w:vAlign w:val="center"/>
          </w:tcPr>
          <w:p w14:paraId="23F9E37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44979E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7A0BC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C6E39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6DDDAC5B" w14:textId="77777777">
        <w:trPr>
          <w:jc w:val="center"/>
          <w:cantSplit/>
        </w:trPr>
        <w:tc>
          <w:tcPr>
            <w:tcW w:w="1800" w:type="dxa"/>
            <w:tcMar>
              <w:top w:w="70" w:type="dxa"/>
              <w:left w:w="90" w:type="dxa"/>
              <w:bottom w:w="70" w:type="dxa"/>
              <w:right w:w="90" w:type="dxa"/>
            </w:tcMar>
            <w:vAlign w:val="center"/>
          </w:tcPr>
          <w:p w14:paraId="68A838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1896D9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6E1A27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7C7D4C1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2F5B6DD2" w14:textId="77777777">
        <w:trPr>
          <w:jc w:val="center"/>
          <w:cantSplit/>
        </w:trPr>
        <w:tc>
          <w:tcPr>
            <w:tcW w:w="1800" w:type="dxa"/>
            <w:tcMar>
              <w:top w:w="70" w:type="dxa"/>
              <w:left w:w="90" w:type="dxa"/>
              <w:bottom w:w="70" w:type="dxa"/>
              <w:right w:w="90" w:type="dxa"/>
            </w:tcMar>
            <w:vAlign w:val="center"/>
          </w:tcPr>
          <w:p w14:paraId="6C2A05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231B8BD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72D051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3CCA13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22BA969F" w14:textId="77777777">
        <w:trPr>
          <w:jc w:val="center"/>
          <w:cantSplit/>
        </w:trPr>
        <w:tc>
          <w:tcPr>
            <w:tcW w:w="1800" w:type="dxa"/>
            <w:tcMar>
              <w:top w:w="70" w:type="dxa"/>
              <w:left w:w="90" w:type="dxa"/>
              <w:bottom w:w="70" w:type="dxa"/>
              <w:right w:w="90" w:type="dxa"/>
            </w:tcMar>
            <w:vAlign w:val="center"/>
          </w:tcPr>
          <w:p w14:paraId="6190D3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C20EA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65D5B69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52C9CC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6159ECE3" w14:textId="77777777">
        <w:trPr>
          <w:jc w:val="center"/>
          <w:cantSplit/>
        </w:trPr>
        <w:tc>
          <w:tcPr>
            <w:tcW w:w="1800" w:type="dxa"/>
            <w:tcMar>
              <w:top w:w="70" w:type="dxa"/>
              <w:left w:w="90" w:type="dxa"/>
              <w:bottom w:w="70" w:type="dxa"/>
              <w:right w:w="90" w:type="dxa"/>
            </w:tcMar>
            <w:vAlign w:val="center"/>
          </w:tcPr>
          <w:p w14:paraId="6B311C7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561DDE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2F6ECE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65EA1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48B2B6D7" w14:textId="77777777">
        <w:trPr>
          <w:jc w:val="center"/>
          <w:cantSplit/>
        </w:trPr>
        <w:tc>
          <w:tcPr>
            <w:tcW w:w="1800" w:type="dxa"/>
            <w:tcMar>
              <w:top w:w="70" w:type="dxa"/>
              <w:left w:w="90" w:type="dxa"/>
              <w:bottom w:w="70" w:type="dxa"/>
              <w:right w:w="90" w:type="dxa"/>
            </w:tcMar>
            <w:vAlign w:val="center"/>
          </w:tcPr>
          <w:p w14:paraId="51E19F7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57AFCB1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0E0ED49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69FDCD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00FFF971" w14:textId="77777777">
        <w:trPr>
          <w:jc w:val="center"/>
          <w:cantSplit/>
        </w:trPr>
        <w:tc>
          <w:tcPr>
            <w:tcW w:w="1800" w:type="dxa"/>
            <w:tcMar>
              <w:top w:w="70" w:type="dxa"/>
              <w:left w:w="90" w:type="dxa"/>
              <w:bottom w:w="70" w:type="dxa"/>
              <w:right w:w="90" w:type="dxa"/>
            </w:tcMar>
            <w:vAlign w:val="center"/>
          </w:tcPr>
          <w:p w14:paraId="0B1D1FC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775844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104983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6F468F9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77110624"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pPr/>
      <w:r>
        <w:rPr>
          <w:sz w:val="16"/>
        </w:rPr>
        <w:t>Note: cost and latency deltas in Table 4 follow each suite's declared telemetry fields and are comparable only within the corresponding evaluation path. Unless an artifact declares otherwise, cost is a normalized or modeled operational-cost field rather than a dollar-denominated cloud bill.</w:t>
      </w:r>
    </w:p>
    <w:p w14:paraId="632585B8"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7. Discussion</w:t>
      </w:r>
    </w:p>
    <w:p w14:paraId="3187C5C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40BB26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This position is complementary to existing tools. A team may obtain answer correctness from one evaluator, faithfulness from another, cost and latency from traces, and a security disqualifier from a separate suite. RAGWarrant's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66B85A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49737DE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practical governance program must eventually price false refusal as carefully as false promotion. Blocking too often can preserve a costly configuration, slow improvement, and encourage teams to bypass the process. RAGWarrant's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14:paraId="6EB26F6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RAGWarrant can run as a finite CI/CD or monitoring job and emit an artifact suitable for change review; integration with live identity, authorization, and incident processes remains deployment-specific.</w:t>
      </w:r>
    </w:p>
    <w:p w14:paraId="4E694DE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14:paraId="38DECF0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56B8B17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067CA9A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14:paraId="77851E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48EEC1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14:paraId="0A7998F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75EECD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Reproducibility artifacts verify code paths, decisions, and public hygiene; they cannot independently verify licensed raw data that are excluded from the repository. Exact external replication therefore depends on acquiring the original corpora </w:t>
      </w:r>
      <w:r w:rsidRPr="002A2802">
        <w:rPr>
          <w:rFonts w:asciiTheme="majorHAnsi" w:hAnsiTheme="majorHAnsi"/>
          <w:color w:val="000000" w:themeColor="text1"/>
        </w:rPr>
        <w:lastRenderedPageBreak/>
        <w:t>and reconstructing the declared manifests. The release tag itself is an engineering checkpoint rather than a guarantee that every historical artifact can be regenerated without those sources.</w:t>
      </w:r>
    </w:p>
    <w:p w14:paraId="65497679"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E52EC6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v0.1.1-rc1 artifact identifies a fixed commit and includes configs, schemas, sanitized processed results, tests, Docker assets, deployment templates, claim tables, release manifests, and an evidence ledger.</w:t>
      </w:r>
    </w:p>
    <w:p>
      <w:pPr>
        <w:pStyle w:val="BodyText"/>
      </w:pPr>
      <w:r>
        <w:t>Public artifacts exclude raw licensed dataset text, raw prompts, generated answers, raw API responses, credentials, local caches, and model weights; where needed, the repository retains hashes, IDs, counts, metrics, and sanitized summaries.</w:t>
      </w:r>
    </w:p>
    <w:p w14:paraId="5E4318B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4F17BEEE" w14:textId="5C16B726"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5D048ED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10. Conclusion</w:t>
      </w:r>
    </w:p>
    <w:p w14:paraId="12E9D5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2FBA37A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15F6337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1218412"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1DD47B96"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B95E32F"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RAGWarrant's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7A63A808" w14:textId="77777777">
        <w:trPr>
          <w:tblHeader/>
          <w:jc w:val="center"/>
          <w:cantSplit/>
        </w:trPr>
        <w:tc>
          <w:tcPr>
            <w:tcW w:w="1872" w:type="dxa"/>
            <w:shd w:val="clear" w:color="auto" w:fill="DCE8EF"/>
            <w:tcMar>
              <w:top w:w="70" w:type="dxa"/>
              <w:left w:w="90" w:type="dxa"/>
              <w:bottom w:w="70" w:type="dxa"/>
              <w:right w:w="90" w:type="dxa"/>
            </w:tcMar>
            <w:vAlign w:val="center"/>
          </w:tcPr>
          <w:p w14:paraId="40397D0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787E789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26E52D25"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4101BAAF"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696611" w14:textId="77777777">
        <w:trPr>
          <w:jc w:val="center"/>
          <w:cantSplit/>
        </w:trPr>
        <w:tc>
          <w:tcPr>
            <w:tcW w:w="1872" w:type="dxa"/>
            <w:tcMar>
              <w:top w:w="70" w:type="dxa"/>
              <w:left w:w="90" w:type="dxa"/>
              <w:bottom w:w="70" w:type="dxa"/>
              <w:right w:w="90" w:type="dxa"/>
            </w:tcMar>
            <w:vAlign w:val="center"/>
          </w:tcPr>
          <w:p w14:paraId="5C3240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0EE729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52A1DA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4BBFDC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16D7D254" w14:textId="77777777">
        <w:trPr>
          <w:jc w:val="center"/>
          <w:cantSplit/>
        </w:trPr>
        <w:tc>
          <w:tcPr>
            <w:tcW w:w="1872" w:type="dxa"/>
            <w:tcMar>
              <w:top w:w="70" w:type="dxa"/>
              <w:left w:w="90" w:type="dxa"/>
              <w:bottom w:w="70" w:type="dxa"/>
              <w:right w:w="90" w:type="dxa"/>
            </w:tcMar>
            <w:vAlign w:val="center"/>
          </w:tcPr>
          <w:p w14:paraId="587D6C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5EB35C5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21E967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1227AB0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68214C07" w14:textId="77777777">
        <w:trPr>
          <w:jc w:val="center"/>
          <w:cantSplit/>
        </w:trPr>
        <w:tc>
          <w:tcPr>
            <w:tcW w:w="1872" w:type="dxa"/>
            <w:tcMar>
              <w:top w:w="70" w:type="dxa"/>
              <w:left w:w="90" w:type="dxa"/>
              <w:bottom w:w="70" w:type="dxa"/>
              <w:right w:w="90" w:type="dxa"/>
            </w:tcMar>
            <w:vAlign w:val="center"/>
          </w:tcPr>
          <w:p w14:paraId="70ACA44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2A260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10C907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0B376B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430B67DD" w14:textId="77777777">
        <w:trPr>
          <w:jc w:val="center"/>
          <w:cantSplit/>
        </w:trPr>
        <w:tc>
          <w:tcPr>
            <w:tcW w:w="1872" w:type="dxa"/>
            <w:tcMar>
              <w:top w:w="70" w:type="dxa"/>
              <w:left w:w="90" w:type="dxa"/>
              <w:bottom w:w="70" w:type="dxa"/>
              <w:right w:w="90" w:type="dxa"/>
            </w:tcMar>
            <w:vAlign w:val="center"/>
          </w:tcPr>
          <w:p w14:paraId="606E86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0B1994F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6F738A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3E93B1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CAC94BB" w14:textId="77777777">
        <w:trPr>
          <w:jc w:val="center"/>
          <w:cantSplit/>
        </w:trPr>
        <w:tc>
          <w:tcPr>
            <w:tcW w:w="1872" w:type="dxa"/>
            <w:tcMar>
              <w:top w:w="70" w:type="dxa"/>
              <w:left w:w="90" w:type="dxa"/>
              <w:bottom w:w="70" w:type="dxa"/>
              <w:right w:w="90" w:type="dxa"/>
            </w:tcMar>
            <w:vAlign w:val="center"/>
          </w:tcPr>
          <w:p w14:paraId="279C500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32B695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218986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340847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62C51989" w14:textId="77777777">
        <w:trPr>
          <w:jc w:val="center"/>
          <w:cantSplit/>
        </w:trPr>
        <w:tc>
          <w:tcPr>
            <w:tcW w:w="1872" w:type="dxa"/>
            <w:tcMar>
              <w:top w:w="70" w:type="dxa"/>
              <w:left w:w="90" w:type="dxa"/>
              <w:bottom w:w="70" w:type="dxa"/>
              <w:right w:w="90" w:type="dxa"/>
            </w:tcMar>
            <w:vAlign w:val="center"/>
          </w:tcPr>
          <w:p w14:paraId="43D294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00974E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47BDEF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5C9F351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032EE810" w14:textId="77777777">
        <w:trPr>
          <w:jc w:val="center"/>
          <w:cantSplit/>
        </w:trPr>
        <w:tc>
          <w:tcPr>
            <w:tcW w:w="1872" w:type="dxa"/>
            <w:tcMar>
              <w:top w:w="70" w:type="dxa"/>
              <w:left w:w="90" w:type="dxa"/>
              <w:bottom w:w="70" w:type="dxa"/>
              <w:right w:w="90" w:type="dxa"/>
            </w:tcMar>
            <w:vAlign w:val="center"/>
          </w:tcPr>
          <w:p w14:paraId="3E7176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21E0105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2BDFD95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45A26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216DB49" w14:textId="77777777">
        <w:trPr>
          <w:jc w:val="center"/>
          <w:cantSplit/>
        </w:trPr>
        <w:tc>
          <w:tcPr>
            <w:tcW w:w="1872" w:type="dxa"/>
            <w:tcMar>
              <w:top w:w="70" w:type="dxa"/>
              <w:left w:w="90" w:type="dxa"/>
              <w:bottom w:w="70" w:type="dxa"/>
              <w:right w:w="90" w:type="dxa"/>
            </w:tcMar>
            <w:vAlign w:val="center"/>
          </w:tcPr>
          <w:p w14:paraId="3989536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64525D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46D923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132874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11E73313"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6D9F122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0A8943FC"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promotion_decision.json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7265F34D" w14:textId="77777777">
        <w:trPr>
          <w:tblHeader/>
          <w:jc w:val="center"/>
          <w:cantSplit/>
        </w:trPr>
        <w:tc>
          <w:tcPr>
            <w:tcW w:w="1584" w:type="dxa"/>
            <w:shd w:val="clear" w:color="auto" w:fill="DCE8EF"/>
            <w:tcMar>
              <w:top w:w="70" w:type="dxa"/>
              <w:left w:w="90" w:type="dxa"/>
              <w:bottom w:w="70" w:type="dxa"/>
              <w:right w:w="90" w:type="dxa"/>
            </w:tcMar>
            <w:vAlign w:val="center"/>
          </w:tcPr>
          <w:p w14:paraId="4F01C2C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119A6141"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6A91B1F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4FC10553" w14:textId="77777777">
        <w:trPr>
          <w:jc w:val="center"/>
          <w:cantSplit/>
        </w:trPr>
        <w:tc>
          <w:tcPr>
            <w:tcW w:w="1584" w:type="dxa"/>
            <w:tcMar>
              <w:top w:w="70" w:type="dxa"/>
              <w:left w:w="90" w:type="dxa"/>
              <w:bottom w:w="70" w:type="dxa"/>
              <w:right w:w="90" w:type="dxa"/>
            </w:tcMar>
            <w:vAlign w:val="center"/>
          </w:tcPr>
          <w:p w14:paraId="4C33BA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777CE4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0D5D4F8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259546C9" w14:textId="77777777">
        <w:trPr>
          <w:jc w:val="center"/>
          <w:cantSplit/>
        </w:trPr>
        <w:tc>
          <w:tcPr>
            <w:tcW w:w="1584" w:type="dxa"/>
            <w:tcMar>
              <w:top w:w="70" w:type="dxa"/>
              <w:left w:w="90" w:type="dxa"/>
              <w:bottom w:w="70" w:type="dxa"/>
              <w:right w:w="90" w:type="dxa"/>
            </w:tcMar>
            <w:vAlign w:val="center"/>
          </w:tcPr>
          <w:p w14:paraId="3AF610B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0CEC85A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8D0994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24141BA6" w14:textId="77777777">
        <w:trPr>
          <w:jc w:val="center"/>
          <w:cantSplit/>
        </w:trPr>
        <w:tc>
          <w:tcPr>
            <w:tcW w:w="1584" w:type="dxa"/>
            <w:tcMar>
              <w:top w:w="70" w:type="dxa"/>
              <w:left w:w="90" w:type="dxa"/>
              <w:bottom w:w="70" w:type="dxa"/>
              <w:right w:w="90" w:type="dxa"/>
            </w:tcMar>
            <w:vAlign w:val="center"/>
          </w:tcPr>
          <w:p w14:paraId="6AC94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46EFABF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73A535F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75CD3280" w14:textId="77777777">
        <w:trPr>
          <w:jc w:val="center"/>
          <w:cantSplit/>
        </w:trPr>
        <w:tc>
          <w:tcPr>
            <w:tcW w:w="1584" w:type="dxa"/>
            <w:tcMar>
              <w:top w:w="70" w:type="dxa"/>
              <w:left w:w="90" w:type="dxa"/>
              <w:bottom w:w="70" w:type="dxa"/>
              <w:right w:w="90" w:type="dxa"/>
            </w:tcMar>
            <w:vAlign w:val="center"/>
          </w:tcPr>
          <w:p w14:paraId="32757DC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606635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C29A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1F5E9606" w14:textId="77777777">
        <w:trPr>
          <w:jc w:val="center"/>
          <w:cantSplit/>
        </w:trPr>
        <w:tc>
          <w:tcPr>
            <w:tcW w:w="1584" w:type="dxa"/>
            <w:tcMar>
              <w:top w:w="70" w:type="dxa"/>
              <w:left w:w="90" w:type="dxa"/>
              <w:bottom w:w="70" w:type="dxa"/>
              <w:right w:w="90" w:type="dxa"/>
            </w:tcMar>
            <w:vAlign w:val="center"/>
          </w:tcPr>
          <w:p w14:paraId="5C1748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04515E8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40A545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1C538CA1" w14:textId="77777777">
        <w:trPr>
          <w:jc w:val="center"/>
          <w:cantSplit/>
        </w:trPr>
        <w:tc>
          <w:tcPr>
            <w:tcW w:w="1584" w:type="dxa"/>
            <w:tcMar>
              <w:top w:w="70" w:type="dxa"/>
              <w:left w:w="90" w:type="dxa"/>
              <w:bottom w:w="70" w:type="dxa"/>
              <w:right w:w="90" w:type="dxa"/>
            </w:tcMar>
            <w:vAlign w:val="center"/>
          </w:tcPr>
          <w:p w14:paraId="0AAE1B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66B2D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02E81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4C46CD6A"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53432C9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C. Current Claim Status</w:t>
      </w:r>
    </w:p>
    <w:p w14:paraId="53121822"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12860038" w14:textId="77777777">
        <w:trPr>
          <w:tblHeader/>
          <w:jc w:val="center"/>
          <w:cantSplit/>
        </w:trPr>
        <w:tc>
          <w:tcPr>
            <w:tcW w:w="2520" w:type="dxa"/>
            <w:shd w:val="clear" w:color="auto" w:fill="DCE8EF"/>
            <w:tcMar>
              <w:top w:w="70" w:type="dxa"/>
              <w:left w:w="90" w:type="dxa"/>
              <w:bottom w:w="70" w:type="dxa"/>
              <w:right w:w="90" w:type="dxa"/>
            </w:tcMar>
            <w:vAlign w:val="center"/>
          </w:tcPr>
          <w:p w14:paraId="7834BF8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1AA5269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v0.1.1-rc1</w:t>
            </w:r>
          </w:p>
        </w:tc>
        <w:tc>
          <w:tcPr>
            <w:tcW w:w="5472" w:type="dxa"/>
            <w:shd w:val="clear" w:color="auto" w:fill="DCE8EF"/>
            <w:tcMar>
              <w:top w:w="70" w:type="dxa"/>
              <w:left w:w="90" w:type="dxa"/>
              <w:bottom w:w="70" w:type="dxa"/>
              <w:right w:w="90" w:type="dxa"/>
            </w:tcMar>
            <w:vAlign w:val="center"/>
          </w:tcPr>
          <w:p w14:paraId="4CC73D4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4121086B" w14:textId="77777777">
        <w:trPr>
          <w:jc w:val="center"/>
          <w:cantSplit/>
        </w:trPr>
        <w:tc>
          <w:tcPr>
            <w:tcW w:w="2520" w:type="dxa"/>
            <w:tcMar>
              <w:top w:w="70" w:type="dxa"/>
              <w:left w:w="90" w:type="dxa"/>
              <w:bottom w:w="70" w:type="dxa"/>
              <w:right w:w="90" w:type="dxa"/>
            </w:tcMar>
            <w:vAlign w:val="center"/>
          </w:tcPr>
          <w:p w14:paraId="39C325C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0E8C4C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376F3A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5FAE9354" w14:textId="77777777">
        <w:trPr>
          <w:jc w:val="center"/>
          <w:cantSplit/>
        </w:trPr>
        <w:tc>
          <w:tcPr>
            <w:tcW w:w="2520" w:type="dxa"/>
            <w:tcMar>
              <w:top w:w="70" w:type="dxa"/>
              <w:left w:w="90" w:type="dxa"/>
              <w:bottom w:w="70" w:type="dxa"/>
              <w:right w:w="90" w:type="dxa"/>
            </w:tcMar>
            <w:vAlign w:val="center"/>
          </w:tcPr>
          <w:p w14:paraId="2B4CB9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397FD70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786898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56F44FCA" w14:textId="77777777">
        <w:trPr>
          <w:jc w:val="center"/>
          <w:cantSplit/>
        </w:trPr>
        <w:tc>
          <w:tcPr>
            <w:tcW w:w="2520" w:type="dxa"/>
            <w:tcMar>
              <w:top w:w="70" w:type="dxa"/>
              <w:left w:w="90" w:type="dxa"/>
              <w:bottom w:w="70" w:type="dxa"/>
              <w:right w:w="90" w:type="dxa"/>
            </w:tcMar>
            <w:vAlign w:val="center"/>
          </w:tcPr>
          <w:p w14:paraId="4756E5E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6BBE36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7B43111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2CD31F9A" w14:textId="77777777">
        <w:trPr>
          <w:jc w:val="center"/>
          <w:cantSplit/>
        </w:trPr>
        <w:tc>
          <w:tcPr>
            <w:tcW w:w="2520" w:type="dxa"/>
            <w:tcMar>
              <w:top w:w="70" w:type="dxa"/>
              <w:left w:w="90" w:type="dxa"/>
              <w:bottom w:w="70" w:type="dxa"/>
              <w:right w:w="90" w:type="dxa"/>
            </w:tcMar>
            <w:vAlign w:val="center"/>
          </w:tcPr>
          <w:p w14:paraId="75A5D2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758A25D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DB583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1CC98E25" w14:textId="77777777">
        <w:trPr>
          <w:jc w:val="center"/>
          <w:cantSplit/>
        </w:trPr>
        <w:tc>
          <w:tcPr>
            <w:tcW w:w="2520" w:type="dxa"/>
            <w:tcMar>
              <w:top w:w="70" w:type="dxa"/>
              <w:left w:w="90" w:type="dxa"/>
              <w:bottom w:w="70" w:type="dxa"/>
              <w:right w:w="90" w:type="dxa"/>
            </w:tcMar>
            <w:vAlign w:val="center"/>
          </w:tcPr>
          <w:p w14:paraId="3A701B9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79DEE5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0F30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62AA5BDB" w14:textId="77777777">
        <w:trPr>
          <w:jc w:val="center"/>
          <w:cantSplit/>
        </w:trPr>
        <w:tc>
          <w:tcPr>
            <w:tcW w:w="2520" w:type="dxa"/>
            <w:tcMar>
              <w:top w:w="70" w:type="dxa"/>
              <w:left w:w="90" w:type="dxa"/>
              <w:bottom w:w="70" w:type="dxa"/>
              <w:right w:w="90" w:type="dxa"/>
            </w:tcMar>
            <w:vAlign w:val="center"/>
          </w:tcPr>
          <w:p w14:paraId="7B5EEC7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03A1A4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6B2E1A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66264389" w14:textId="77777777">
        <w:trPr>
          <w:jc w:val="center"/>
          <w:cantSplit/>
        </w:trPr>
        <w:tc>
          <w:tcPr>
            <w:tcW w:w="2520" w:type="dxa"/>
            <w:tcMar>
              <w:top w:w="70" w:type="dxa"/>
              <w:left w:w="90" w:type="dxa"/>
              <w:bottom w:w="70" w:type="dxa"/>
              <w:right w:w="90" w:type="dxa"/>
            </w:tcMar>
            <w:vAlign w:val="center"/>
          </w:tcPr>
          <w:p w14:paraId="3C92D9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68ABB72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E9F73B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05D897F1" w14:textId="77777777">
        <w:trPr>
          <w:jc w:val="center"/>
          <w:cantSplit/>
        </w:trPr>
        <w:tc>
          <w:tcPr>
            <w:tcW w:w="2520" w:type="dxa"/>
            <w:tcMar>
              <w:top w:w="70" w:type="dxa"/>
              <w:left w:w="90" w:type="dxa"/>
              <w:bottom w:w="70" w:type="dxa"/>
              <w:right w:w="90" w:type="dxa"/>
            </w:tcMar>
            <w:vAlign w:val="center"/>
          </w:tcPr>
          <w:p w14:paraId="64F9D0B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5EC9A0B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826DC2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661BF771" w14:textId="77777777">
        <w:trPr>
          <w:jc w:val="center"/>
          <w:cantSplit/>
        </w:trPr>
        <w:tc>
          <w:tcPr>
            <w:tcW w:w="2520" w:type="dxa"/>
            <w:tcMar>
              <w:top w:w="70" w:type="dxa"/>
              <w:left w:w="90" w:type="dxa"/>
              <w:bottom w:w="70" w:type="dxa"/>
              <w:right w:w="90" w:type="dxa"/>
            </w:tcMar>
            <w:vAlign w:val="center"/>
          </w:tcPr>
          <w:p w14:paraId="6149AED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2C6954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5A813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59F0896F"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7BD549E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0820A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57E51E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row-level reconstruction found only one unique paired delta. Query, cluster, dataset-blocked, seed, and hierarchical resampling therefore repeated the same aggregate policy difference rather than exposing query-level variation. RAGWarrant retained the original run as descriptive candidate-output evidence but marked it inconclusive for calibrated query-level uncertainty.</w:t>
      </w:r>
    </w:p>
    <w:p w14:paraId="0BC1D90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26AF400D"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2C39052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2872EC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371AC6C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947F657"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8C236B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DBA7694"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0563F31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6671A5B3" w14:textId="1E9571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[7] X. Yang, K. Sun, H. Xin, et al., 'CRAG: Comprehensive RAG Benchmark,' arXiv:2406.04744, 2024.</w:t>
      </w:r>
      <w:r w:rsidR="00211977">
        <w:rPr>
          <w:rFonts w:asciiTheme="majorHAnsi" w:hAnsiTheme="majorHAnsi"/>
          <w:color w:val="000000" w:themeColor="text1"/>
          <w:sz w:val="16"/>
        </w:rPr>
      </w:r>
      <w:r w:rsidRPr="002A2802">
        <w:rPr>
          <w:rFonts w:asciiTheme="majorHAnsi" w:hAnsiTheme="majorHAnsi"/>
          <w:color w:val="000000" w:themeColor="text1"/>
          <w:sz w:val="16"/>
        </w:rPr>
      </w:r>
    </w:p>
    <w:p w14:paraId="30EEB6E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50EB342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6A3B8DA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09B664A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3540802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06826E4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54CD868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6BAE3EEE"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6B12D8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262C00F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012CC4D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D87404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38BA6A32" w14:textId="77777777" w:rsidR="00A16D83" w:rsidRPr="002A2802" w:rsidRDefault="0034031E">
      <w:pPr>
        <w:spacing w:after="42" w:line="240" w:lineRule="auto"/>
        <w:ind w:left="331" w:hanging="331"/>
        <w:rPr>
          <w:rFonts w:asciiTheme="majorHAnsi" w:hAnsiTheme="majorHAnsi"/>
          <w:color w:val="000000" w:themeColor="text1"/>
        </w:rPr>
      </w:pPr>
      <w:r>
        <w:rPr>
          <w:sz w:val="16"/>
        </w:rPr>
        <w:t>[20] RAGWarrant Contributors, RAGWarrant Governance, version 0.1.1-rc1, 2026. https://github.com/RAGWarrant/ragwarrant-governance.</w:t>
      </w:r>
    </w:p>
    <w:p>
      <w:pPr/>
      <w:r>
        <w:rPr>
          <w:sz w:val="16"/>
        </w:rPr>
        <w:t>[21] J. Strich, E. K. Isgorur, M. Trescher, C. Biemann, and M. Semmann, 'T2-RAGBench: Text-and-Table Benchmark for Evaluating Retrieval-Augmented Generation,' Proceedings of the 19th Conference of the European Chapter of the Association for Computational Linguistics (Volume 1: Long Papers), pp. 165-191, 2026. doi:10.18653/v1/2026.eacl-long.8.</w:t>
      </w:r>
    </w:p>
    <w:p>
      <w:pPr/>
      <w:r>
        <w:rPr>
          <w:sz w:val="16"/>
        </w:rPr>
        <w:t>[22] Y. Tang and Y. Yang, 'MultiHop-RAG: Benchmarking Retrieval-Augmented Generation for Multi-Hop Queries,' arXiv:2401.15391, 2024.</w:t>
      </w:r>
    </w:p>
    <w:p w14:paraId="6288C330" w14:textId="77777777" w:rsidR="00A16D83" w:rsidRPr="002A2802" w:rsidRDefault="0034031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p/>
    <w:p/>
    <w:p/>
    <w:p/>
    <w:p/>
    <w:p/>
    <w:sectPr w:rsidR="00A16D83" w:rsidRPr="002A2802" w:rsidSect="00034616">
      <w:headerReference w:type="default" r:id="rId15"/>
      <w:footerReference w:type="default" r:id="rId16"/>
      <w:headerReference w:type="first" r:id="rId19"/>
      <w:footerReference w:type="first" r:id="rId20"/>
      <w:headerReference w:type="even" r:id="rId21"/>
      <w:footerReference w:type="even" r:id="rId22"/>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39F80" w14:textId="77777777" w:rsidR="0034031E" w:rsidRDefault="0034031E">
      <w:pPr>
        <w:spacing w:after="0" w:line="240" w:lineRule="auto"/>
      </w:pPr>
      <w:r>
        <w:separator/>
      </w:r>
    </w:p>
  </w:endnote>
  <w:endnote w:type="continuationSeparator" w:id="0">
    <w:p w14:paraId="06FBAEF9" w14:textId="77777777" w:rsidR="0034031E" w:rsidRDefault="0034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ItalicBody">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5305" w14:textId="60DE158E" w:rsidR="00A16D83" w:rsidRDefault="0034031E">
    <w:pPr>
      <w:pStyle w:val="Footer"/>
      <w:jc w:val="right"/>
    </w:pPr>
    <w:r>
      <w:rPr>
        <w:rFonts w:ascii="Lato" w:hAnsi="Lato"/>
        <w:color w:val="5B6570"/>
        <w:sz w:val="16"/>
      </w:rPr>
      <w:t xml:space="preserve">Preprint draft  |  </w:t>
    </w:r>
    <w:proofErr w:type="spellStart"/>
    <w:r>
      <w:rPr>
        <w:rFonts w:ascii="Lato" w:hAnsi="Lato"/>
        <w:color w:val="5B6570"/>
        <w:sz w:val="16"/>
      </w:rPr>
      <w:t>v0.1.1-rc1</w:t>
    </w:r>
    <w:proofErr w:type="spellEnd"/>
    <w:r>
      <w:rPr>
        <w:rFonts w:ascii="Lato" w:hAnsi="Lato"/>
        <w:color w:val="5B6570"/>
        <w:sz w:val="16"/>
      </w:rPr>
      <w:t xml:space="preserve">  |  </w:t>
    </w:r>
    <w:r>
      <w:rPr>
        <w:rFonts w:ascii="Lato" w:hAnsi="Lato"/>
        <w:color w:val="5B6570"/>
        <w:sz w:val="16"/>
      </w:rPr>
      <w:fldChar w:fldCharType="begin"/>
    </w:r>
    <w:r>
      <w:rPr>
        <w:rFonts w:ascii="Lato" w:hAnsi="Lato"/>
        <w:color w:val="5B6570"/>
        <w:sz w:val="16"/>
      </w:rPr>
      <w:instrText xml:space="preserve"> PAGE </w:instrText>
    </w:r>
    <w:r>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2FDB3" w14:textId="77777777" w:rsidR="0034031E" w:rsidRDefault="0034031E">
      <w:pPr>
        <w:spacing w:after="0" w:line="240" w:lineRule="auto"/>
      </w:pPr>
      <w:r>
        <w:separator/>
      </w:r>
    </w:p>
  </w:footnote>
  <w:footnote w:type="continuationSeparator" w:id="0">
    <w:p w14:paraId="0F598A51" w14:textId="77777777" w:rsidR="0034031E" w:rsidRDefault="0034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20BDC" w14:textId="77777777" w:rsidR="00A16D83" w:rsidRDefault="0034031E">
    <w:pPr>
      <w:pStyle w:val="Header"/>
    </w:pPr>
    <w:r>
      <w:rPr>
        <w:rFonts w:ascii="Lato" w:hAnsi="Lato"/>
        <w:b/>
        <w:color w:val="5B6570"/>
        <w:sz w:val="16"/>
      </w:rPr>
      <w:t>RAGWarrant  |  Evidence-Preserving RAG Governance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7"/>
    <w:rsid w:val="00034616"/>
    <w:rsid w:val="0006063C"/>
    <w:rsid w:val="00063ADE"/>
    <w:rsid w:val="00075699"/>
    <w:rsid w:val="000D71FC"/>
    <w:rsid w:val="0015074B"/>
    <w:rsid w:val="00176B92"/>
    <w:rsid w:val="00190ACF"/>
    <w:rsid w:val="00211977"/>
    <w:rsid w:val="0029639D"/>
    <w:rsid w:val="002A2802"/>
    <w:rsid w:val="0030370F"/>
    <w:rsid w:val="003061BD"/>
    <w:rsid w:val="00326F90"/>
    <w:rsid w:val="003328CB"/>
    <w:rsid w:val="0034031E"/>
    <w:rsid w:val="003476E3"/>
    <w:rsid w:val="0049724E"/>
    <w:rsid w:val="005C6143"/>
    <w:rsid w:val="0062187F"/>
    <w:rsid w:val="006C515E"/>
    <w:rsid w:val="007F657B"/>
    <w:rsid w:val="008130DB"/>
    <w:rsid w:val="00852858"/>
    <w:rsid w:val="008776D0"/>
    <w:rsid w:val="008D29D3"/>
    <w:rsid w:val="00961EB7"/>
    <w:rsid w:val="009F0E0F"/>
    <w:rsid w:val="00A16D83"/>
    <w:rsid w:val="00AA1D8D"/>
    <w:rsid w:val="00B3501D"/>
    <w:rsid w:val="00B47730"/>
    <w:rsid w:val="00B531DF"/>
    <w:rsid w:val="00CB0664"/>
    <w:rsid w:val="00CF1625"/>
    <w:rsid w:val="00CF5D45"/>
    <w:rsid w:val="00D1548E"/>
    <w:rsid w:val="00DD3026"/>
    <w:rsid w:val="00E03420"/>
    <w:rsid w:val="00E87B02"/>
    <w:rsid w:val="00EA1D07"/>
    <w:rsid w:val="00EC589E"/>
    <w:rsid w:val="00F33854"/>
    <w:rsid w:val="00F41364"/>
    <w:rsid w:val="00FA0C75"/>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10C8D"/>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A0C75"/>
    <w:pPr>
      <w:spacing w:after="0" w:line="240" w:lineRule="auto"/>
    </w:pPr>
    <w:rPr>
      <w:rFonts w:ascii=".AppleSystemUIFont" w:hAnsi=".AppleSystemUIFont" w:cs="Times New Roman"/>
      <w:sz w:val="35"/>
      <w:szCs w:val="35"/>
    </w:rPr>
  </w:style>
  <w:style w:type="character" w:customStyle="1" w:styleId="s1">
    <w:name w:val="s1"/>
    <w:basedOn w:val="DefaultParagraphFont"/>
    <w:rsid w:val="00FA0C75"/>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GWarrant/ragwarrant-governanc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15</Pages>
  <Words>7052</Words>
  <Characters>40200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RAGWarrant: Evidence-Preserving Governance for RAG Policy Promotion Under Quality, Cost, Latency, and Risk Constraints</dc:title>
  <dc:subject>Condensed arXiv preprint manuscript</dc:subject>
  <dc:creator>RAGWarrant Contributors</dc:creator>
  <cp:keywords>RAG, governance, promotion control, noninferiority, reproducibility, LLMOps</cp:keywords>
  <dc:description>Condensed manuscript revision based on v0.1.0-rc1 evidence.</dc:description>
  <cp:lastModifiedBy>Richard Krueger</cp:lastModifiedBy>
  <cp:revision>39</cp:revision>
  <dcterms:created xsi:type="dcterms:W3CDTF">2013-12-23T23:15:00Z</dcterms:created>
  <dcterms:modified xsi:type="dcterms:W3CDTF">2026-08-17T20:44:00Z</dcterms:modified>
  <cp:category/>
</cp:coreProperties>
</file>