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DOCTOR’S SHORT FORMS TO AI UNDERSTANDING</w:t>
      </w:r>
    </w:p>
    <w:p>
      <w:pPr>
        <w:jc w:val="center"/>
      </w:pPr>
      <w:r>
        <w:rPr>
          <w:i/>
          <w:sz w:val="20"/>
        </w:rPr>
        <w:t>Camp Medical Handwriting &amp; Abbreviation Reference</w:t>
      </w:r>
    </w:p>
    <w:p>
      <w:r>
        <w:rPr>
          <w:b/>
        </w:rPr>
        <w:t xml:space="preserve">Purpose: </w:t>
      </w:r>
      <w:r>
        <w:t>Standardize common doctor-written abbreviations, shorthand and clinical symbols for AI extraction and normalization from camp case sheets.</w:t>
      </w:r>
    </w:p>
    <w:p>
      <w:pPr>
        <w:spacing w:before="140" w:after="60"/>
      </w:pPr>
      <w:r>
        <w:rPr>
          <w:b/>
          <w:sz w:val="22"/>
        </w:rPr>
        <w:t>1. VITAL SIGNS &amp; ANTHROPOMETRY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>
              <w:rPr>
                <w:b/>
                <w:sz w:val="17"/>
              </w:rPr>
              <w:t>Doctor’s short form / notation</w:t>
            </w:r>
          </w:p>
        </w:tc>
        <w:tc>
          <w:tcPr>
            <w:tcW w:type="dxa" w:w="5328"/>
            <w:vAlign w:val="center"/>
          </w:tcPr>
          <w:p>
            <w:r>
              <w:rPr>
                <w:b/>
                <w:sz w:val="17"/>
              </w:rPr>
              <w:t>AI should understand as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BP / B.P / Bp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Blood pressure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PR / P.R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Pulse rate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HR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Heart rate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RR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Respiratory rate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SpO2 / SPO2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Oxygen saturation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Temp / T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Temperature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Wt / wt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Weight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Ht / ht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Height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BMI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Body mass index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WC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Waist circumference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HC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Hip circumference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WHR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Waist-hip ratio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CBG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Capillary blood glucose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RBS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Random blood sugar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FBS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Fasting blood sugar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Hb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Haemoglobin</w:t>
            </w:r>
          </w:p>
        </w:tc>
      </w:tr>
    </w:tbl>
    <w:p>
      <w:pPr>
        <w:spacing w:before="140" w:after="60"/>
      </w:pPr>
      <w:r>
        <w:rPr>
          <w:b/>
          <w:sz w:val="22"/>
        </w:rPr>
        <w:t>2. HISTORY &amp; COMPLAINTS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>
              <w:rPr>
                <w:b/>
                <w:sz w:val="17"/>
              </w:rPr>
              <w:t>Doctor’s short form / notation</w:t>
            </w:r>
          </w:p>
        </w:tc>
        <w:tc>
          <w:tcPr>
            <w:tcW w:type="dxa" w:w="5328"/>
            <w:vAlign w:val="center"/>
          </w:tcPr>
          <w:p>
            <w:r>
              <w:rPr>
                <w:b/>
                <w:sz w:val="17"/>
              </w:rPr>
              <w:t>AI should understand as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C/O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Complains of / complaints of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H/O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History of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No H/O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No history of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P/H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Past history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F/H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Family history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FH/O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Family history of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K/C/O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Known case of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K/C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Known case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N/K/C/O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Not a known case of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No C/O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No complaints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Asymp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Asymptomatic</w:t>
            </w:r>
          </w:p>
        </w:tc>
      </w:tr>
    </w:tbl>
    <w:p>
      <w:pPr>
        <w:spacing w:before="140" w:after="60"/>
      </w:pPr>
      <w:r>
        <w:rPr>
          <w:b/>
          <w:sz w:val="22"/>
        </w:rPr>
        <w:t>3. CLINICAL EXAMINATION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>
              <w:rPr>
                <w:b/>
                <w:sz w:val="17"/>
              </w:rPr>
              <w:t>Doctor’s short form / notation</w:t>
            </w:r>
          </w:p>
        </w:tc>
        <w:tc>
          <w:tcPr>
            <w:tcW w:type="dxa" w:w="5328"/>
            <w:vAlign w:val="center"/>
          </w:tcPr>
          <w:p>
            <w:r>
              <w:rPr>
                <w:b/>
                <w:sz w:val="17"/>
              </w:rPr>
              <w:t>AI should understand as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O/E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On examination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OE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On examination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G/E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General examination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P/A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Per abdomen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CVS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Cardiovascular system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RS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Respiratory system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CNS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Central nervous system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ENT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Ear, nose and throat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Abd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Abdomen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B/L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Bilateral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R / Rt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Right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L / Lt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Left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UL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Upper limb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LL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Lower limb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U/L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Unilateral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NAD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No abnormality detected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WNL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Within normal limits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Normal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Normal examination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N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Normal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+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Present/positive, depending on context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−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Absent/negative, depending on context</w:t>
            </w:r>
          </w:p>
        </w:tc>
      </w:tr>
    </w:tbl>
    <w:p>
      <w:pPr>
        <w:spacing w:before="140" w:after="60"/>
      </w:pPr>
      <w:r>
        <w:rPr>
          <w:b/>
          <w:sz w:val="22"/>
        </w:rPr>
        <w:t>4. NCD &amp; RISK-FACTOR TERMINOLOGY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>
              <w:rPr>
                <w:b/>
                <w:sz w:val="17"/>
              </w:rPr>
              <w:t>Doctor’s short form / notation</w:t>
            </w:r>
          </w:p>
        </w:tc>
        <w:tc>
          <w:tcPr>
            <w:tcW w:type="dxa" w:w="5328"/>
            <w:vAlign w:val="center"/>
          </w:tcPr>
          <w:p>
            <w:r>
              <w:rPr>
                <w:b/>
                <w:sz w:val="17"/>
              </w:rPr>
              <w:t>AI should understand as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HTN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Hypertension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Htn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Hypertension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BP ↑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Elevated blood pressure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BP high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Elevated blood pressure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BP normal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Blood pressure within normal range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DM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Diabetes mellitus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DM2 / T2DM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Type 2 diabetes mellitus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Sugar ↑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Elevated blood glucose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Sugar high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Elevated blood glucose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Dyslipid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Dyslipidaemia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DLP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Dyslipidaemia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Obese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Obesity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Overwt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Overweight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OW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Overweight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Underwt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Underweight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CV risk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Cardiovascular risk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NCD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Non-communicable disease</w:t>
            </w:r>
          </w:p>
        </w:tc>
      </w:tr>
    </w:tbl>
    <w:p>
      <w:pPr>
        <w:spacing w:before="140" w:after="60"/>
      </w:pPr>
      <w:r>
        <w:rPr>
          <w:b/>
          <w:sz w:val="22"/>
        </w:rPr>
        <w:t>5. ADVICE, FOLLOW-UP &amp; REFERRAL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>
              <w:rPr>
                <w:b/>
                <w:sz w:val="17"/>
              </w:rPr>
              <w:t>Doctor’s short form / notation</w:t>
            </w:r>
          </w:p>
        </w:tc>
        <w:tc>
          <w:tcPr>
            <w:tcW w:type="dxa" w:w="5328"/>
            <w:vAlign w:val="center"/>
          </w:tcPr>
          <w:p>
            <w:r>
              <w:rPr>
                <w:b/>
                <w:sz w:val="17"/>
              </w:rPr>
              <w:t>AI should understand as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Adv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Advice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Advised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Advice given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Diet adv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Dietary advice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Exercise adv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Exercise advice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LSM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Lifestyle modification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F/U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Follow-up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FU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Follow-up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Review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Review advised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R/V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Review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Refer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Referral advised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Ref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Referred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Ref to physician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Referred to physician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Ref to hospital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Referred to hospital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Urgent ref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Urgent referral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ER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Emergency room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ED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Emergency department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Rx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Treatment/prescription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Meds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Medications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Continue meds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Continue prescribed medication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Regular meds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Regular medication use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Compliance poor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Poor medication adherence</w:t>
            </w:r>
          </w:p>
        </w:tc>
      </w:tr>
    </w:tbl>
    <w:p>
      <w:pPr>
        <w:spacing w:before="140" w:after="60"/>
      </w:pPr>
      <w:r>
        <w:rPr>
          <w:b/>
          <w:sz w:val="22"/>
        </w:rPr>
        <w:t>6. COMMON DIAGNOSES / CONDITIONS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>
              <w:rPr>
                <w:b/>
                <w:sz w:val="17"/>
              </w:rPr>
              <w:t>Doctor’s short form / notation</w:t>
            </w:r>
          </w:p>
        </w:tc>
        <w:tc>
          <w:tcPr>
            <w:tcW w:type="dxa" w:w="5328"/>
            <w:vAlign w:val="center"/>
          </w:tcPr>
          <w:p>
            <w:r>
              <w:rPr>
                <w:b/>
                <w:sz w:val="17"/>
              </w:rPr>
              <w:t>AI should understand as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HTN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Hypertension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DM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Diabetes mellitus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T2DM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Type 2 diabetes mellitus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DLP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Dyslipidaemia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Obesity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Obesity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OW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Overweight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Anemia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Anaemia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Nutritional anaemia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Nutritional anaemia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URI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Upper respiratory tract infection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URTI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Upper respiratory tract infection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LRTI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Lower respiratory tract infection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GERD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Gastroesophageal reflux disease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OA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Osteoarthritis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LBP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Low back pain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Migraine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Migraine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Asthma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Bronchial asthma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COPD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Chronic obstructive pulmonary disease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Eczema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Eczema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Dermatitis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Dermatitis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Acne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Acne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Rhinitis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Rhinitis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Conjunctivitis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Conjunctivitis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R.E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Refractive error</w:t>
            </w:r>
          </w:p>
        </w:tc>
      </w:tr>
    </w:tbl>
    <w:p>
      <w:pPr>
        <w:spacing w:before="140" w:after="60"/>
      </w:pPr>
      <w:r>
        <w:rPr>
          <w:b/>
          <w:sz w:val="22"/>
        </w:rPr>
        <w:t>7. SYMBOLS &amp; CLINICAL NOTATION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>
              <w:rPr>
                <w:b/>
                <w:sz w:val="17"/>
              </w:rPr>
              <w:t>Doctor’s short form / notation</w:t>
            </w:r>
          </w:p>
        </w:tc>
        <w:tc>
          <w:tcPr>
            <w:tcW w:type="dxa" w:w="5328"/>
            <w:vAlign w:val="center"/>
          </w:tcPr>
          <w:p>
            <w:r>
              <w:rPr>
                <w:b/>
                <w:sz w:val="17"/>
              </w:rPr>
              <w:t>AI should understand as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↑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Increased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↓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Decreased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→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Leads to / proceed / refer, depending on context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+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Present/positive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−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Absent/negative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++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Moderately positive / degree of positivity — context dependent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+++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Strongly positive / degree of positivity — context dependent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±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Equivocal / variable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?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Suspected / query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~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Approximately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&lt;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Less than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&gt;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Greater than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≤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Less than or equal to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≥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Greater than or equal to</w:t>
            </w:r>
          </w:p>
        </w:tc>
      </w:tr>
    </w:tbl>
    <w:p>
      <w:pPr>
        <w:spacing w:before="140" w:after="60"/>
      </w:pPr>
      <w:r>
        <w:rPr>
          <w:b/>
          <w:sz w:val="22"/>
        </w:rPr>
        <w:t>8. MEDICATION / PRESCRIPTION SHORT FORMS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>
              <w:rPr>
                <w:b/>
                <w:sz w:val="17"/>
              </w:rPr>
              <w:t>Doctor’s short form / notation</w:t>
            </w:r>
          </w:p>
        </w:tc>
        <w:tc>
          <w:tcPr>
            <w:tcW w:type="dxa" w:w="5328"/>
            <w:vAlign w:val="center"/>
          </w:tcPr>
          <w:p>
            <w:r>
              <w:rPr>
                <w:b/>
                <w:sz w:val="17"/>
              </w:rPr>
              <w:t>AI should understand as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OD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Once daily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BD / BID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Twice daily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TDS / TID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Three times daily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QID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Four times daily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HS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At bedtime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SOS / PRN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As needed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STAT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Immediately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AC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Before meals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PC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After meals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PO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By mouth/oral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IM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Intramuscular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IV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Intravenous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SC / SQ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Subcutaneous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Tab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Tablet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Cap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Capsule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Syr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Syrup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Inj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Injection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Oint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Ointment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Cream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Cream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Drops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>
              <w:rPr>
                <w:sz w:val="17"/>
              </w:rPr>
              <w:t>Drops</w:t>
            </w:r>
          </w:p>
        </w:tc>
      </w:tr>
    </w:tbl>
    <w:p>
      <w:pPr>
        <w:spacing w:before="140"/>
      </w:pPr>
      <w:r>
        <w:rPr>
          <w:b/>
          <w:sz w:val="22"/>
        </w:rPr>
        <w:t>AI SAFETY / NORMALIZATION RULES</w:t>
      </w:r>
    </w:p>
    <w:p>
      <w:pPr>
        <w:spacing w:after="20"/>
        <w:ind w:left="216"/>
      </w:pPr>
      <w:r>
        <w:rPr>
          <w:b/>
        </w:rPr>
        <w:t xml:space="preserve">• </w:t>
      </w:r>
      <w:r>
        <w:t>Preserve numerical values exactly as written; do not invent or correct an unclear value.</w:t>
      </w:r>
    </w:p>
    <w:p>
      <w:pPr>
        <w:spacing w:after="20"/>
        <w:ind w:left="216"/>
      </w:pPr>
      <w:r>
        <w:rPr>
          <w:b/>
        </w:rPr>
        <w:t xml:space="preserve">• </w:t>
      </w:r>
      <w:r>
        <w:t>Interpret symbols such as +, −, ++ and +++ according to clinical context.</w:t>
      </w:r>
    </w:p>
    <w:p>
      <w:pPr>
        <w:spacing w:after="20"/>
        <w:ind w:left="216"/>
      </w:pPr>
      <w:r>
        <w:rPr>
          <w:b/>
        </w:rPr>
        <w:t xml:space="preserve">• </w:t>
      </w:r>
      <w:r>
        <w:t>Do not infer a diagnosis from a single screening measurement unless the doctor documents the diagnosis.</w:t>
      </w:r>
    </w:p>
    <w:p>
      <w:pPr>
        <w:spacing w:after="20"/>
        <w:ind w:left="216"/>
      </w:pPr>
      <w:r>
        <w:rPr>
          <w:b/>
        </w:rPr>
        <w:t xml:space="preserve">• </w:t>
      </w:r>
      <w:r>
        <w:t>If handwriting is unclear, flag the field for human verification rather than guessing.</w:t>
      </w:r>
    </w:p>
    <w:p>
      <w:pPr>
        <w:spacing w:after="20"/>
        <w:ind w:left="216"/>
      </w:pPr>
      <w:r>
        <w:rPr>
          <w:b/>
        </w:rPr>
        <w:t xml:space="preserve">• </w:t>
      </w:r>
      <w:r>
        <w:t>Where a shorthand has multiple possible meanings, retain the original entry and use clinical context.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Camp Medical Handwriting &amp; Short-Form Reference | AI Data Extraction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