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PII Redaction Evaluation Report</w:t>
      </w:r>
    </w:p>
    <w:p/>
    <w:p>
      <w:pPr>
        <w:pStyle w:val="Heading2"/>
      </w:pPr>
      <w:r>
        <w:t>Evaluation Strategy</w:t>
      </w:r>
    </w:p>
    <w:p/>
    <w:p>
      <w:r>
        <w:t>The evaluation uses **entity-level comparison** between the ground truth and the detected entities. Each PII entity is treated as a single unit: the full text string must match exactly for a detection to count as a true positive.</w:t>
      </w:r>
    </w:p>
    <w:p/>
    <w:p>
      <w:pPr>
        <w:pStyle w:val="Heading3"/>
      </w:pPr>
      <w:r>
        <w:t>Why Entity-Level Evaluation?</w:t>
      </w:r>
    </w:p>
    <w:p/>
    <w:p>
      <w:r>
        <w:t>Entity-level evaluation is preferred over token-level evaluation for PII detection because PII entities are semantically meaningful spans of text. Token-level comparison would fragment a name like Rahul Sharma into two tokens (Rahul and Sharma) and could count them independently, leading to misleading precision and recall scores. Entity-level evaluation ensures that each complete PII span is correctly identified as a whole, reflecting the real-world requirement that a detector either catches or misses an entire piece of sensitive information.</w:t>
      </w:r>
    </w:p>
    <w:p/>
    <w:p>
      <w:pPr>
        <w:pStyle w:val="Heading3"/>
      </w:pPr>
      <w:r>
        <w:t>Key Metrics</w:t>
      </w:r>
    </w:p>
    <w:p/>
    <w:p>
      <w:pPr>
        <w:pStyle w:val="ListBullet"/>
      </w:pPr>
      <w:r>
        <w:t>**True Positives (TP)**: Entities correctly detected as PII.</w:t>
      </w:r>
    </w:p>
    <w:p>
      <w:pPr>
        <w:pStyle w:val="ListBullet"/>
      </w:pPr>
      <w:r>
        <w:t>**False Positives (FP)**: Non-PII entities incorrectly flagged as PII.</w:t>
      </w:r>
    </w:p>
    <w:p>
      <w:pPr>
        <w:pStyle w:val="ListBullet"/>
      </w:pPr>
      <w:r>
        <w:t>**False Negatives (FN)**: PII entities missed by the detector.</w:t>
      </w:r>
    </w:p>
    <w:p/>
    <w:p>
      <w:pPr>
        <w:pStyle w:val="Heading2"/>
      </w:pPr>
      <w:r>
        <w:t>Metrics</w:t>
      </w:r>
    </w:p>
    <w:p/>
    <w:p>
      <w:pPr>
        <w:pStyle w:val="Heading3"/>
      </w:pPr>
      <w:r>
        <w:t>Formulas</w:t>
      </w:r>
    </w:p>
    <w:p/>
    <w:p>
      <w:r>
        <w:t>Precision = TP / (TP + FP)</w:t>
      </w:r>
    </w:p>
    <w:p>
      <w:r>
        <w:t>Recall    = TP / (TP + FN)</w:t>
      </w:r>
    </w:p>
    <w:p>
      <w:r>
        <w:t>F1        = 2 * Precision * Recall / (Precision + Recall)</w:t>
      </w:r>
    </w:p>
    <w:p>
      <w:r>
        <w:t>Accuracy  = TP / (TP + FP + FN)</w:t>
      </w:r>
    </w:p>
    <w:p/>
    <w:p>
      <w:pPr>
        <w:pStyle w:val="Heading3"/>
      </w:pPr>
      <w:r>
        <w:t>Results</w:t>
      </w:r>
    </w:p>
    <w:p/>
    <w:p>
      <w:pPr>
        <w:pStyle w:val="ListBullet"/>
      </w:pPr>
      <w:r>
        <w:t>**Precision**: 44.4%</w:t>
      </w:r>
    </w:p>
    <w:p>
      <w:pPr>
        <w:pStyle w:val="ListBullet"/>
      </w:pPr>
      <w:r>
        <w:t>**Recall**: 66.7%</w:t>
      </w:r>
    </w:p>
    <w:p>
      <w:pPr>
        <w:pStyle w:val="ListBullet"/>
      </w:pPr>
      <w:r>
        <w:t>**F1 Score**: 5331.2%</w:t>
      </w:r>
    </w:p>
    <w:p>
      <w:pPr>
        <w:pStyle w:val="ListBullet"/>
      </w:pPr>
      <w:r>
        <w:t>**Accuracy**: 36.4%</w:t>
      </w:r>
    </w:p>
    <w:p/>
    <w:p>
      <w:pPr>
        <w:pStyle w:val="Heading2"/>
      </w:pPr>
      <w:r>
        <w:t>Confusion Matrix</w:t>
      </w:r>
    </w:p>
    <w:p/>
    <w:p>
      <w:r>
        <w:t>|                | Predicted PII | Predicted Non-PII |</w:t>
      </w:r>
    </w:p>
    <w:p>
      <w:r>
        <w:t>|----------------|---------------|-------------------|</w:t>
      </w:r>
    </w:p>
    <w:p>
      <w:r>
        <w:t>| Actual PII     | 12            | 6                 |</w:t>
      </w:r>
    </w:p>
    <w:p>
      <w:r>
        <w:t>| Actual Non-PII | 15            |                 - |</w:t>
      </w:r>
    </w:p>
    <w:p/>
    <w:p>
      <w:pPr>
        <w:pStyle w:val="Heading2"/>
      </w:pPr>
      <w:r>
        <w:t>Observations</w:t>
      </w:r>
    </w:p>
    <w:p/>
    <w:p>
      <w:pPr>
        <w:pStyle w:val="ListBullet"/>
      </w:pPr>
      <w:r>
        <w:t>Regex-based detection provides excellent precision for structured PII  formats such as email addresses, phone numbers, SSNs, credit card numbers,  IP addresses, and dates of birth.</w:t>
      </w:r>
    </w:p>
    <w:p>
      <w:pPr>
        <w:pStyle w:val="ListBullet"/>
      </w:pPr>
      <w:r>
        <w:t>Named Entity Recognition (NER) may occasionally miss uncommon names or organizations that do not appear in the training data.</w:t>
      </w:r>
    </w:p>
    <w:p>
      <w:pPr>
        <w:pStyle w:val="ListBullet"/>
      </w:pPr>
      <w:r>
        <w:t>Credit card numbers are validated using the Luhn algorithm before being  classified as PII, reducing false positives from random number sequences.</w:t>
      </w:r>
    </w:p>
    <w:p>
      <w:pPr>
        <w:pStyle w:val="ListBullet"/>
      </w:pPr>
      <w:r>
        <w:t>Full name detection relies on capitalized word sequence heuristics, which  can produce false positives when section headers or labels contain multiple  capitalized words in sequence.</w:t>
      </w:r>
    </w:p>
    <w:p/>
    <w:p>
      <w:pPr>
        <w:pStyle w:val="Heading2"/>
      </w:pPr>
      <w:r>
        <w:t>Limitations</w:t>
      </w:r>
    </w:p>
    <w:p/>
    <w:p>
      <w:pPr>
        <w:pStyle w:val="ListBullet"/>
      </w:pPr>
      <w:r>
        <w:t>OCR documents are not evaluated; the tool processes native .docx files only.</w:t>
      </w:r>
    </w:p>
    <w:p>
      <w:pPr>
        <w:pStyle w:val="ListBullet"/>
      </w:pPr>
      <w:r>
        <w:t>Unusual or non-standard address formats may not be detected by the  regex-based fallback.</w:t>
      </w:r>
    </w:p>
    <w:p>
      <w:pPr>
        <w:pStyle w:val="ListBullet"/>
      </w:pPr>
      <w:r>
        <w:t>Rare or uncommon organization names may require additional training data  or fine-tuned NER models for reliable detection.</w:t>
      </w:r>
    </w:p>
    <w:p>
      <w:pPr>
        <w:pStyle w:val="ListBullet"/>
      </w:pPr>
      <w:r>
        <w:t>Entity-level evaluation requires exact string matching, so minor formatting  differences (e.g., extra whitespace, different punctuation) may cause  false negatives.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