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9AED">
      <w:pPr>
        <w:jc w:val="center"/>
      </w:pPr>
      <w:r>
        <w:rPr>
          <w:b/>
          <w:color w:val="70182D"/>
          <w:sz w:val="50"/>
        </w:rPr>
        <w:t>PAISA BAZAAR BANKING FRAUD ANALYSIS</w:t>
      </w:r>
    </w:p>
    <w:p w14:paraId="3D3794EE">
      <w:pPr>
        <w:jc w:val="center"/>
      </w:pPr>
      <w:r>
        <w:rPr>
          <w:b/>
          <w:color w:val="F2C94C"/>
          <w:sz w:val="32"/>
        </w:rPr>
        <w:t>ALL-IN-ONE PROJECT DOCUMENT</w:t>
      </w:r>
    </w:p>
    <w:p w14:paraId="6C5D5284">
      <w:pPr>
        <w:jc w:val="center"/>
      </w:pPr>
      <w:r>
        <w:rPr>
          <w:i/>
        </w:rPr>
        <w:t>Power BI Dashboard • DAX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644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641C2D"/>
            <w:vAlign w:val="center"/>
          </w:tcPr>
          <w:p w14:paraId="760AE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lang w:val="en-US"/>
              </w:rPr>
              <w:t xml:space="preserve">          </w:t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PAGE 1</w:t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br w:type="textWrapping"/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FRAUD OVERVIEW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49EC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PAGE 2</w:t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br w:type="textWrapping"/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SUSPICIOUS BEHAVIOUR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4B25B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PAGE 3</w:t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br w:type="textWrapping"/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CUSTOMER RISK PROFILE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6203C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PAGE 4</w:t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br w:type="textWrapping"/>
            </w: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EXECUTIVE MONITORING</w:t>
            </w:r>
          </w:p>
        </w:tc>
      </w:tr>
    </w:tbl>
    <w:p w14:paraId="70AD4D6F">
      <w:pPr>
        <w:spacing w:before="140" w:after="60"/>
      </w:pPr>
      <w:r>
        <w:rPr>
          <w:rFonts w:ascii="Arial" w:hAnsi="Arial"/>
          <w:b/>
          <w:color w:val="70182D"/>
          <w:sz w:val="32"/>
        </w:rPr>
        <w:t>1. PROJECT OBJECTIVE</w:t>
      </w:r>
    </w:p>
    <w:p w14:paraId="042B112F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t>The project analyzes customer credit and financial behaviour to identify risk patterns, compare customer segments, and create an executive fraud-risk monitoring dashboard. The dashboard supports prioritization and investigation; it does not prove that a customer committed fraud.</w:t>
      </w: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The main objective of this project is to analyze customer credit and financial behaviour, identify areas where risk is concentrated, and provide management with an interactive dashboard for fraud-risk monitoring.</w:t>
      </w:r>
    </w:p>
    <w:p w14:paraId="215E9BF9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One important point I want to clarify is that this dashboard does not prove that a customer has committed fraud. Instead, it identifies customers and behaviours that show stronger risk signals and therefore may require closer monitoring.</w:t>
      </w:r>
    </w:p>
    <w:p w14:paraId="5EB4B0CC"/>
    <w:p w14:paraId="5A650F9A">
      <w:pPr>
        <w:spacing w:before="140" w:after="60"/>
      </w:pPr>
      <w:r>
        <w:rPr>
          <w:rFonts w:ascii="Arial" w:hAnsi="Arial"/>
          <w:b/>
          <w:color w:val="70182D"/>
          <w:sz w:val="32"/>
        </w:rPr>
        <w:t>2. PROJECT REQUIREMENTS FROM THE PROVIDED DOCUMENT</w:t>
      </w:r>
    </w:p>
    <w:p w14:paraId="4E4402A1">
      <w:r>
        <w:t>The project brief requires a visually appealing and clearly organized dashboard, appropriate visualizations, meaningful insights and data storytelling, user-friendly filters and navigation, and evidence of data cleaning/transformation. It also expects the presentation to cover the project objective, dataset, business problem, data preparation, EDA flow, key visualizations, business interpretation, challenges, conclusion and future improvements.</w:t>
      </w:r>
    </w:p>
    <w:p w14:paraId="184EDE0A">
      <w:pPr>
        <w:pStyle w:val="25"/>
      </w:pPr>
      <w:r>
        <w:t>Visual appeal and consistent design.</w:t>
      </w:r>
    </w:p>
    <w:p w14:paraId="49F0257C">
      <w:pPr>
        <w:pStyle w:val="25"/>
      </w:pPr>
      <w:r>
        <w:t>Appropriate visualization choices and clear scaling.</w:t>
      </w:r>
    </w:p>
    <w:p w14:paraId="1D20301F">
      <w:pPr>
        <w:pStyle w:val="25"/>
      </w:pPr>
      <w:r>
        <w:t>Meaningful insights and a clear data story.</w:t>
      </w:r>
    </w:p>
    <w:p w14:paraId="74146ADF">
      <w:pPr>
        <w:pStyle w:val="25"/>
      </w:pPr>
      <w:r>
        <w:t>Interactive filters and smooth navigation.</w:t>
      </w:r>
    </w:p>
    <w:p w14:paraId="640BC3D7">
      <w:pPr>
        <w:pStyle w:val="25"/>
      </w:pPr>
      <w:r>
        <w:t>Data cleaning and transformation.</w:t>
      </w:r>
    </w:p>
    <w:p w14:paraId="7AAE254E">
      <w:pPr>
        <w:pStyle w:val="25"/>
      </w:pPr>
      <w:r>
        <w:t>EDA progression from univariate to bivariate to multivariate analysis.</w:t>
      </w:r>
    </w:p>
    <w:p w14:paraId="7A668A35">
      <w:pPr>
        <w:pStyle w:val="25"/>
      </w:pPr>
      <w:r>
        <w:t>Business interpretation and actionable observations.</w:t>
      </w:r>
    </w:p>
    <w:p w14:paraId="215BE9BC">
      <w:pPr>
        <w:pStyle w:val="25"/>
      </w:pPr>
      <w:r>
        <w:t>Challenges, solutions, conclusion and future improvements.</w:t>
      </w:r>
    </w:p>
    <w:p w14:paraId="3AC25460">
      <w:pPr>
        <w:spacing w:before="140" w:after="60"/>
      </w:pPr>
      <w:r>
        <w:rPr>
          <w:rFonts w:ascii="Arial" w:hAnsi="Arial"/>
          <w:b/>
          <w:color w:val="70182D"/>
          <w:sz w:val="32"/>
        </w:rPr>
        <w:t>3. BUSINESS PROBLEM</w:t>
      </w:r>
    </w:p>
    <w:p w14:paraId="7BD92A85">
      <w:r>
        <w:t>The business problem is to identify customer segments with stronger credit and financial-risk signals so that management can prioritize monitoring, review payment behaviour, assess credit exposure, and focus resources on higher-risk groups.</w:t>
      </w:r>
    </w:p>
    <w:p w14:paraId="1439DEE3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BEDF2BE">
      <w:pPr>
        <w:spacing w:before="140" w:after="60"/>
      </w:pPr>
      <w:r>
        <w:rPr>
          <w:rFonts w:ascii="Arial" w:hAnsi="Arial"/>
          <w:b/>
          <w:color w:val="70182D"/>
          <w:sz w:val="32"/>
        </w:rPr>
        <w:t>4. DATA / ANALYTICAL CONCEPTS</w:t>
      </w:r>
    </w:p>
    <w:p w14:paraId="5BD15DD8">
      <w:pPr>
        <w:pStyle w:val="25"/>
      </w:pPr>
      <w:r>
        <w:t>Customer-level analysis using Customer_ID.</w:t>
      </w:r>
    </w:p>
    <w:p w14:paraId="09DB5B33">
      <w:pPr>
        <w:pStyle w:val="25"/>
      </w:pPr>
      <w:r>
        <w:t>Credit-risk classification using Credit_Score categories such as Good, Standard and Poor.</w:t>
      </w:r>
    </w:p>
    <w:p w14:paraId="0ECFC4F9">
      <w:pPr>
        <w:pStyle w:val="25"/>
      </w:pPr>
      <w:r>
        <w:t>Financial variables such as Annual_Income, Monthly_Inhand_Salary, Outstanding_Debt, Total_EMI_per_month and Amount_invested_monthly.</w:t>
      </w:r>
    </w:p>
    <w:p w14:paraId="2F2A2DE2">
      <w:pPr>
        <w:pStyle w:val="25"/>
      </w:pPr>
      <w:r>
        <w:t>Behavioural variables such as Delay_from_due_date, Num_Credit_Inquiries and Credit_Utilization_Ratio.</w:t>
      </w:r>
    </w:p>
    <w:p w14:paraId="3AA1E740">
      <w:pPr>
        <w:pStyle w:val="25"/>
      </w:pPr>
      <w:r>
        <w:t>Segmentation variables such as Age Group, Occupation, Payment_Behaviour and Credit_Mix.</w:t>
      </w:r>
    </w:p>
    <w:p w14:paraId="1370F836">
      <w:pPr>
        <w:pStyle w:val="25"/>
      </w:pPr>
      <w:r>
        <w:t>Repeated customer records make DISTINCTCOUNT important for unique-customer KPIs.</w:t>
      </w:r>
    </w:p>
    <w:p w14:paraId="4C268960">
      <w:pPr>
        <w:spacing w:before="140" w:after="60"/>
      </w:pPr>
      <w:r>
        <w:rPr>
          <w:rFonts w:ascii="Arial" w:hAnsi="Arial"/>
          <w:b/>
          <w:color w:val="70182D"/>
          <w:sz w:val="32"/>
        </w:rPr>
        <w:t>5. DATA PREPARATION &amp; TRANSFORMATION</w:t>
      </w:r>
    </w:p>
    <w:p w14:paraId="654B6B9E">
      <w:r>
        <w:t>The dashboard uses transformed fields such as Age Group and measures for customer-level and portfolio-level KPIs. The project brief also expects discussion of missing values, duplicates, inconsistencies, cleaning steps and data types during the presentation.</w:t>
      </w:r>
    </w:p>
    <w:p w14:paraId="11C0CF1B">
      <w:pPr>
        <w:pStyle w:val="25"/>
      </w:pPr>
      <w:r>
        <w:t>Create Age Group from Age.</w:t>
      </w:r>
    </w:p>
    <w:p w14:paraId="6D13051F">
      <w:pPr>
        <w:pStyle w:val="25"/>
      </w:pPr>
      <w:r>
        <w:t>Use DISTINCTCOUNT for unique customer KPIs.</w:t>
      </w:r>
    </w:p>
    <w:p w14:paraId="413A1CCC">
      <w:pPr>
        <w:pStyle w:val="25"/>
      </w:pPr>
      <w:r>
        <w:t>Use measures for averages and percentages.</w:t>
      </w:r>
    </w:p>
    <w:p w14:paraId="7B691732">
      <w:pPr>
        <w:pStyle w:val="25"/>
      </w:pPr>
      <w:r>
        <w:t>Use filtered measures for High Risk, Monitor and Low Risk customer counts.</w:t>
      </w:r>
    </w:p>
    <w:p w14:paraId="3FBD06F9">
      <w:pPr>
        <w:pStyle w:val="25"/>
      </w:pPr>
      <w:r>
        <w:t>Use slicers for interactive segmentation.</w:t>
      </w:r>
    </w:p>
    <w:p w14:paraId="7B4CFEAC">
      <w:pPr>
        <w:pStyle w:val="25"/>
      </w:pPr>
      <w:r>
        <w:t>Check unknown/missing categories before drawing business conclusions.</w:t>
      </w:r>
    </w:p>
    <w:p w14:paraId="416C0051">
      <w:pPr>
        <w:spacing w:before="140" w:after="60"/>
      </w:pPr>
      <w:r>
        <w:rPr>
          <w:rFonts w:ascii="Arial" w:hAnsi="Arial"/>
          <w:b/>
          <w:color w:val="70182D"/>
          <w:sz w:val="32"/>
        </w:rPr>
        <w:t>6. COMPLETE DAX MEASURES CREATED</w:t>
      </w:r>
    </w:p>
    <w:p w14:paraId="2FEA219A">
      <w:r>
        <w:rPr>
          <w:b/>
          <w:sz w:val="22"/>
        </w:rPr>
        <w:t>Total Customers</w:t>
      </w:r>
    </w:p>
    <w:p w14:paraId="2B33EB63">
      <w:pPr>
        <w:ind w:left="288"/>
      </w:pPr>
      <w:r>
        <w:rPr>
          <w:rFonts w:ascii="Consolas" w:hAnsi="Consolas"/>
          <w:sz w:val="17"/>
        </w:rPr>
        <w:t>Total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DISTINCTCOUNT(CreditData[Customer_ID])</w:t>
      </w:r>
    </w:p>
    <w:p w14:paraId="04464557">
      <w:r>
        <w:rPr>
          <w:b/>
          <w:sz w:val="22"/>
        </w:rPr>
        <w:t>High Risk Customers</w:t>
      </w:r>
    </w:p>
    <w:p w14:paraId="295D06C9">
      <w:pPr>
        <w:ind w:left="288"/>
      </w:pPr>
      <w:r>
        <w:rPr>
          <w:rFonts w:ascii="Consolas" w:hAnsi="Consolas"/>
          <w:sz w:val="17"/>
        </w:rPr>
        <w:t>High Risk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"Poor"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1960CA08">
      <w:r>
        <w:rPr>
          <w:b/>
          <w:sz w:val="22"/>
        </w:rPr>
        <w:t>High Risk %</w:t>
      </w:r>
    </w:p>
    <w:p w14:paraId="161A5241">
      <w:pPr>
        <w:ind w:left="288"/>
      </w:pPr>
      <w:r>
        <w:rPr>
          <w:rFonts w:ascii="Consolas" w:hAnsi="Consolas"/>
          <w:sz w:val="17"/>
        </w:rPr>
        <w:t>High Risk %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DIVIDE(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[High Risk Customers],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[Total Customers],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318CD21F">
      <w:r>
        <w:rPr>
          <w:b/>
          <w:sz w:val="22"/>
        </w:rPr>
        <w:t>Average Credit Utilization %</w:t>
      </w:r>
    </w:p>
    <w:p w14:paraId="07136214">
      <w:pPr>
        <w:ind w:left="288"/>
      </w:pPr>
      <w:r>
        <w:rPr>
          <w:rFonts w:ascii="Consolas" w:hAnsi="Consolas"/>
          <w:sz w:val="17"/>
        </w:rPr>
        <w:t>Average Credit Utilization %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AVERAGE(CreditData[Credit_Utilization_Ratio])</w:t>
      </w:r>
    </w:p>
    <w:p w14:paraId="6E62DAB2">
      <w:r>
        <w:rPr>
          <w:b/>
          <w:sz w:val="22"/>
        </w:rPr>
        <w:t>Average Delayed Payments</w:t>
      </w:r>
    </w:p>
    <w:p w14:paraId="3E8EA22B">
      <w:pPr>
        <w:ind w:left="288"/>
      </w:pPr>
      <w:r>
        <w:rPr>
          <w:rFonts w:ascii="Consolas" w:hAnsi="Consolas"/>
          <w:sz w:val="17"/>
        </w:rPr>
        <w:t>Average Delayed Payments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AVERAGE(CreditData[Delay_from_due_date])</w:t>
      </w:r>
    </w:p>
    <w:p w14:paraId="0B7ECE37">
      <w:r>
        <w:rPr>
          <w:b/>
          <w:sz w:val="22"/>
        </w:rPr>
        <w:t>Average Credit Inquiries</w:t>
      </w:r>
    </w:p>
    <w:p w14:paraId="473CE0DF">
      <w:pPr>
        <w:ind w:left="288"/>
      </w:pPr>
      <w:r>
        <w:rPr>
          <w:rFonts w:ascii="Consolas" w:hAnsi="Consolas"/>
          <w:sz w:val="17"/>
        </w:rPr>
        <w:t>Average Credit Inquiries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AVERAGE(CreditData[Num_Credit_Inquiries])</w:t>
      </w:r>
    </w:p>
    <w:p w14:paraId="1F039B31">
      <w:r>
        <w:rPr>
          <w:b/>
          <w:sz w:val="22"/>
        </w:rPr>
        <w:t>Average Outstanding Debt</w:t>
      </w:r>
    </w:p>
    <w:p w14:paraId="05AF7775">
      <w:pPr>
        <w:ind w:left="288"/>
      </w:pPr>
      <w:r>
        <w:rPr>
          <w:rFonts w:ascii="Consolas" w:hAnsi="Consolas"/>
          <w:sz w:val="17"/>
        </w:rPr>
        <w:t>Average Outstanding Debt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AVERAGE(CreditData[Outstanding_Debt])</w:t>
      </w:r>
    </w:p>
    <w:p w14:paraId="2A93A04D">
      <w:r>
        <w:rPr>
          <w:b/>
          <w:sz w:val="22"/>
        </w:rPr>
        <w:t>Average Bank Accounts</w:t>
      </w:r>
    </w:p>
    <w:p w14:paraId="21D876DB">
      <w:pPr>
        <w:ind w:left="288"/>
      </w:pPr>
      <w:r>
        <w:rPr>
          <w:rFonts w:ascii="Consolas" w:hAnsi="Consolas"/>
          <w:sz w:val="17"/>
        </w:rPr>
        <w:t>Average Bank Accounts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AVERAGE(CreditData[Num_Bank_Accounts])</w:t>
      </w:r>
    </w:p>
    <w:p w14:paraId="059E5C75">
      <w:r>
        <w:rPr>
          <w:b/>
          <w:sz w:val="22"/>
        </w:rPr>
        <w:t>Average Credit Cards</w:t>
      </w:r>
    </w:p>
    <w:p w14:paraId="0BE4A252">
      <w:pPr>
        <w:ind w:left="288"/>
      </w:pPr>
      <w:r>
        <w:rPr>
          <w:rFonts w:ascii="Consolas" w:hAnsi="Consolas"/>
          <w:sz w:val="17"/>
        </w:rPr>
        <w:t>Average Credit Cards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AVERAGE(CreditData[Num_Credit_Card])</w:t>
      </w:r>
    </w:p>
    <w:p w14:paraId="5D59CB47">
      <w:r>
        <w:rPr>
          <w:b/>
          <w:sz w:val="22"/>
        </w:rPr>
        <w:t>Average Loans</w:t>
      </w:r>
    </w:p>
    <w:p w14:paraId="2A339941">
      <w:pPr>
        <w:ind w:left="288"/>
      </w:pPr>
      <w:r>
        <w:rPr>
          <w:rFonts w:ascii="Consolas" w:hAnsi="Consolas"/>
          <w:sz w:val="17"/>
        </w:rPr>
        <w:t>Average Loans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AVERAGE(CreditData[Num_of_Loan])</w:t>
      </w:r>
    </w:p>
    <w:p w14:paraId="345888C9">
      <w:r>
        <w:rPr>
          <w:b/>
          <w:sz w:val="22"/>
        </w:rPr>
        <w:t>Average Annual Income</w:t>
      </w:r>
    </w:p>
    <w:p w14:paraId="1C2093F2">
      <w:pPr>
        <w:ind w:left="288"/>
      </w:pPr>
      <w:r>
        <w:rPr>
          <w:rFonts w:ascii="Consolas" w:hAnsi="Consolas"/>
          <w:sz w:val="17"/>
        </w:rPr>
        <w:t>Average Annual Income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AVERAGE(CreditData[Annual_Income])</w:t>
      </w:r>
    </w:p>
    <w:p w14:paraId="6DFB5135">
      <w:r>
        <w:rPr>
          <w:b/>
          <w:sz w:val="22"/>
        </w:rPr>
        <w:t>Average Monthly Salary</w:t>
      </w:r>
    </w:p>
    <w:p w14:paraId="0C47EF0A">
      <w:pPr>
        <w:ind w:left="288"/>
      </w:pPr>
      <w:r>
        <w:rPr>
          <w:rFonts w:ascii="Consolas" w:hAnsi="Consolas"/>
          <w:sz w:val="17"/>
        </w:rPr>
        <w:t>Average Monthly Salary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AVERAGE(CreditData[Monthly_Inhand_Salary])</w:t>
      </w:r>
    </w:p>
    <w:p w14:paraId="4EDED67B">
      <w:r>
        <w:rPr>
          <w:b/>
          <w:sz w:val="22"/>
        </w:rPr>
        <w:t>Average EMI</w:t>
      </w:r>
    </w:p>
    <w:p w14:paraId="0A420808">
      <w:pPr>
        <w:ind w:left="288"/>
      </w:pPr>
      <w:r>
        <w:rPr>
          <w:rFonts w:ascii="Consolas" w:hAnsi="Consolas"/>
          <w:sz w:val="17"/>
        </w:rPr>
        <w:t>Average EMI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AVERAGE(CreditData[Total_EMI_per_month])</w:t>
      </w:r>
    </w:p>
    <w:p w14:paraId="35213864">
      <w:r>
        <w:rPr>
          <w:b/>
          <w:sz w:val="22"/>
        </w:rPr>
        <w:t>Average Investment</w:t>
      </w:r>
    </w:p>
    <w:p w14:paraId="04E47206">
      <w:pPr>
        <w:ind w:left="288"/>
      </w:pPr>
      <w:r>
        <w:rPr>
          <w:rFonts w:ascii="Consolas" w:hAnsi="Consolas"/>
          <w:sz w:val="17"/>
        </w:rPr>
        <w:t>Average Investment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AVERAGE(CreditData[Amount_invested_monthly])</w:t>
      </w:r>
    </w:p>
    <w:p w14:paraId="72BB8C2B">
      <w:r>
        <w:rPr>
          <w:b/>
          <w:sz w:val="22"/>
        </w:rPr>
        <w:t>Customers to Monitor</w:t>
      </w:r>
    </w:p>
    <w:p w14:paraId="3305026F">
      <w:pPr>
        <w:ind w:left="288"/>
      </w:pPr>
      <w:r>
        <w:rPr>
          <w:rFonts w:ascii="Consolas" w:hAnsi="Consolas"/>
          <w:sz w:val="17"/>
        </w:rPr>
        <w:t>Customers to Monitor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"Standard"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19DA5415">
      <w:r>
        <w:rPr>
          <w:b/>
          <w:sz w:val="22"/>
        </w:rPr>
        <w:t>Low Risk Customers</w:t>
      </w:r>
    </w:p>
    <w:p w14:paraId="2C9C68E3">
      <w:pPr>
        <w:ind w:left="288"/>
      </w:pPr>
      <w:r>
        <w:rPr>
          <w:rFonts w:ascii="Consolas" w:hAnsi="Consolas"/>
          <w:sz w:val="17"/>
        </w:rPr>
        <w:t>Low Risk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"Good"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74304DB2">
      <w:pPr>
        <w:rPr>
          <w:b/>
          <w:sz w:val="22"/>
        </w:rPr>
      </w:pPr>
    </w:p>
    <w:p w14:paraId="54181914">
      <w:r>
        <w:rPr>
          <w:b/>
          <w:sz w:val="22"/>
        </w:rPr>
        <w:t>Overall Fraud Risk Score</w:t>
      </w:r>
    </w:p>
    <w:p w14:paraId="63A36C59">
      <w:pPr>
        <w:ind w:left="288"/>
      </w:pPr>
      <w:r>
        <w:rPr>
          <w:rFonts w:ascii="Consolas" w:hAnsi="Consolas"/>
          <w:sz w:val="17"/>
        </w:rPr>
        <w:t>Overall Fraud Risk Score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ROUND(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([High Risk %] * 100) * 0.50 +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MIN([Average Delayed Payments] / 30 * 100, 100) * 0.25 +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MIN([Average Credit Inquiries] / 15 * 100, 100) * 0.25,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495C4DE2">
      <w:r>
        <w:rPr>
          <w:b/>
          <w:sz w:val="22"/>
        </w:rPr>
        <w:t>Risk Score Target</w:t>
      </w:r>
    </w:p>
    <w:p w14:paraId="49ABCCFF">
      <w:pPr>
        <w:ind w:left="288"/>
      </w:pPr>
      <w:r>
        <w:rPr>
          <w:rFonts w:ascii="Consolas" w:hAnsi="Consolas"/>
          <w:sz w:val="17"/>
        </w:rPr>
        <w:t>Risk Score Target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70</w:t>
      </w:r>
    </w:p>
    <w:p w14:paraId="475E1CF0">
      <w:r>
        <w:rPr>
          <w:b/>
          <w:sz w:val="22"/>
        </w:rPr>
        <w:t>Risk Category</w:t>
      </w:r>
    </w:p>
    <w:p w14:paraId="724AA9CA">
      <w:pPr>
        <w:ind w:left="288"/>
      </w:pPr>
      <w:r>
        <w:rPr>
          <w:rFonts w:ascii="Consolas" w:hAnsi="Consolas"/>
          <w:sz w:val="17"/>
        </w:rPr>
        <w:t>Risk Category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SWITCH(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TRUE(),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[Overall Fraud Risk Score] &gt;= 70, "HIGH RISK",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[Overall Fraud Risk Score] &gt;= 40, "MEDIUM RISK",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"LOW RISK"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227EF09E">
      <w:pPr>
        <w:spacing w:before="140" w:after="60"/>
      </w:pPr>
      <w:r>
        <w:rPr>
          <w:rFonts w:ascii="Arial" w:hAnsi="Arial"/>
          <w:b/>
          <w:color w:val="70182D"/>
          <w:sz w:val="32"/>
        </w:rPr>
        <w:t>7. CALCULATED COLUMN: AGE GROUP</w:t>
      </w:r>
    </w:p>
    <w:p w14:paraId="3F6D9136">
      <w:pPr>
        <w:ind w:left="288"/>
      </w:pPr>
      <w:r>
        <w:rPr>
          <w:rFonts w:ascii="Consolas" w:hAnsi="Consolas"/>
          <w:sz w:val="17"/>
        </w:rPr>
        <w:t>Age Group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SWITCH(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TRUE(),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18 &amp;&amp; CreditData[Age] &lt;= 25, "18-25",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26 &amp;&amp; CreditData[Age] &lt;= 35, "26-35",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36 &amp;&amp; CreditData[Age] &lt;= 45, "36-45",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46 &amp;&amp; CreditData[Age] &lt;= 55, "46-55",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56, "55+",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"Unknown"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502EE8F4">
      <w:r>
        <w:t>Age Group is a calculated column because Age is a row-level attribute. It allows the dashboard to compare meaningful age bands instead of individual ages.</w:t>
      </w:r>
    </w:p>
    <w:p w14:paraId="5F767CD0">
      <w:pPr>
        <w:spacing w:before="140" w:after="60"/>
      </w:pPr>
      <w:r>
        <w:rPr>
          <w:rFonts w:ascii="Arial" w:hAnsi="Arial"/>
          <w:b/>
          <w:color w:val="70182D"/>
          <w:sz w:val="32"/>
        </w:rPr>
        <w:t>8. WHY THESE DAX FUNCTIONS WERE USED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B40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641C2D"/>
            <w:vAlign w:val="center"/>
          </w:tcPr>
          <w:p w14:paraId="5BF96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Function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5522C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Used For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080BE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Interview Explanation</w:t>
            </w:r>
          </w:p>
        </w:tc>
      </w:tr>
      <w:tr w14:paraId="6A99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CA8E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DISTINCTCOUNT</w:t>
            </w:r>
          </w:p>
        </w:tc>
        <w:tc>
          <w:tcPr>
            <w:tcW w:w="3456" w:type="dxa"/>
            <w:vAlign w:val="center"/>
          </w:tcPr>
          <w:p w14:paraId="79A41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Unique customers</w:t>
            </w:r>
          </w:p>
        </w:tc>
        <w:tc>
          <w:tcPr>
            <w:tcW w:w="3456" w:type="dxa"/>
            <w:vAlign w:val="center"/>
          </w:tcPr>
          <w:p w14:paraId="77F05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The source contains repeated customer records, so I needed unique customer counts.</w:t>
            </w:r>
          </w:p>
        </w:tc>
      </w:tr>
      <w:tr w14:paraId="045A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1012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CALCULATE</w:t>
            </w:r>
          </w:p>
        </w:tc>
        <w:tc>
          <w:tcPr>
            <w:tcW w:w="3456" w:type="dxa"/>
            <w:vAlign w:val="center"/>
          </w:tcPr>
          <w:p w14:paraId="00EAF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Filtered customer counts</w:t>
            </w:r>
          </w:p>
        </w:tc>
        <w:tc>
          <w:tcPr>
            <w:tcW w:w="3456" w:type="dxa"/>
            <w:vAlign w:val="center"/>
          </w:tcPr>
          <w:p w14:paraId="18ABD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modifies filter context, for example to isolate Poor credit-score customers.</w:t>
            </w:r>
          </w:p>
        </w:tc>
      </w:tr>
      <w:tr w14:paraId="290C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56" w:type="dxa"/>
            <w:vAlign w:val="center"/>
          </w:tcPr>
          <w:p w14:paraId="1E8C4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DIVIDE</w:t>
            </w:r>
          </w:p>
        </w:tc>
        <w:tc>
          <w:tcPr>
            <w:tcW w:w="3456" w:type="dxa"/>
            <w:vAlign w:val="center"/>
          </w:tcPr>
          <w:p w14:paraId="7654E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Percentages</w:t>
            </w:r>
          </w:p>
        </w:tc>
        <w:tc>
          <w:tcPr>
            <w:tcW w:w="3456" w:type="dxa"/>
            <w:vAlign w:val="center"/>
          </w:tcPr>
          <w:p w14:paraId="73739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safely calculates ratios and handles division-by-zero.</w:t>
            </w:r>
          </w:p>
        </w:tc>
      </w:tr>
      <w:tr w14:paraId="5351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9D0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AVERAGE</w:t>
            </w:r>
          </w:p>
        </w:tc>
        <w:tc>
          <w:tcPr>
            <w:tcW w:w="3456" w:type="dxa"/>
            <w:vAlign w:val="center"/>
          </w:tcPr>
          <w:p w14:paraId="77D9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Financial/behavioural KPIs</w:t>
            </w:r>
          </w:p>
        </w:tc>
        <w:tc>
          <w:tcPr>
            <w:tcW w:w="3456" w:type="dxa"/>
            <w:vAlign w:val="center"/>
          </w:tcPr>
          <w:p w14:paraId="128BD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represents the typical customer level rather than the total.</w:t>
            </w:r>
          </w:p>
        </w:tc>
      </w:tr>
      <w:tr w14:paraId="2BCD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1C80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SWITCH(TRUE())</w:t>
            </w:r>
          </w:p>
        </w:tc>
        <w:tc>
          <w:tcPr>
            <w:tcW w:w="3456" w:type="dxa"/>
            <w:vAlign w:val="center"/>
          </w:tcPr>
          <w:p w14:paraId="0A3FC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Age and risk bands</w:t>
            </w:r>
          </w:p>
        </w:tc>
        <w:tc>
          <w:tcPr>
            <w:tcW w:w="3456" w:type="dxa"/>
            <w:vAlign w:val="center"/>
          </w:tcPr>
          <w:p w14:paraId="4F7FC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evaluates multiple logical conditions in sequence.</w:t>
            </w:r>
          </w:p>
        </w:tc>
      </w:tr>
      <w:tr w14:paraId="320E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8397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MIN</w:t>
            </w:r>
          </w:p>
        </w:tc>
        <w:tc>
          <w:tcPr>
            <w:tcW w:w="3456" w:type="dxa"/>
            <w:vAlign w:val="center"/>
          </w:tcPr>
          <w:p w14:paraId="1E35B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Risk-score normalization</w:t>
            </w:r>
          </w:p>
        </w:tc>
        <w:tc>
          <w:tcPr>
            <w:tcW w:w="3456" w:type="dxa"/>
            <w:vAlign w:val="center"/>
          </w:tcPr>
          <w:p w14:paraId="77F93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caps normalized components at 100.</w:t>
            </w:r>
          </w:p>
        </w:tc>
      </w:tr>
      <w:tr w14:paraId="762B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7545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ROUND</w:t>
            </w:r>
          </w:p>
        </w:tc>
        <w:tc>
          <w:tcPr>
            <w:tcW w:w="3456" w:type="dxa"/>
            <w:vAlign w:val="center"/>
          </w:tcPr>
          <w:p w14:paraId="40059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Executive risk score</w:t>
            </w:r>
          </w:p>
        </w:tc>
        <w:tc>
          <w:tcPr>
            <w:tcW w:w="3456" w:type="dxa"/>
            <w:vAlign w:val="center"/>
          </w:tcPr>
          <w:p w14:paraId="40C8A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It presents the composite score as a clean executive number.</w:t>
            </w:r>
          </w:p>
        </w:tc>
      </w:tr>
    </w:tbl>
    <w:p w14:paraId="0A537C1F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C3E8CAD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13A9AEF5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0355662D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38675A3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049E567">
      <w:pPr>
        <w:spacing w:before="140" w:after="60"/>
      </w:pPr>
      <w:r>
        <w:rPr>
          <w:rFonts w:ascii="Arial" w:hAnsi="Arial"/>
          <w:b/>
          <w:color w:val="70182D"/>
          <w:sz w:val="32"/>
        </w:rPr>
        <w:t>9. PAGE 1 – FRAUD OVERVIEW</w:t>
      </w:r>
    </w:p>
    <w:p w14:paraId="487F2FD0">
      <w:pPr>
        <w:jc w:val="center"/>
      </w:pPr>
      <w:r>
        <w:drawing>
          <wp:inline distT="0" distB="0" distL="114300" distR="114300">
            <wp:extent cx="6492240" cy="4112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42DD">
      <w:r>
        <w:t>Story: First establish the overall risk landscape and identify where high-risk customers are concentrated.</w:t>
      </w:r>
    </w:p>
    <w:p w14:paraId="6734C3A9">
      <w:r>
        <w:t>KPI cards:</w:t>
      </w:r>
    </w:p>
    <w:p w14:paraId="69883CCD">
      <w:pPr>
        <w:pStyle w:val="25"/>
      </w:pPr>
      <w:r>
        <w:t>Total Customer</w:t>
      </w:r>
    </w:p>
    <w:p w14:paraId="22D664FB">
      <w:pPr>
        <w:pStyle w:val="25"/>
      </w:pPr>
      <w:r>
        <w:t>High Risk Customer</w:t>
      </w:r>
    </w:p>
    <w:p w14:paraId="33BD169E">
      <w:pPr>
        <w:pStyle w:val="25"/>
      </w:pPr>
      <w:r>
        <w:t>High Risk %</w:t>
      </w:r>
    </w:p>
    <w:p w14:paraId="6653DA78">
      <w:pPr>
        <w:pStyle w:val="25"/>
      </w:pPr>
      <w:r>
        <w:t>Average Delayed Payments</w:t>
      </w:r>
    </w:p>
    <w:p w14:paraId="3B70CA93">
      <w:pPr>
        <w:pStyle w:val="25"/>
      </w:pPr>
      <w:r>
        <w:t>Average Credit Inquiries</w:t>
      </w:r>
    </w:p>
    <w:p w14:paraId="6B2FFD56">
      <w:pPr>
        <w:pStyle w:val="25"/>
      </w:pPr>
      <w:r>
        <w:t>Average Credit Utilization</w:t>
      </w:r>
    </w:p>
    <w:p w14:paraId="427C3926">
      <w:r>
        <w:t>Charts:</w:t>
      </w:r>
    </w:p>
    <w:p w14:paraId="11B472C5">
      <w:pPr>
        <w:pStyle w:val="25"/>
      </w:pPr>
      <w:r>
        <w:t>Risk Profile Distribution by Credit Score</w:t>
      </w:r>
    </w:p>
    <w:p w14:paraId="3834A71A">
      <w:pPr>
        <w:pStyle w:val="25"/>
      </w:pPr>
      <w:r>
        <w:t>High-Risk Customers by Occupation</w:t>
      </w:r>
    </w:p>
    <w:p w14:paraId="5BC512C3">
      <w:pPr>
        <w:pStyle w:val="25"/>
      </w:pPr>
      <w:r>
        <w:t>High-Risk Customers by Age Group</w:t>
      </w:r>
    </w:p>
    <w:p w14:paraId="314C63DF">
      <w:pPr>
        <w:pStyle w:val="25"/>
      </w:pPr>
      <w:r>
        <w:t>Credit Utilization % by Credit Score</w:t>
      </w:r>
    </w:p>
    <w:p w14:paraId="14DD0773">
      <w:r>
        <w:t>Main insights:</w:t>
      </w:r>
    </w:p>
    <w:p w14:paraId="63B52E7C">
      <w:pPr>
        <w:pStyle w:val="25"/>
      </w:pPr>
      <w:r>
        <w:t>Approximately 13K unique customers are represented on the overview.</w:t>
      </w:r>
    </w:p>
    <w:p w14:paraId="2981FC98">
      <w:pPr>
        <w:pStyle w:val="25"/>
      </w:pPr>
      <w:r>
        <w:t>The dashboard shows approximately 5K high-risk customers and 41.62% High Risk.</w:t>
      </w:r>
    </w:p>
    <w:p w14:paraId="28518E28">
      <w:pPr>
        <w:pStyle w:val="25"/>
      </w:pPr>
      <w:r>
        <w:t>Risk concentration differs by occupation and age group.</w:t>
      </w:r>
    </w:p>
    <w:p w14:paraId="706A64A0">
      <w:pPr>
        <w:pStyle w:val="25"/>
      </w:pPr>
      <w:r>
        <w:t>Credit utilization is a recurring financial-risk indicator.</w:t>
      </w:r>
    </w:p>
    <w:p w14:paraId="0DFB9957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lang w:val="en-US"/>
        </w:rPr>
      </w:pPr>
      <w:r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  <w:t>Story: “Where is the risk?”</w:t>
      </w:r>
    </w:p>
    <w:p w14:paraId="1455F9BC">
      <w:pPr>
        <w:keepNext w:val="0"/>
        <w:keepLines w:val="0"/>
        <w:widowControl/>
        <w:suppressLineNumbers w:val="0"/>
        <w:spacing w:before="0" w:beforeAutospacing="0" w:after="0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I start my analysis with the overall risk landscape. The first page gives management a quick overview of the customer portfolio using total customers, high-risk customers, high-risk percentage, delayed payments, credit inquiries and credit utilization.</w:t>
      </w:r>
    </w:p>
    <w:tbl>
      <w:tblPr>
        <w:tblStyle w:val="167"/>
        <w:tblW w:w="8220" w:type="dxa"/>
        <w:tblInd w:w="8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5102"/>
        <w:gridCol w:w="3118"/>
      </w:tblGrid>
      <w:tr w14:paraId="56F50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6F1D2B"/>
            <w:vAlign w:val="center"/>
          </w:tcPr>
          <w:p w14:paraId="7FD36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FFFFFF"/>
                <w:kern w:val="2"/>
                <w:sz w:val="19"/>
                <w:szCs w:val="24"/>
                <w:lang w:val="en-US" w:eastAsia="zh-CN" w:bidi="ar"/>
              </w:rPr>
              <w:t>KPI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6F1D2B"/>
            <w:vAlign w:val="center"/>
          </w:tcPr>
          <w:p w14:paraId="56960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FFFFFF"/>
                <w:kern w:val="2"/>
                <w:sz w:val="19"/>
                <w:szCs w:val="24"/>
                <w:lang w:val="en-US" w:eastAsia="zh-CN" w:bidi="ar"/>
              </w:rPr>
              <w:t>Dashboard value</w:t>
            </w:r>
          </w:p>
        </w:tc>
      </w:tr>
      <w:tr w14:paraId="597F6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2FEE8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Total Customers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73D49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13K</w:t>
            </w:r>
          </w:p>
        </w:tc>
      </w:tr>
      <w:tr w14:paraId="61654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6B119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High Risk Customers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1BC3C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5K</w:t>
            </w:r>
          </w:p>
        </w:tc>
      </w:tr>
      <w:tr w14:paraId="1017C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14439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High Risk %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0AC5E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41.62%</w:t>
            </w:r>
          </w:p>
        </w:tc>
      </w:tr>
      <w:tr w14:paraId="488C6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324FE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Average Delayed Payments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3F08C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13.31</w:t>
            </w:r>
          </w:p>
        </w:tc>
      </w:tr>
      <w:tr w14:paraId="31771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74C53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Average Credit Inquiries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70162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5.80</w:t>
            </w:r>
          </w:p>
        </w:tc>
      </w:tr>
      <w:tr w14:paraId="0503A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510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63337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Average Credit Utilization</w:t>
            </w:r>
          </w:p>
        </w:tc>
        <w:tc>
          <w:tcPr>
            <w:tcW w:w="311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309E7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32.29%</w:t>
            </w:r>
          </w:p>
        </w:tc>
      </w:tr>
    </w:tbl>
    <w:p w14:paraId="243E9E60">
      <w:pPr>
        <w:keepNext w:val="0"/>
        <w:keepLines w:val="0"/>
        <w:widowControl/>
        <w:suppressLineNumbers w:val="0"/>
        <w:spacing w:before="0" w:beforeAutospacing="0" w:after="146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I then break this risk down by credit score, occupation and age group. This helps answer not only </w:t>
      </w:r>
      <w:r>
        <w:rPr>
          <w:rFonts w:ascii="Arial" w:hAnsi="Arial" w:eastAsia="Arial" w:cs="Arial"/>
          <w:b/>
          <w:bCs w:val="0"/>
          <w:color w:val="000000"/>
          <w:kern w:val="2"/>
          <w:sz w:val="20"/>
          <w:szCs w:val="24"/>
          <w:lang w:val="en-US" w:eastAsia="zh-CN" w:bidi="ar"/>
        </w:rPr>
        <w:t>how much risk exists</w:t>
      </w: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, but also </w:t>
      </w:r>
      <w:r>
        <w:rPr>
          <w:rFonts w:ascii="Arial" w:hAnsi="Arial" w:eastAsia="Arial" w:cs="Arial"/>
          <w:b/>
          <w:bCs w:val="0"/>
          <w:color w:val="000000"/>
          <w:kern w:val="2"/>
          <w:sz w:val="20"/>
          <w:szCs w:val="24"/>
          <w:lang w:val="en-US" w:eastAsia="zh-CN" w:bidi="ar"/>
        </w:rPr>
        <w:t>where the risk is concentrated</w:t>
      </w: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. Credit utilization is a recurring financial-risk indicator.</w:t>
      </w:r>
    </w:p>
    <w:p w14:paraId="3CE04F2A">
      <w:pPr>
        <w:keepNext w:val="0"/>
        <w:keepLines w:val="0"/>
        <w:widowControl/>
        <w:suppressLineNumbers w:val="0"/>
        <w:pBdr>
          <w:top w:val="single" w:color="6F1D2B" w:sz="8" w:space="0"/>
          <w:left w:val="single" w:color="6F1D2B" w:sz="8" w:space="0"/>
          <w:bottom w:val="single" w:color="6F1D2B" w:sz="8" w:space="0"/>
          <w:right w:val="single" w:color="6F1D2B" w:sz="8" w:space="0"/>
        </w:pBdr>
        <w:spacing w:before="0" w:beforeAutospacing="0" w:after="290" w:afterAutospacing="0" w:line="316" w:lineRule="auto"/>
        <w:ind w:left="225" w:right="145" w:hanging="10"/>
        <w:jc w:val="left"/>
        <w:rPr>
          <w:bdr w:val="single" w:color="6F1D2B" w:sz="8" w:space="0"/>
          <w:lang w:val="en-US"/>
        </w:rPr>
      </w:pPr>
      <w:r>
        <w:rPr>
          <w:rFonts w:ascii="Arial" w:hAnsi="Arial" w:eastAsia="Arial" w:cs="Arial"/>
          <w:b/>
          <w:bCs w:val="0"/>
          <w:color w:val="333333"/>
          <w:kern w:val="2"/>
          <w:sz w:val="21"/>
          <w:szCs w:val="24"/>
          <w:lang w:val="en-US" w:eastAsia="zh-CN" w:bidi="ar"/>
        </w:rPr>
        <w:t>Transition:</w:t>
      </w:r>
      <w:r>
        <w:rPr>
          <w:rFonts w:ascii="Arial" w:hAnsi="Arial" w:eastAsia="Arial" w:cs="Arial"/>
          <w:color w:val="333333"/>
          <w:kern w:val="2"/>
          <w:sz w:val="21"/>
          <w:szCs w:val="24"/>
          <w:lang w:val="en-US" w:eastAsia="zh-CN" w:bidi="ar"/>
        </w:rPr>
        <w:t xml:space="preserve"> “So, after identifying who appears to be at higher risk, the next question is: What are these customers actually doing financially?”</w:t>
      </w:r>
    </w:p>
    <w:p w14:paraId="0C54CA8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Calibri" w:hAnsi="Calibri" w:cs="Calibri"/>
          <w:i w:val="0"/>
          <w:iCs w:val="0"/>
          <w:caps w:val="0"/>
          <w:color w:val="953735" w:themeColor="accent2" w:themeShade="BF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953735" w:themeColor="accent2" w:themeShade="BF"/>
          <w:spacing w:val="0"/>
          <w:sz w:val="28"/>
          <w:szCs w:val="28"/>
          <w:bdr w:val="none" w:color="auto" w:sz="0" w:space="0"/>
          <w:shd w:val="clear" w:fill="FFFFFF"/>
        </w:rPr>
        <w:t>PAGE 1 – FRAUD OVERVIEW</w:t>
      </w:r>
    </w:p>
    <w:p w14:paraId="4968316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Story: First establish the overall risk landscape and identify where high-risk customers are concentrated.</w:t>
      </w:r>
    </w:p>
    <w:p w14:paraId="30A490D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Total Customer</w:t>
      </w:r>
      <w:bookmarkStart w:id="0" w:name="_GoBack"/>
      <w:bookmarkEnd w:id="0"/>
    </w:p>
    <w:p w14:paraId="5B8F763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Customer</w:t>
      </w:r>
    </w:p>
    <w:p w14:paraId="3E2A1E3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%</w:t>
      </w:r>
    </w:p>
    <w:p w14:paraId="5F0F44B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Delayed Payments</w:t>
      </w:r>
    </w:p>
    <w:p w14:paraId="0EADFFD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Inquiries</w:t>
      </w:r>
    </w:p>
    <w:p w14:paraId="07C698E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Utilization</w:t>
      </w:r>
    </w:p>
    <w:p w14:paraId="51B059A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Risk Profile Distribution by Credit Score</w:t>
      </w:r>
    </w:p>
    <w:p w14:paraId="1DF5BA3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High-Risk Customers by Occupation</w:t>
      </w:r>
    </w:p>
    <w:p w14:paraId="51556C1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High-Risk Customers by Age Group</w:t>
      </w:r>
    </w:p>
    <w:p w14:paraId="661DDD7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Credit Utilization % by Credit Score</w:t>
      </w:r>
    </w:p>
    <w:p w14:paraId="29C2655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Average Delayed Payments</w:t>
      </w:r>
    </w:p>
    <w:p w14:paraId="3E6C834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Delayed Payments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AVERAGE(CreditData[Delay_from_due_date])</w:t>
      </w:r>
    </w:p>
    <w:p w14:paraId="791CA94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the average number of days/units of delay represented in Delay_from_due_date. It is used as a behavioural risk indicator and as one component of the project risk score.</w:t>
      </w:r>
    </w:p>
    <w:p w14:paraId="64E652F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2A61B12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Average Credit Inquiries</w:t>
      </w:r>
    </w:p>
    <w:p w14:paraId="17AE5B2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Credit Inquiries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AVERAGE(CreditData[Num_Credit_Inquiries])</w:t>
      </w:r>
    </w:p>
    <w:p w14:paraId="3FB905D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the average number of credit inquiries and provides a credit-seeking behaviour signal.</w:t>
      </w:r>
    </w:p>
    <w:p w14:paraId="066A4D4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7390500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Average Credit Utilization %</w:t>
      </w:r>
    </w:p>
    <w:p w14:paraId="1DE8335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Credit Utilization %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AVERAGE(CreditData[Credit_Utilization_Ratio])</w:t>
      </w:r>
    </w:p>
    <w:p w14:paraId="02EBDC3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the average utilization ratio. Format this measure as Percentage only if the stored values are decimals such as 0.32; if the source stores 32.29, do not apply an additional percentage conversion.</w:t>
      </w:r>
    </w:p>
    <w:p w14:paraId="265546B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7551782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Risk Profile Distribution</w:t>
      </w:r>
    </w:p>
    <w:p w14:paraId="51CB07B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Customers by Credit Score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DISTINCTCOUNT(CreditData[Customer_ID])</w:t>
      </w:r>
    </w:p>
    <w:p w14:paraId="6CF293C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Place CreditData[Credit_Score] on the category/legend and this measure in Values. The measure counts unique customers inside each credit-score filter context.</w:t>
      </w:r>
    </w:p>
    <w:p w14:paraId="02BB670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7336C65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High-Risk Customers by Occupation</w:t>
      </w:r>
    </w:p>
    <w:p w14:paraId="5AE9C4F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High Risk Customers by Occupation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[High Risk Customers]</w:t>
      </w:r>
    </w:p>
    <w:p w14:paraId="7B6AF89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The Occupation field supplies the category context. The measure then counts Poor-score customers within each occupation.</w:t>
      </w:r>
    </w:p>
    <w:p w14:paraId="1C5F062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4BC4C65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High-Risk Customers by Age Group</w:t>
      </w:r>
    </w:p>
    <w:p w14:paraId="1763794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High Risk Customers by Age Group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[High Risk Customers]</w:t>
      </w:r>
    </w:p>
    <w:p w14:paraId="090257A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Age Group supplies the category context, while the reused High Risk Customers measure counts Poor-score customers in each age band.</w:t>
      </w:r>
    </w:p>
    <w:p w14:paraId="0028DEE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53E1531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1 – Credit Utilization by Credit Score</w:t>
      </w:r>
    </w:p>
    <w:p w14:paraId="1892A4B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 Utilization by Credit Score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AVERAGE(CreditData[Credit_Utilization_Ratio])</w:t>
      </w:r>
    </w:p>
    <w:p w14:paraId="51ADCCD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Credit_Score supplies the category context and the average utilization measure is recalculated for each credit-score group.</w:t>
      </w:r>
    </w:p>
    <w:p w14:paraId="5247FEC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66E2366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Calibri" w:hAnsi="Calibri" w:cs="Calibri"/>
          <w:b/>
          <w:bCs/>
          <w:i w:val="0"/>
          <w:iCs w:val="0"/>
          <w:caps w:val="0"/>
          <w:color w:val="4F81BD"/>
          <w:spacing w:val="0"/>
          <w:sz w:val="26"/>
          <w:szCs w:val="26"/>
          <w:bdr w:val="none" w:color="auto" w:sz="0" w:space="0"/>
          <w:shd w:val="clear" w:fill="FFFFFF"/>
        </w:rPr>
      </w:pPr>
    </w:p>
    <w:p w14:paraId="3E4E1D0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953735" w:themeColor="accent2" w:themeShade="BF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953735" w:themeColor="accent2" w:themeShade="BF"/>
          <w:spacing w:val="0"/>
          <w:sz w:val="26"/>
          <w:szCs w:val="26"/>
          <w:bdr w:val="none" w:color="auto" w:sz="0" w:space="0"/>
          <w:shd w:val="clear" w:fill="FFFFFF"/>
        </w:rPr>
        <w:t>PAGE 1 – FIELD PLACEMENT</w:t>
      </w:r>
    </w:p>
    <w:tbl>
      <w:tblPr>
        <w:tblW w:w="0" w:type="dxa"/>
        <w:tblInd w:w="-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8"/>
        <w:gridCol w:w="3408"/>
        <w:gridCol w:w="3408"/>
      </w:tblGrid>
      <w:tr w14:paraId="2E3760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6C1CE0F7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Visual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19DF193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Axis / Category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4B97DB6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Values</w:t>
            </w:r>
          </w:p>
        </w:tc>
      </w:tr>
      <w:tr w14:paraId="06EE42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C458C18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Risk Profile Distribution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5387F1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Credit_Score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E49ED08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[Customers by Credit Score]</w:t>
            </w:r>
          </w:p>
        </w:tc>
      </w:tr>
      <w:tr w14:paraId="6C057C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2C5A55F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High-Risk Customers by Occupation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48234A1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Occupation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CB59D38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[High Risk Customers]</w:t>
            </w:r>
          </w:p>
        </w:tc>
      </w:tr>
      <w:tr w14:paraId="07F32E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855DC31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High-Risk Customers by Age Group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BAD5DBD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Age Group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F2B65D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[High Risk Customers]</w:t>
            </w:r>
          </w:p>
        </w:tc>
      </w:tr>
      <w:tr w14:paraId="748787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59949B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 Utilization by Credit 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E56A8B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Credit_Score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D28C40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[Average Credit Utilization %]</w:t>
            </w:r>
          </w:p>
        </w:tc>
      </w:tr>
    </w:tbl>
    <w:p w14:paraId="1C0890D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ptos" w:hAnsi="Aptos" w:eastAsia="Aptos" w:cs="Aptos"/>
          <w:i w:val="0"/>
          <w:iCs w:val="0"/>
          <w:caps w:val="0"/>
          <w:color w:val="C00000"/>
          <w:spacing w:val="0"/>
          <w:sz w:val="20"/>
          <w:szCs w:val="20"/>
        </w:rPr>
      </w:pPr>
      <w:r>
        <w:rPr>
          <w:rFonts w:hint="default" w:ascii="Calibri" w:hAnsi="Calibri" w:eastAsia="Aptos" w:cs="Calibri"/>
          <w:b/>
          <w:bCs/>
          <w:i w:val="0"/>
          <w:iCs w:val="0"/>
          <w:caps w:val="0"/>
          <w:color w:val="C00000"/>
          <w:spacing w:val="0"/>
          <w:sz w:val="26"/>
          <w:szCs w:val="26"/>
          <w:shd w:val="clear" w:fill="FFFFFF"/>
        </w:rPr>
        <w:t>Page 1 Visuals and DAX</w:t>
      </w:r>
    </w:p>
    <w:p w14:paraId="38FF3A87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Risk Profile Distribution by Credit Score → Total Customers / High Risk Customers</w:t>
      </w:r>
    </w:p>
    <w:p w14:paraId="5B1D01AC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High-Risk Customers by Occupation → High Risk Customers</w:t>
      </w:r>
    </w:p>
    <w:p w14:paraId="2F1289D5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High-Risk Customers by Age Group → High Risk Customers</w:t>
      </w:r>
    </w:p>
    <w:p w14:paraId="6621C5DF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Credit Utilization by Credit Score → Average Credit Utilization %</w:t>
      </w:r>
    </w:p>
    <w:p w14:paraId="0C2B8923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Top KPI cards → Total Customers, High Risk Customers, High Risk %, Average Delayed Payments, Average Credit Inquiries, Average Credit Utilization %</w:t>
      </w:r>
    </w:p>
    <w:p w14:paraId="6C30C6C8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438A6B1F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621A1F37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683D3FA5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3DCE954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CE745B2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F153A96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6F153B3C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4B52B17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169B5117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1042B83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FCEF7FB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62C9F1C9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1CF7B5E6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164B28E2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BC5D8D6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0E34BAEC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3A075CD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1380E2A">
      <w:pPr>
        <w:spacing w:before="140" w:after="60"/>
        <w:ind w:firstLine="4482" w:firstLineChars="1400"/>
      </w:pPr>
      <w:r>
        <w:rPr>
          <w:rFonts w:ascii="Arial" w:hAnsi="Arial"/>
          <w:b/>
          <w:color w:val="70182D"/>
          <w:sz w:val="32"/>
        </w:rPr>
        <w:t>10. PAGE 2 – SUSPICIOUS BEHAVIOUR ANALYSIS</w:t>
      </w:r>
    </w:p>
    <w:p w14:paraId="1902FA7A">
      <w:pPr>
        <w:jc w:val="center"/>
      </w:pPr>
      <w:r>
        <w:drawing>
          <wp:inline distT="0" distB="0" distL="114300" distR="114300">
            <wp:extent cx="6492240" cy="368935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D0A">
      <w:r>
        <w:t>Story: Move from who is at risk to how customers behave financially.</w:t>
      </w:r>
    </w:p>
    <w:p w14:paraId="45385007">
      <w:r>
        <w:t>KPI cards:</w:t>
      </w:r>
    </w:p>
    <w:p w14:paraId="5F534F2D">
      <w:pPr>
        <w:pStyle w:val="25"/>
      </w:pPr>
      <w:r>
        <w:t>Average Bank Accounts</w:t>
      </w:r>
    </w:p>
    <w:p w14:paraId="4B3BC506">
      <w:pPr>
        <w:pStyle w:val="25"/>
      </w:pPr>
      <w:r>
        <w:t>Average Credit Cards</w:t>
      </w:r>
    </w:p>
    <w:p w14:paraId="1E54A691">
      <w:pPr>
        <w:pStyle w:val="25"/>
      </w:pPr>
      <w:r>
        <w:t>Average Loans</w:t>
      </w:r>
    </w:p>
    <w:p w14:paraId="3AF6A95E">
      <w:pPr>
        <w:pStyle w:val="25"/>
      </w:pPr>
      <w:r>
        <w:t>Average Credit Inquiries</w:t>
      </w:r>
    </w:p>
    <w:p w14:paraId="43F498C3">
      <w:pPr>
        <w:pStyle w:val="25"/>
      </w:pPr>
      <w:r>
        <w:t>Average Delayed Payments</w:t>
      </w:r>
    </w:p>
    <w:p w14:paraId="3E966390">
      <w:pPr>
        <w:pStyle w:val="25"/>
      </w:pPr>
      <w:r>
        <w:t>Average Outstanding Debt</w:t>
      </w:r>
    </w:p>
    <w:p w14:paraId="4026B848">
      <w:r>
        <w:t>Charts:</w:t>
      </w:r>
    </w:p>
    <w:p w14:paraId="73EC5177">
      <w:pPr>
        <w:pStyle w:val="25"/>
      </w:pPr>
      <w:r>
        <w:t>Average Bank Accounts by Credit Score</w:t>
      </w:r>
    </w:p>
    <w:p w14:paraId="0F195916">
      <w:pPr>
        <w:pStyle w:val="25"/>
      </w:pPr>
      <w:r>
        <w:t>Average Credit Cards by Credit Score</w:t>
      </w:r>
    </w:p>
    <w:p w14:paraId="401B192D">
      <w:pPr>
        <w:pStyle w:val="25"/>
      </w:pPr>
      <w:r>
        <w:t>Average Loans by Credit Score</w:t>
      </w:r>
    </w:p>
    <w:p w14:paraId="33814534">
      <w:pPr>
        <w:pStyle w:val="25"/>
      </w:pPr>
      <w:r>
        <w:t>Payment Behaviour Analysis</w:t>
      </w:r>
    </w:p>
    <w:p w14:paraId="42C2055F">
      <w:r>
        <w:t>Main insights:</w:t>
      </w:r>
    </w:p>
    <w:p w14:paraId="0854E49F">
      <w:pPr>
        <w:pStyle w:val="25"/>
      </w:pPr>
      <w:r>
        <w:t>Financial product exposure can be compared across credit-score groups.</w:t>
      </w:r>
    </w:p>
    <w:p w14:paraId="2D983FBA">
      <w:pPr>
        <w:pStyle w:val="25"/>
      </w:pPr>
      <w:r>
        <w:t>Delayed payments and credit inquiries provide additional behavioural signals.</w:t>
      </w:r>
    </w:p>
    <w:p w14:paraId="5CF83AEA">
      <w:pPr>
        <w:pStyle w:val="25"/>
      </w:pPr>
      <w:r>
        <w:t>Payment behaviour can be filtered by Age Group, Occupation, Credit Score, Credit Mix and Payment Behaviour.</w:t>
      </w:r>
    </w:p>
    <w:p w14:paraId="46FAD1AB">
      <w:pPr>
        <w:pStyle w:val="25"/>
        <w:numPr>
          <w:ilvl w:val="0"/>
          <w:numId w:val="0"/>
        </w:numPr>
        <w:ind w:leftChars="0"/>
      </w:pPr>
    </w:p>
    <w:p w14:paraId="41402423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</w:pPr>
    </w:p>
    <w:p w14:paraId="511DD79D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</w:pPr>
    </w:p>
    <w:p w14:paraId="29450030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</w:pPr>
    </w:p>
    <w:p w14:paraId="546BD5A4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</w:pPr>
    </w:p>
    <w:p w14:paraId="235FCA98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lang w:val="en-US"/>
        </w:rPr>
      </w:pPr>
      <w:r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  <w:t>Story: “What behaviour is creating the risk?”</w:t>
      </w:r>
    </w:p>
    <w:p w14:paraId="559C8B70">
      <w:pPr>
        <w:keepNext w:val="0"/>
        <w:keepLines w:val="0"/>
        <w:widowControl/>
        <w:suppressLineNumbers w:val="0"/>
        <w:spacing w:before="0" w:beforeAutospacing="0" w:after="187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On the second page, I move from who is at risk to how customers behave financially. I analyze average bank accounts, credit cards, loans, credit inquiries, delayed payments and outstanding debt. The purpose is to compare these behaviours across different credit-score groups.</w:t>
      </w:r>
    </w:p>
    <w:p w14:paraId="376A4320">
      <w:pPr>
        <w:keepNext w:val="0"/>
        <w:keepLines w:val="0"/>
        <w:widowControl/>
        <w:suppressLineNumbers w:val="0"/>
        <w:spacing w:before="0" w:beforeAutospacing="0" w:after="140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Multiple loans, high credit utilization, frequent credit inquiries and delayed payments can provide additional behavioural signals. I am not using one variable alone to declare someone fraudulent. Instead, I look at these indicators together to understand the customer's overall financial behaviour.</w:t>
      </w:r>
    </w:p>
    <w:p w14:paraId="23A90D96">
      <w:pPr>
        <w:keepNext w:val="0"/>
        <w:keepLines w:val="0"/>
        <w:widowControl/>
        <w:suppressLineNumbers w:val="0"/>
        <w:spacing w:before="0" w:beforeAutospacing="0" w:after="152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b/>
          <w:bCs w:val="0"/>
          <w:color w:val="000000"/>
          <w:kern w:val="2"/>
          <w:sz w:val="20"/>
          <w:szCs w:val="24"/>
          <w:lang w:val="en-US" w:eastAsia="zh-CN" w:bidi="ar"/>
        </w:rPr>
        <w:t>Interactive filters:</w:t>
      </w: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 Age Group, Occupation, Credit Score, Payment Behaviour and Credit Mix.</w:t>
      </w:r>
    </w:p>
    <w:p w14:paraId="134357D2">
      <w:pPr>
        <w:keepNext w:val="0"/>
        <w:keepLines w:val="0"/>
        <w:widowControl/>
        <w:suppressLineNumbers w:val="0"/>
        <w:pBdr>
          <w:top w:val="single" w:color="6F1D2B" w:sz="8" w:space="0"/>
          <w:left w:val="single" w:color="6F1D2B" w:sz="8" w:space="0"/>
          <w:bottom w:val="single" w:color="6F1D2B" w:sz="8" w:space="0"/>
          <w:right w:val="single" w:color="6F1D2B" w:sz="8" w:space="0"/>
        </w:pBdr>
        <w:spacing w:before="0" w:beforeAutospacing="0" w:after="290" w:afterAutospacing="0" w:line="316" w:lineRule="auto"/>
        <w:ind w:left="225" w:right="145" w:hanging="10"/>
        <w:jc w:val="left"/>
        <w:rPr>
          <w:bdr w:val="single" w:color="6F1D2B" w:sz="8" w:space="0"/>
          <w:lang w:val="en-US"/>
        </w:rPr>
      </w:pPr>
      <w:r>
        <w:rPr>
          <w:rFonts w:ascii="Arial" w:hAnsi="Arial" w:eastAsia="Arial" w:cs="Arial"/>
          <w:b/>
          <w:bCs w:val="0"/>
          <w:color w:val="333333"/>
          <w:kern w:val="2"/>
          <w:sz w:val="21"/>
          <w:szCs w:val="24"/>
          <w:lang w:val="en-US" w:eastAsia="zh-CN" w:bidi="ar"/>
        </w:rPr>
        <w:t>Transition:</w:t>
      </w:r>
      <w:r>
        <w:rPr>
          <w:rFonts w:ascii="Arial" w:hAnsi="Arial" w:eastAsia="Arial" w:cs="Arial"/>
          <w:color w:val="333333"/>
          <w:kern w:val="2"/>
          <w:sz w:val="21"/>
          <w:szCs w:val="24"/>
          <w:lang w:val="en-US" w:eastAsia="zh-CN" w:bidi="ar"/>
        </w:rPr>
        <w:t xml:space="preserve"> “Now that we understand the financial behaviour, I wanted to go one level deeper. What does the financial profile of these customers look like?”</w:t>
      </w:r>
    </w:p>
    <w:p w14:paraId="1BDB97F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Calibri" w:hAnsi="Calibri" w:cs="Calibri"/>
          <w:i w:val="0"/>
          <w:iCs w:val="0"/>
          <w:caps w:val="0"/>
          <w:color w:val="953735" w:themeColor="accent2" w:themeShade="BF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953735" w:themeColor="accent2" w:themeShade="BF"/>
          <w:spacing w:val="0"/>
          <w:sz w:val="28"/>
          <w:szCs w:val="28"/>
          <w:bdr w:val="none" w:color="auto" w:sz="0" w:space="0"/>
          <w:shd w:val="clear" w:fill="FFFFFF"/>
        </w:rPr>
        <w:t>PAGE 2 – SUSPICIOUS BEHAVIOUR ANALYSIS</w:t>
      </w:r>
    </w:p>
    <w:p w14:paraId="01A9168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Story: Move from who is at risk to how customers behave financially.</w:t>
      </w:r>
    </w:p>
    <w:p w14:paraId="554243A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Bank Accounts</w:t>
      </w:r>
    </w:p>
    <w:p w14:paraId="2B6146F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Cards</w:t>
      </w:r>
    </w:p>
    <w:p w14:paraId="54F8365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Loans</w:t>
      </w:r>
    </w:p>
    <w:p w14:paraId="0E9E688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Inquiries</w:t>
      </w:r>
    </w:p>
    <w:p w14:paraId="6CF4B81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Delayed Payments</w:t>
      </w:r>
    </w:p>
    <w:p w14:paraId="056CC69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Outstanding Debt</w:t>
      </w:r>
    </w:p>
    <w:p w14:paraId="0D1CE03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Bank Accounts by Credit Score</w:t>
      </w:r>
    </w:p>
    <w:p w14:paraId="489ADDD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Cards by Credit Score</w:t>
      </w:r>
    </w:p>
    <w:p w14:paraId="2C74D24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Loans by Credit Score</w:t>
      </w:r>
    </w:p>
    <w:p w14:paraId="1579384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Payment Behaviour Analysis</w:t>
      </w:r>
    </w:p>
    <w:p w14:paraId="2206DFB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Bank Accounts</w:t>
      </w:r>
    </w:p>
    <w:p w14:paraId="14D9940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Bank Accounts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AVERAGE(CreditData[Num_Bank_Accounts])</w:t>
      </w:r>
    </w:p>
    <w:p w14:paraId="48C7768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Calculates the average number of bank accounts. Credit_Score can be used as the axis to compare the average across risk groups.</w:t>
      </w:r>
    </w:p>
    <w:p w14:paraId="32FA686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5BE2185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Credit Cards</w:t>
      </w:r>
    </w:p>
    <w:p w14:paraId="57BDF6C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Credit Cards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AVERAGE(CreditData[Num_Credit_Card])</w:t>
      </w:r>
    </w:p>
    <w:p w14:paraId="1FFF6A1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Calculates the average number of credit cards and can be broken down by Credit_Score.</w:t>
      </w:r>
    </w:p>
    <w:p w14:paraId="440EE36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4D9697A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Loans</w:t>
      </w:r>
    </w:p>
    <w:p w14:paraId="30A0C80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Loans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AVERAGE(CreditData[Num_of_Loan])</w:t>
      </w:r>
    </w:p>
    <w:p w14:paraId="7BCFCCA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Calculates average loan exposure and can be compared across Credit_Score groups.</w:t>
      </w:r>
    </w:p>
    <w:p w14:paraId="6D65C44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0E8C425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2 – Payment Behaviour Customer Count</w:t>
      </w:r>
    </w:p>
    <w:p w14:paraId="3FCF060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Payment Behaviour Customer Count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DISTINCTCOUNT(CreditData[Customer_ID])</w:t>
      </w:r>
    </w:p>
    <w:p w14:paraId="5B849AD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Counts unique customers for each Payment_Behaviour category. Put Payment_Behaviour on the axis/category field.</w:t>
      </w:r>
    </w:p>
    <w:p w14:paraId="6CE4B03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1878836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Page 2 – Average Outstanding Debt</w:t>
      </w:r>
    </w:p>
    <w:p w14:paraId="180EB1C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Outstanding Debt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AVERAGE(CreditData[Outstanding_Debt])</w:t>
      </w:r>
    </w:p>
    <w:p w14:paraId="1D5A7C4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Shows typical outstanding debt for the current filter context. It can be used as a KPI and as a supporting risk indicator.</w:t>
      </w:r>
    </w:p>
    <w:p w14:paraId="765CA88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35BE3F8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953735" w:themeColor="accent2" w:themeShade="BF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953735" w:themeColor="accent2" w:themeShade="BF"/>
          <w:spacing w:val="0"/>
          <w:sz w:val="26"/>
          <w:szCs w:val="26"/>
          <w:bdr w:val="none" w:color="auto" w:sz="0" w:space="0"/>
          <w:shd w:val="clear" w:fill="FFFFFF"/>
        </w:rPr>
        <w:t>PAGE 2 – FIELD PLACEMENT</w:t>
      </w:r>
    </w:p>
    <w:tbl>
      <w:tblPr>
        <w:tblW w:w="0" w:type="dxa"/>
        <w:tblInd w:w="-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8"/>
        <w:gridCol w:w="3408"/>
        <w:gridCol w:w="3408"/>
      </w:tblGrid>
      <w:tr w14:paraId="74AF9F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3979AA7A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Visual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0078C341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Axis / Category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2E3E0F48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Values</w:t>
            </w:r>
          </w:p>
        </w:tc>
      </w:tr>
      <w:tr w14:paraId="0B2E2C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772CC6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Average Bank Accounts by Credit 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250479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Credit_Score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8F2841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[Average Bank Accounts]</w:t>
            </w:r>
          </w:p>
        </w:tc>
      </w:tr>
      <w:tr w14:paraId="17F94E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594B35E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Average Credit Cards by Credit 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E695D5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Credit_Score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03654FB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[Average Credit Cards]</w:t>
            </w:r>
          </w:p>
        </w:tc>
      </w:tr>
      <w:tr w14:paraId="1F63F2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9FA5976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Average Loans by Credit 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9B5D577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Credit_Score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48814EE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[Average Loans]</w:t>
            </w:r>
          </w:p>
        </w:tc>
      </w:tr>
      <w:tr w14:paraId="53E126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9FA3E2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Payment Behaviour Analysis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4D7D2E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Payment_Behaviour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FEF3660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[Payment Behaviour Customer Count]</w:t>
            </w:r>
          </w:p>
        </w:tc>
      </w:tr>
    </w:tbl>
    <w:p w14:paraId="052E551C">
      <w:pPr>
        <w:pStyle w:val="25"/>
        <w:numPr>
          <w:ilvl w:val="0"/>
          <w:numId w:val="0"/>
        </w:numPr>
        <w:ind w:leftChars="0"/>
      </w:pPr>
    </w:p>
    <w:p w14:paraId="153327B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alibri" w:hAnsi="Calibri" w:eastAsia="Aptos" w:cs="Calibri"/>
          <w:b/>
          <w:bCs/>
          <w:i w:val="0"/>
          <w:iCs w:val="0"/>
          <w:caps w:val="0"/>
          <w:color w:val="C00000"/>
          <w:spacing w:val="0"/>
          <w:sz w:val="26"/>
          <w:szCs w:val="26"/>
          <w:shd w:val="clear" w:fill="FFFFFF"/>
        </w:rPr>
        <w:t>Page 2 Visuals and DAX</w:t>
      </w:r>
    </w:p>
    <w:p w14:paraId="07BFE323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Average Bank Accounts by Credit Score → Average Bank Accounts</w:t>
      </w:r>
    </w:p>
    <w:p w14:paraId="30AD5C9C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Average Credit Cards by Credit Score → Average Credit Cards</w:t>
      </w:r>
    </w:p>
    <w:p w14:paraId="767E0C95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Average Loans by Credit Score → Average Loans</w:t>
      </w:r>
    </w:p>
    <w:p w14:paraId="1ABD4F2A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Payment Behaviour Analysis → Average Credit Inquiries, Average Delayed Payments and/or Average Outstanding Debt as used in the visual</w:t>
      </w:r>
    </w:p>
    <w:p w14:paraId="295C2B4D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Credit Score is used as the category/axis, while the measures respond to the selected credit-score filter context.</w:t>
      </w:r>
    </w:p>
    <w:p w14:paraId="5809C7A7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5BD681B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07465252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682E8E18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FFE4A13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7D7F294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1FC08F4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9D69C71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7BB29FC3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9101762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48B9C42B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BA60177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82FEB36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ECDC15A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86F4C99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4DD740B6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563D1B9A">
      <w:pPr>
        <w:spacing w:before="140" w:after="60"/>
      </w:pPr>
      <w:r>
        <w:rPr>
          <w:rFonts w:ascii="Arial" w:hAnsi="Arial"/>
          <w:b/>
          <w:color w:val="70182D"/>
          <w:sz w:val="32"/>
        </w:rPr>
        <w:t>11. PAGE 3 – CUSTOMER FRAUD-RISK PROFILE</w:t>
      </w:r>
    </w:p>
    <w:p w14:paraId="5744571C">
      <w:pPr>
        <w:jc w:val="center"/>
      </w:pPr>
      <w:r>
        <w:drawing>
          <wp:inline distT="0" distB="0" distL="114300" distR="114300">
            <wp:extent cx="6492240" cy="367347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E02D">
      <w:r>
        <w:t>Story: Build the financial profile behind customer risk.</w:t>
      </w:r>
    </w:p>
    <w:p w14:paraId="0157DD5E">
      <w:r>
        <w:t>KPI cards:</w:t>
      </w:r>
    </w:p>
    <w:p w14:paraId="09F29AFD">
      <w:pPr>
        <w:pStyle w:val="25"/>
      </w:pPr>
      <w:r>
        <w:t>Average Annual Income</w:t>
      </w:r>
    </w:p>
    <w:p w14:paraId="6495078D">
      <w:pPr>
        <w:pStyle w:val="25"/>
      </w:pPr>
      <w:r>
        <w:t>Average Monthly Salary</w:t>
      </w:r>
    </w:p>
    <w:p w14:paraId="2EC5BA8F">
      <w:pPr>
        <w:pStyle w:val="25"/>
      </w:pPr>
      <w:r>
        <w:t>Average Outstanding Debt</w:t>
      </w:r>
    </w:p>
    <w:p w14:paraId="21FD6138">
      <w:pPr>
        <w:pStyle w:val="25"/>
      </w:pPr>
      <w:r>
        <w:t>Average EMI</w:t>
      </w:r>
    </w:p>
    <w:p w14:paraId="407F72C6">
      <w:pPr>
        <w:pStyle w:val="25"/>
      </w:pPr>
      <w:r>
        <w:t>Average Investment</w:t>
      </w:r>
    </w:p>
    <w:p w14:paraId="0C959191">
      <w:pPr>
        <w:pStyle w:val="25"/>
      </w:pPr>
      <w:r>
        <w:t>Average Credit Utilization</w:t>
      </w:r>
    </w:p>
    <w:p w14:paraId="4D1B708C">
      <w:r>
        <w:t>Charts:</w:t>
      </w:r>
    </w:p>
    <w:p w14:paraId="1910DEE9">
      <w:pPr>
        <w:pStyle w:val="25"/>
      </w:pPr>
      <w:r>
        <w:t>High Risk % by Occupation</w:t>
      </w:r>
    </w:p>
    <w:p w14:paraId="5E077BB6">
      <w:pPr>
        <w:pStyle w:val="25"/>
      </w:pPr>
      <w:r>
        <w:t>High Risk % by Age Group</w:t>
      </w:r>
    </w:p>
    <w:p w14:paraId="24765C8A">
      <w:pPr>
        <w:pStyle w:val="25"/>
      </w:pPr>
      <w:r>
        <w:t>Average Annual Income and Average Outstanding Debt by Occupation</w:t>
      </w:r>
    </w:p>
    <w:p w14:paraId="6EE407E9">
      <w:pPr>
        <w:pStyle w:val="25"/>
      </w:pPr>
      <w:r>
        <w:t>High Risk % by Payment Behaviour</w:t>
      </w:r>
    </w:p>
    <w:p w14:paraId="3E1AD98C">
      <w:r>
        <w:t>Observed age-group pattern:</w:t>
      </w:r>
    </w:p>
    <w:p w14:paraId="25026265">
      <w:pPr>
        <w:pStyle w:val="25"/>
      </w:pPr>
      <w:r>
        <w:t>Unknown ≈ 62.2%</w:t>
      </w:r>
    </w:p>
    <w:p w14:paraId="599F9828">
      <w:pPr>
        <w:pStyle w:val="25"/>
      </w:pPr>
      <w:r>
        <w:t>18–25 ≈ 44.5%</w:t>
      </w:r>
    </w:p>
    <w:p w14:paraId="72347E0D">
      <w:pPr>
        <w:pStyle w:val="25"/>
      </w:pPr>
      <w:r>
        <w:t>26–35 ≈ 44.0%</w:t>
      </w:r>
    </w:p>
    <w:p w14:paraId="2531E303">
      <w:pPr>
        <w:pStyle w:val="25"/>
      </w:pPr>
      <w:r>
        <w:t>36–45 ≈ 43.1%</w:t>
      </w:r>
    </w:p>
    <w:p w14:paraId="49CD1763">
      <w:pPr>
        <w:pStyle w:val="25"/>
      </w:pPr>
      <w:r>
        <w:t>46–55 ≈ 22.2%</w:t>
      </w:r>
    </w:p>
    <w:p w14:paraId="5B2CB806">
      <w:pPr>
        <w:pStyle w:val="25"/>
      </w:pPr>
      <w:r>
        <w:t>55+ ≈ 16.1%</w:t>
      </w:r>
    </w:p>
    <w:p w14:paraId="410AD957">
      <w:r>
        <w:t>Interpretation: the dashboard shows higher observed high-risk percentages in the younger identified age groups than in the older groups. The high Unknown percentage also signals a data-quality issue that should be investigated. This is an association in the dataset, not evidence that age causes fraud.</w:t>
      </w:r>
    </w:p>
    <w:p w14:paraId="6CD75B17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lang w:val="en-US"/>
        </w:rPr>
      </w:pPr>
      <w:r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  <w:t>Story: “Who is behind the risk?”</w:t>
      </w:r>
    </w:p>
    <w:p w14:paraId="4F4F0191">
      <w:pPr>
        <w:keepNext w:val="0"/>
        <w:keepLines w:val="0"/>
        <w:widowControl/>
        <w:suppressLineNumbers w:val="0"/>
        <w:spacing w:before="0" w:beforeAutospacing="0" w:after="0" w:afterAutospacing="0" w:line="304" w:lineRule="auto"/>
        <w:ind w:left="-5" w:right="9" w:hanging="10"/>
        <w:jc w:val="left"/>
        <w:rPr>
          <w:lang w:val="en-US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Page 3 builds a deeper financial profile of the customer. I bring together annual income, monthly salary, outstanding debt, EMI, investment and credit utilization, and then compare these financial characteristics with occupation, age group and payment behaviour.</w:t>
      </w:r>
    </w:p>
    <w:tbl>
      <w:tblPr>
        <w:tblStyle w:val="167"/>
        <w:tblW w:w="8220" w:type="dxa"/>
        <w:tblInd w:w="8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4250"/>
        <w:gridCol w:w="3970"/>
      </w:tblGrid>
      <w:tr w14:paraId="4D69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6F1D2B"/>
            <w:vAlign w:val="center"/>
          </w:tcPr>
          <w:p w14:paraId="0F0F9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FFFFFF"/>
                <w:kern w:val="2"/>
                <w:sz w:val="19"/>
                <w:szCs w:val="24"/>
                <w:lang w:val="en-US" w:eastAsia="zh-CN" w:bidi="ar"/>
              </w:rPr>
              <w:t>Age Group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6F1D2B"/>
            <w:vAlign w:val="center"/>
          </w:tcPr>
          <w:p w14:paraId="19D22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FFFFFF"/>
                <w:kern w:val="2"/>
                <w:sz w:val="19"/>
                <w:szCs w:val="24"/>
                <w:lang w:val="en-US" w:eastAsia="zh-CN" w:bidi="ar"/>
              </w:rPr>
              <w:t>Observed High Risk %</w:t>
            </w:r>
          </w:p>
        </w:tc>
      </w:tr>
      <w:tr w14:paraId="5F23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41712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Unknown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25497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62.2%</w:t>
            </w:r>
          </w:p>
        </w:tc>
      </w:tr>
      <w:tr w14:paraId="2F926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7EE21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18–25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69F8D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44.5%</w:t>
            </w:r>
          </w:p>
        </w:tc>
      </w:tr>
      <w:tr w14:paraId="08773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7467F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26–35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6D7FD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44.0%</w:t>
            </w:r>
          </w:p>
        </w:tc>
      </w:tr>
      <w:tr w14:paraId="2F700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4E7CC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36–45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2099B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43.1%</w:t>
            </w:r>
          </w:p>
        </w:tc>
      </w:tr>
      <w:tr w14:paraId="400B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651CA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46–55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vAlign w:val="center"/>
          </w:tcPr>
          <w:p w14:paraId="26BE0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22.2%</w:t>
            </w:r>
          </w:p>
        </w:tc>
      </w:tr>
      <w:tr w14:paraId="3FCA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25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52243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>55+</w:t>
            </w:r>
          </w:p>
        </w:tc>
        <w:tc>
          <w:tcPr>
            <w:tcW w:w="3972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7F1F2"/>
            <w:vAlign w:val="center"/>
          </w:tcPr>
          <w:p w14:paraId="18B79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 w:firstLine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Segoe UI Symbol" w:hAnsi="Segoe UI Symbol" w:eastAsia="Segoe UI Symbol" w:cs="Segoe UI Symbol"/>
                <w:color w:val="000000"/>
                <w:kern w:val="2"/>
                <w:sz w:val="19"/>
                <w:szCs w:val="24"/>
                <w:lang w:val="en-US" w:eastAsia="zh-CN" w:bidi="ar"/>
              </w:rPr>
              <w:t>≈</w:t>
            </w:r>
            <w:r>
              <w:rPr>
                <w:rFonts w:hint="default" w:ascii="Arial" w:hAnsi="Arial" w:eastAsia="Arial" w:cs="Arial"/>
                <w:color w:val="000000"/>
                <w:kern w:val="2"/>
                <w:sz w:val="19"/>
                <w:szCs w:val="24"/>
                <w:lang w:val="en-US" w:eastAsia="zh-CN" w:bidi="ar"/>
              </w:rPr>
              <w:t xml:space="preserve"> 16.1%</w:t>
            </w:r>
          </w:p>
        </w:tc>
      </w:tr>
    </w:tbl>
    <w:p w14:paraId="0A5CDD91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The younger identified age groups show higher observed high-risk percentages than the older groups. However, the Unknown category has the highest observed percentage, which signals a data-quality issue that should be investigated. This is an association in the dataset, not evidence that age causes fraud.</w:t>
      </w:r>
    </w:p>
    <w:p w14:paraId="5445B6A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</w:rPr>
        <w:t>PAGE 3 – CUSTOMER FRAUD-RISK PROFILE</w:t>
      </w:r>
    </w:p>
    <w:p w14:paraId="723BEC2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Story: Build the financial profile behind customer risk.</w:t>
      </w:r>
    </w:p>
    <w:p w14:paraId="74F9DB5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Annual Income</w:t>
      </w:r>
    </w:p>
    <w:p w14:paraId="25A8B6B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Monthly Salary</w:t>
      </w:r>
    </w:p>
    <w:p w14:paraId="052298A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Outstanding Debt</w:t>
      </w:r>
    </w:p>
    <w:p w14:paraId="209AE7A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EMI</w:t>
      </w:r>
    </w:p>
    <w:p w14:paraId="0BA30E4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Investment</w:t>
      </w:r>
    </w:p>
    <w:p w14:paraId="3D016C3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Credit Utilization</w:t>
      </w:r>
    </w:p>
    <w:p w14:paraId="461397F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% by Occupation</w:t>
      </w:r>
    </w:p>
    <w:p w14:paraId="14D9117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% by Age Group</w:t>
      </w:r>
    </w:p>
    <w:p w14:paraId="7EF0CA5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Average Annual Income and Average Outstanding Debt by Occupation</w:t>
      </w:r>
    </w:p>
    <w:p w14:paraId="128C429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% by Payment Behaviour</w:t>
      </w:r>
    </w:p>
    <w:p w14:paraId="027A0C1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Annual Income</w:t>
      </w:r>
    </w:p>
    <w:p w14:paraId="48A0D29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Annual Income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AVERAGE(CreditData[Annual_Income])</w:t>
      </w:r>
    </w:p>
    <w:p w14:paraId="356D5BF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average annual income in the current filter context.</w:t>
      </w:r>
    </w:p>
    <w:p w14:paraId="304008E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4AF14D4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Monthly Salary</w:t>
      </w:r>
    </w:p>
    <w:p w14:paraId="6E72002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Monthly Salary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AVERAGE(CreditData[Monthly_Inhand_Salary])</w:t>
      </w:r>
    </w:p>
    <w:p w14:paraId="217E240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average monthly in-hand salary in the current filter context.</w:t>
      </w:r>
    </w:p>
    <w:p w14:paraId="21CDC7D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05BBF5D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EMI</w:t>
      </w:r>
    </w:p>
    <w:p w14:paraId="2013FB1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EMI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AVERAGE(CreditData[Total_EMI_per_month])</w:t>
      </w:r>
    </w:p>
    <w:p w14:paraId="5F5E78B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the average monthly EMI obligation.</w:t>
      </w:r>
    </w:p>
    <w:p w14:paraId="20CC7EE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389C4B2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Average Investment</w:t>
      </w:r>
    </w:p>
    <w:p w14:paraId="71B0C04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 Investment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AVERAGE(CreditData[Amount_invested_monthly])</w:t>
      </w:r>
    </w:p>
    <w:p w14:paraId="2CF15C4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Returns the average monthly investment amount.</w:t>
      </w:r>
    </w:p>
    <w:p w14:paraId="02A9932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399BE43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High Risk % by Occupation</w:t>
      </w:r>
    </w:p>
    <w:p w14:paraId="2D71CF0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High Risk % by Occupation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DIVIDE(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[High Risk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[Total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27839F6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Occupation provides the filter context. The same High Risk % calculation is evaluated separately for each occupation.</w:t>
      </w:r>
    </w:p>
    <w:p w14:paraId="473B469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0FE5391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High Risk % by Age Group</w:t>
      </w:r>
    </w:p>
    <w:p w14:paraId="3369EC1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High Risk % by Age Group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DIVIDE(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[High Risk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[Total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63A6BE4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Age Group provides the filter context, so the percentage is calculated independently for each age band.</w:t>
      </w:r>
    </w:p>
    <w:p w14:paraId="5B62517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50B8751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High Risk % by Payment Behaviour</w:t>
      </w:r>
    </w:p>
    <w:p w14:paraId="10189F2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High Risk % by Payment Behaviour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DIVIDE(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CALCULATE(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DISTINCTCOUNT(CreditData[Customer_ID]),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CreditData[Credit_Score] = "Poor"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DISTINCTCOUNT(CreditData[Customer_ID]),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723CA2A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Calculates the percentage of unique customers classified as Poor within each Payment_Behaviour category.</w:t>
      </w:r>
    </w:p>
    <w:p w14:paraId="0B9F92C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249CA10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For the Income + Debt visual, use Occupation as the axis and [Average Annual Income] plus [Average Outstanding Debt] as Values. No special combined DAX measure is required.</w:t>
      </w:r>
    </w:p>
    <w:p w14:paraId="58A9773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</w:rPr>
        <w:t>6. AGE GROUP CALCULATED COLUMN</w:t>
      </w:r>
    </w:p>
    <w:p w14:paraId="5BF77CE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Age Group</w:t>
      </w:r>
    </w:p>
    <w:p w14:paraId="4494883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Age Group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SWITCH(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TRUE(),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CreditData[Age] &gt;= 18 &amp;&amp; CreditData[Age] &lt;= 25, "18-25",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CreditData[Age] &gt;= 26 &amp;&amp; CreditData[Age] &lt;= 35, "26-35",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CreditData[Age] &gt;= 36 &amp;&amp; CreditData[Age] &lt;= 45, "36-45",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CreditData[Age] &gt;= 46 &amp;&amp; CreditData[Age] &lt;= 55, "46-55",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CreditData[Age] &gt;= 56, "55+",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"Unknown"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0285805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Creates readable age bands from the row-level Age value. SWITCH(TRUE()) checks the ranges in order and assigns the first matching label.</w:t>
      </w:r>
    </w:p>
    <w:p w14:paraId="1FFEA83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Calculated column</w:t>
      </w:r>
    </w:p>
    <w:p w14:paraId="00BA54A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Create it under Modeling &gt; New column.</w:t>
      </w:r>
    </w:p>
    <w:p w14:paraId="756AA07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Do not create this as a measure. A measure does not have one row-level Age value unless an aggregation or context is supplied.</w:t>
      </w:r>
    </w:p>
    <w:p w14:paraId="2666CDD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The uploaded project explicitly retains Unknown as a data-quality category.</w:t>
      </w:r>
    </w:p>
    <w:p w14:paraId="6C6ECC2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ptos" w:hAnsi="Aptos" w:eastAsia="Aptos" w:cs="Aptos"/>
          <w:i w:val="0"/>
          <w:iCs w:val="0"/>
          <w:caps w:val="0"/>
          <w:color w:val="C00000"/>
          <w:spacing w:val="0"/>
          <w:sz w:val="20"/>
          <w:szCs w:val="20"/>
        </w:rPr>
      </w:pPr>
      <w:r>
        <w:rPr>
          <w:rFonts w:hint="default" w:ascii="Calibri" w:hAnsi="Calibri" w:eastAsia="Aptos" w:cs="Calibri"/>
          <w:b/>
          <w:bCs/>
          <w:i w:val="0"/>
          <w:iCs w:val="0"/>
          <w:caps w:val="0"/>
          <w:color w:val="C00000"/>
          <w:spacing w:val="0"/>
          <w:sz w:val="26"/>
          <w:szCs w:val="26"/>
          <w:shd w:val="clear" w:fill="FFFFFF"/>
        </w:rPr>
        <w:t>Page 3 Visuals and DAX</w:t>
      </w:r>
    </w:p>
    <w:p w14:paraId="05904C60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 Risk % by Occupation → High Risk % with Occupation as category</w:t>
      </w:r>
    </w:p>
    <w:p w14:paraId="60912950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 Risk % by Age Group → High Risk % with Age Group as category</w:t>
      </w:r>
    </w:p>
    <w:p w14:paraId="3BFCFDE2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Income vs Outstanding Debt by Occupation → Average Annual Income and Average Outstanding Debt</w:t>
      </w:r>
    </w:p>
    <w:p w14:paraId="13A86960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High Risk % by Payment Behaviour → High Risk % with Payment Behaviour as category</w:t>
      </w:r>
    </w:p>
    <w:p w14:paraId="4B36632B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</w:pPr>
    </w:p>
    <w:p w14:paraId="1670E080"/>
    <w:p w14:paraId="666F8801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22E2C2F8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09100B2C">
      <w:pPr>
        <w:spacing w:before="140" w:after="60"/>
      </w:pPr>
      <w:r>
        <w:rPr>
          <w:rFonts w:ascii="Arial" w:hAnsi="Arial"/>
          <w:b/>
          <w:color w:val="70182D"/>
          <w:sz w:val="32"/>
        </w:rPr>
        <w:t>12. PAGE 4 – FRAUD RISK MONITORING / EXECUTIVE VIEW</w:t>
      </w:r>
    </w:p>
    <w:p w14:paraId="5E22978A">
      <w:pPr>
        <w:jc w:val="center"/>
      </w:pPr>
      <w:r>
        <w:drawing>
          <wp:inline distT="0" distB="0" distL="114300" distR="114300">
            <wp:extent cx="6492240" cy="415353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61CE">
      <w:r>
        <w:t>Story: Convert the detailed analysis into an executive monitoring view.</w:t>
      </w:r>
    </w:p>
    <w:p w14:paraId="11354DE9">
      <w:r>
        <w:t>KPI cards:</w:t>
      </w:r>
    </w:p>
    <w:p w14:paraId="0BF6EFC5">
      <w:pPr>
        <w:pStyle w:val="25"/>
      </w:pPr>
      <w:r>
        <w:t>Overall Fraud Risk Score</w:t>
      </w:r>
    </w:p>
    <w:p w14:paraId="6F268DC8">
      <w:pPr>
        <w:pStyle w:val="25"/>
      </w:pPr>
      <w:r>
        <w:t>Risk Category</w:t>
      </w:r>
    </w:p>
    <w:p w14:paraId="39996F18">
      <w:pPr>
        <w:pStyle w:val="25"/>
      </w:pPr>
      <w:r>
        <w:t>High Risk Customers</w:t>
      </w:r>
    </w:p>
    <w:p w14:paraId="3B02EDC8">
      <w:pPr>
        <w:pStyle w:val="25"/>
      </w:pPr>
      <w:r>
        <w:t>Customers to Monitor</w:t>
      </w:r>
    </w:p>
    <w:p w14:paraId="4BE44049">
      <w:pPr>
        <w:pStyle w:val="25"/>
      </w:pPr>
      <w:r>
        <w:t>Low Risk Customers</w:t>
      </w:r>
    </w:p>
    <w:p w14:paraId="37217C39">
      <w:r>
        <w:t>Visuals:</w:t>
      </w:r>
    </w:p>
    <w:p w14:paraId="1E7F23D8">
      <w:pPr>
        <w:pStyle w:val="25"/>
      </w:pPr>
      <w:r>
        <w:t>Overall Fraud Risk Score Gauge</w:t>
      </w:r>
    </w:p>
    <w:p w14:paraId="1168991D">
      <w:pPr>
        <w:pStyle w:val="25"/>
      </w:pPr>
      <w:r>
        <w:t>Risk Score Distribution</w:t>
      </w:r>
    </w:p>
    <w:p w14:paraId="75AA7DC2">
      <w:pPr>
        <w:pStyle w:val="25"/>
      </w:pPr>
      <w:r>
        <w:t>Top Risk Drivers</w:t>
      </w:r>
    </w:p>
    <w:p w14:paraId="5E8DF5B8">
      <w:pPr>
        <w:pStyle w:val="25"/>
      </w:pPr>
      <w:r>
        <w:t>High-Risk Customers by Occupation</w:t>
      </w:r>
    </w:p>
    <w:p w14:paraId="1F7C0F13">
      <w:pPr>
        <w:pStyle w:val="25"/>
      </w:pPr>
      <w:r>
        <w:t>High-Risk Customers by Age Group</w:t>
      </w:r>
    </w:p>
    <w:p w14:paraId="54CACFC4">
      <w:pPr>
        <w:pStyle w:val="25"/>
      </w:pPr>
      <w:r>
        <w:t>Management Recommendations</w:t>
      </w:r>
    </w:p>
    <w:p w14:paraId="6963197D">
      <w:r>
        <w:t>Current executive distribution: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267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641C2D"/>
            <w:vAlign w:val="center"/>
          </w:tcPr>
          <w:p w14:paraId="5800C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Risk Category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2A29C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Customers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5623C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/>
                <w:color w:val="FFFFFF"/>
                <w:kern w:val="2"/>
                <w:sz w:val="18"/>
              </w:rPr>
              <w:t>Share</w:t>
            </w:r>
          </w:p>
        </w:tc>
      </w:tr>
      <w:tr w14:paraId="2E9F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1498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High Risk</w:t>
            </w:r>
          </w:p>
        </w:tc>
        <w:tc>
          <w:tcPr>
            <w:tcW w:w="3456" w:type="dxa"/>
            <w:vAlign w:val="center"/>
          </w:tcPr>
          <w:p w14:paraId="58E7A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5,203</w:t>
            </w:r>
          </w:p>
        </w:tc>
        <w:tc>
          <w:tcPr>
            <w:tcW w:w="3456" w:type="dxa"/>
            <w:vAlign w:val="center"/>
          </w:tcPr>
          <w:p w14:paraId="18428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41.62%</w:t>
            </w:r>
          </w:p>
        </w:tc>
      </w:tr>
      <w:tr w14:paraId="218D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08E1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Monitor</w:t>
            </w:r>
          </w:p>
        </w:tc>
        <w:tc>
          <w:tcPr>
            <w:tcW w:w="3456" w:type="dxa"/>
            <w:vAlign w:val="center"/>
          </w:tcPr>
          <w:p w14:paraId="26898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6,802</w:t>
            </w:r>
          </w:p>
        </w:tc>
        <w:tc>
          <w:tcPr>
            <w:tcW w:w="3456" w:type="dxa"/>
            <w:vAlign w:val="center"/>
          </w:tcPr>
          <w:p w14:paraId="529FB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54.42%</w:t>
            </w:r>
          </w:p>
        </w:tc>
      </w:tr>
      <w:tr w14:paraId="3B0A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4368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Low Risk</w:t>
            </w:r>
          </w:p>
        </w:tc>
        <w:tc>
          <w:tcPr>
            <w:tcW w:w="3456" w:type="dxa"/>
            <w:vAlign w:val="center"/>
          </w:tcPr>
          <w:p w14:paraId="7B39F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495</w:t>
            </w:r>
          </w:p>
        </w:tc>
        <w:tc>
          <w:tcPr>
            <w:tcW w:w="3456" w:type="dxa"/>
            <w:vAlign w:val="center"/>
          </w:tcPr>
          <w:p w14:paraId="100E2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Arial" w:hAnsi="Arial"/>
                <w:b w:val="0"/>
                <w:color w:val="282828"/>
                <w:kern w:val="2"/>
                <w:sz w:val="18"/>
              </w:rPr>
              <w:t>3.96%</w:t>
            </w:r>
          </w:p>
        </w:tc>
      </w:tr>
    </w:tbl>
    <w:p w14:paraId="3ED063F3">
      <w:r>
        <w:t>The dashboard shows an overall analytical risk score around 69, close to the 70 high-risk threshold. Under the project's defined thresholds, this is Medium Risk.</w:t>
      </w:r>
    </w:p>
    <w:p w14:paraId="39B75463">
      <w:pPr>
        <w:keepNext w:val="0"/>
        <w:keepLines w:val="0"/>
        <w:widowControl/>
        <w:suppressLineNumbers w:val="0"/>
        <w:spacing w:before="0" w:beforeAutospacing="0" w:after="84" w:afterAutospacing="0" w:line="256" w:lineRule="auto"/>
        <w:ind w:left="-5" w:right="0" w:hanging="10"/>
        <w:jc w:val="left"/>
        <w:rPr>
          <w:lang w:val="en-US"/>
        </w:rPr>
      </w:pPr>
      <w:r>
        <w:rPr>
          <w:rFonts w:ascii="Arial" w:hAnsi="Arial" w:eastAsia="Arial" w:cs="Arial"/>
          <w:b/>
          <w:bCs w:val="0"/>
          <w:color w:val="8A5A00"/>
          <w:kern w:val="2"/>
          <w:sz w:val="25"/>
          <w:szCs w:val="24"/>
          <w:lang w:val="en-US" w:eastAsia="zh-CN" w:bidi="ar"/>
        </w:rPr>
        <w:t>Story: “What should management do?”</w:t>
      </w:r>
    </w:p>
    <w:p w14:paraId="13ED0F95">
      <w:pPr>
        <w:keepNext w:val="0"/>
        <w:keepLines w:val="0"/>
        <w:widowControl/>
        <w:suppressLineNumbers w:val="0"/>
        <w:spacing w:before="0" w:beforeAutospacing="0" w:after="0" w:afterAutospacing="0" w:line="304" w:lineRule="auto"/>
        <w:ind w:left="-5" w:right="9" w:hanging="10"/>
        <w:jc w:val="left"/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</w:pPr>
      <w:r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After completing the detailed analysis, I bring everything together into an executive monitoring page. This page converts the analysis into a management-level view using the overall analytical risk score, risk category, high-risk customers, customers to monitor and low-risk customers.</w:t>
      </w:r>
    </w:p>
    <w:p w14:paraId="4ECDEF1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Aptos" w:hAnsi="Aptos" w:eastAsia="Aptos" w:cs="Aptos"/>
          <w:i w:val="0"/>
          <w:iCs w:val="0"/>
          <w:caps w:val="0"/>
          <w:color w:val="C00000"/>
          <w:spacing w:val="0"/>
          <w:sz w:val="20"/>
          <w:szCs w:val="20"/>
        </w:rPr>
      </w:pPr>
      <w:r>
        <w:rPr>
          <w:rFonts w:ascii="Calibri" w:hAnsi="Calibri" w:eastAsia="Aptos" w:cs="Calibri"/>
          <w:b/>
          <w:bCs/>
          <w:i w:val="0"/>
          <w:iCs w:val="0"/>
          <w:caps w:val="0"/>
          <w:color w:val="C00000"/>
          <w:spacing w:val="0"/>
          <w:sz w:val="28"/>
          <w:szCs w:val="28"/>
          <w:shd w:val="clear" w:fill="FFFFFF"/>
        </w:rPr>
        <w:t>PAGE 4 – FRAUD RISK MONITORING</w:t>
      </w:r>
    </w:p>
    <w:p w14:paraId="472708F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</w:rPr>
        <w:t>PAGE 4 – FRAUD RISK MONITORING / EXECUTIVE VIEW</w:t>
      </w:r>
    </w:p>
    <w:p w14:paraId="4F66DDD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Story: Convert the detailed analysis into an executive monitoring view.</w:t>
      </w:r>
    </w:p>
    <w:p w14:paraId="56E576E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Overall Fraud Risk Score</w:t>
      </w:r>
    </w:p>
    <w:p w14:paraId="38993E9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Risk Category</w:t>
      </w:r>
    </w:p>
    <w:p w14:paraId="1E925EF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 Risk Customers</w:t>
      </w:r>
    </w:p>
    <w:p w14:paraId="0C078EB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Customers to Monitor</w:t>
      </w:r>
    </w:p>
    <w:p w14:paraId="56A9A31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Low Risk Customers</w:t>
      </w:r>
    </w:p>
    <w:p w14:paraId="27EB2FD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Overall Fraud Risk Score Gauge</w:t>
      </w:r>
    </w:p>
    <w:p w14:paraId="1163528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Risk Score Distribution</w:t>
      </w:r>
    </w:p>
    <w:p w14:paraId="111ADF7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Top Risk Drivers</w:t>
      </w:r>
    </w:p>
    <w:p w14:paraId="5C526D4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High-Risk Customers by Occupation</w:t>
      </w:r>
    </w:p>
    <w:p w14:paraId="58668E2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High-Risk Customers by Age Group</w:t>
      </w:r>
    </w:p>
    <w:p w14:paraId="5EF2238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Management Recommendations</w:t>
      </w:r>
    </w:p>
    <w:p w14:paraId="08C30977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Overall Fraud Risk Score – PROJECT DEFINED FORMULA</w:t>
      </w:r>
    </w:p>
    <w:p w14:paraId="7FC9DF6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Overall Fraud Risk Score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ROUND(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([High Risk %] * 100) * 0.50 +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MIN([Average Delayed Payments] / 30 * 100, 100) * 0.25 +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MIN([Average Credit Inquiries] / 15 * 100, 100) * 0.25,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4202475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Combines three project-defined signals: High Risk % (50% weight), delayed payments (25%) and credit inquiries (25%). MIN caps the latter normalized components at 100, and ROUND returns a whole-number executive score.</w:t>
      </w:r>
    </w:p>
    <w:p w14:paraId="71D8EEAB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54EF8FF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Risk Score Target</w:t>
      </w:r>
    </w:p>
    <w:p w14:paraId="30221D8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Risk Score Target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70</w:t>
      </w:r>
    </w:p>
    <w:p w14:paraId="2A0B4E5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Defines 70 as the target/threshold used by the project's gauge and risk-category logic.</w:t>
      </w:r>
    </w:p>
    <w:p w14:paraId="5446DE1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Measure or constant measure</w:t>
      </w:r>
    </w:p>
    <w:p w14:paraId="5978FF8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Risk Category</w:t>
      </w:r>
    </w:p>
    <w:p w14:paraId="63E3168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Risk Category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SWITCH(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TRUE(),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[Overall Fraud Risk Score] &gt;= 70, "HIGH RISK",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[Overall Fraud Risk Score] &gt;= 40, "MEDIUM RISK",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"LOW RISK"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)</w:t>
      </w:r>
    </w:p>
    <w:p w14:paraId="05B6D92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Converts the numerical risk score into three executive labels. Scores of 70 or more are High Risk, 40–69 are Medium Risk, and below 40 are Low Risk.</w:t>
      </w:r>
    </w:p>
    <w:p w14:paraId="56534AD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Measure</w:t>
      </w:r>
    </w:p>
    <w:p w14:paraId="088D76E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C00000"/>
          <w:spacing w:val="0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C00000"/>
          <w:spacing w:val="0"/>
          <w:sz w:val="24"/>
          <w:szCs w:val="24"/>
          <w:bdr w:val="none" w:color="auto" w:sz="0" w:space="0"/>
          <w:shd w:val="clear" w:fill="FFFFFF"/>
        </w:rPr>
        <w:t>PAGE 4 – RISK SCORE DISTRIBUTION</w:t>
      </w:r>
    </w:p>
    <w:p w14:paraId="45BEDBB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For a donut chart with one Risk Category field and one measure, create the following disconnected calculated table and measure.</w:t>
      </w:r>
    </w:p>
    <w:p w14:paraId="391E9B3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Risk Category Table</w:t>
      </w:r>
    </w:p>
    <w:p w14:paraId="273296C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Risk Category Table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DATATABLE(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"Risk Category", STRING,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{"High Risk"},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{"Monitor"},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{"Low Risk"}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)</w:t>
      </w:r>
    </w:p>
    <w:p w14:paraId="0560A12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Creates three display categories for the executive distribution visual. This table is intentionally disconnected from CreditData.</w:t>
      </w:r>
    </w:p>
    <w:p w14:paraId="5F18152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Calculated table</w:t>
      </w:r>
    </w:p>
    <w:p w14:paraId="611A138A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Risk Category Customers</w:t>
      </w:r>
    </w:p>
    <w:p w14:paraId="716B603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Risk Category Customers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SWITCH(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SELECTEDVALUE('Risk Category Table'[Risk Category]),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"High Risk", [High Risk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"Monitor", [Customers to Monitor],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"Low Risk", [Low Risk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)</w:t>
      </w:r>
    </w:p>
    <w:p w14:paraId="2786FB8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Reads the selected category from the disconnected table and returns the corresponding customer KPI.</w:t>
      </w:r>
      <w:r>
        <w:rPr>
          <w:rFonts w:hint="default" w:ascii="Arial" w:hAnsi="Arial" w:eastAsia="SimSun" w:cs="Arial"/>
          <w:sz w:val="24"/>
          <w:szCs w:val="24"/>
        </w:rPr>
        <w:t xml:space="preserve">The </w:t>
      </w:r>
      <w:r>
        <w:rPr>
          <w:rStyle w:val="20"/>
          <w:rFonts w:hint="default" w:ascii="Arial" w:hAnsi="Arial" w:eastAsia="SimSun" w:cs="Arial"/>
          <w:sz w:val="24"/>
          <w:szCs w:val="24"/>
        </w:rPr>
        <w:t>Risk Category Customers</w:t>
      </w:r>
      <w:r>
        <w:rPr>
          <w:rFonts w:hint="default" w:ascii="Arial" w:hAnsi="Arial" w:eastAsia="SimSun" w:cs="Arial"/>
          <w:sz w:val="24"/>
          <w:szCs w:val="24"/>
        </w:rPr>
        <w:t xml:space="preserve"> measure acts as the bridge that tells Power BI </w:t>
      </w:r>
      <w:r>
        <w:rPr>
          <w:rStyle w:val="36"/>
          <w:rFonts w:hint="default" w:ascii="Arial" w:hAnsi="Arial" w:eastAsia="SimSun" w:cs="Arial"/>
          <w:sz w:val="24"/>
          <w:szCs w:val="24"/>
        </w:rPr>
        <w:t>which customer-count measure to display for the selected category</w:t>
      </w:r>
    </w:p>
    <w:p w14:paraId="0D2B6862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Measure</w:t>
      </w:r>
    </w:p>
    <w:p w14:paraId="35C6B12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Donut/column chart: Legend/Axis = Risk Category Table[Risk Category]; Values = [Risk Category Customers].</w:t>
      </w:r>
    </w:p>
    <w:p w14:paraId="408112F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C00000"/>
          <w:spacing w:val="0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C00000"/>
          <w:spacing w:val="0"/>
          <w:sz w:val="24"/>
          <w:szCs w:val="24"/>
          <w:bdr w:val="none" w:color="auto" w:sz="0" w:space="0"/>
          <w:shd w:val="clear" w:fill="FFFFFF"/>
        </w:rPr>
        <w:t>PAGE 4 – TOP RISK DRIVERS</w:t>
      </w:r>
    </w:p>
    <w:p w14:paraId="52D6A12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The uploaded screenshot shows a Top Risk Drivers visual. A disconnected driver table plus SWITCH measure is a clean way to reproduce it.</w:t>
      </w:r>
    </w:p>
    <w:p w14:paraId="1CF88A9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Risk Driver Table</w:t>
      </w:r>
    </w:p>
    <w:p w14:paraId="02B40745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Risk Driver Table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DATATABLE(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"Risk Driver", STRING,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{"Delayed Payments"},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{"Number of Loans"},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{"Credit Utilization"},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{"Number of Credit Cards"},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{"Credit Inquiries"}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)</w:t>
      </w:r>
    </w:p>
    <w:p w14:paraId="6E8BB63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Creates the driver labels displayed on the chart.</w:t>
      </w:r>
    </w:p>
    <w:p w14:paraId="5CDC8A4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Calculated table</w:t>
      </w:r>
    </w:p>
    <w:p w14:paraId="4A6FA5DE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Risk Driver Score</w:t>
      </w:r>
    </w:p>
    <w:p w14:paraId="5AECFC3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Risk Driver Score 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SWITCH(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SELECTEDVALUE('Risk Driver Table'[Risk Driver]),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"Delayed Payments",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MIN(DIVIDE([Average Delayed Payments], 30, 0) * 100, 100),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"Number of Loans",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MIN(DIVIDE([Average Loans], 5, 0) * 100, 100),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"Credit Utilization",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MIN([Average Credit Utilization %], 100),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"Number of Credit Cards",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MIN(DIVIDE([Average Credit Cards], 10, 0) * 100, 100),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"Credit Inquiries",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MIN(DIVIDE([Average Credit Inquiries], 15, 0) * 100, 100),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  <w:t>)</w:t>
      </w:r>
    </w:p>
    <w:p w14:paraId="70334DF0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It converts different risk factors into a </w:t>
      </w:r>
      <w:r>
        <w:rPr>
          <w:rStyle w:val="36"/>
          <w:rFonts w:hint="default" w:ascii="Arial" w:hAnsi="Arial" w:cs="Arial"/>
        </w:rPr>
        <w:t>common 0–100 score</w:t>
      </w:r>
      <w:r>
        <w:rPr>
          <w:rFonts w:hint="default" w:ascii="Arial" w:hAnsi="Arial" w:cs="Arial"/>
        </w:rPr>
        <w:t xml:space="preserve"> so they can be displayed together in your </w:t>
      </w:r>
      <w:r>
        <w:rPr>
          <w:rStyle w:val="36"/>
          <w:rFonts w:hint="default" w:ascii="Arial" w:hAnsi="Arial" w:cs="Arial"/>
        </w:rPr>
        <w:t>Top Risk Drivers</w:t>
      </w:r>
      <w:r>
        <w:rPr>
          <w:rFonts w:hint="default" w:ascii="Arial" w:hAnsi="Arial" w:cs="Arial"/>
        </w:rPr>
        <w:t xml:space="preserve"> chart.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1368"/>
        <w:gridCol w:w="3149"/>
      </w:tblGrid>
      <w:tr w14:paraId="60ED5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C09B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Risk Driver</w:t>
            </w:r>
          </w:p>
        </w:tc>
        <w:tc>
          <w:tcPr>
            <w:tcW w:w="0" w:type="auto"/>
            <w:shd w:val="clear"/>
            <w:vAlign w:val="center"/>
          </w:tcPr>
          <w:p w14:paraId="0DAFDB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Benchmark</w:t>
            </w:r>
          </w:p>
        </w:tc>
        <w:tc>
          <w:tcPr>
            <w:tcW w:w="0" w:type="auto"/>
            <w:shd w:val="clear"/>
            <w:vAlign w:val="center"/>
          </w:tcPr>
          <w:p w14:paraId="7C01F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</w:tr>
      <w:tr w14:paraId="4C2DF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A7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Delayed Payments</w:t>
            </w:r>
          </w:p>
        </w:tc>
        <w:tc>
          <w:tcPr>
            <w:tcW w:w="0" w:type="auto"/>
            <w:shd w:val="clear"/>
            <w:vAlign w:val="center"/>
          </w:tcPr>
          <w:p w14:paraId="6D2BE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0F526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Average Delays ÷ 30 × 100</w:t>
            </w:r>
          </w:p>
        </w:tc>
      </w:tr>
      <w:tr w14:paraId="36ACC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3D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Number of Loans</w:t>
            </w:r>
          </w:p>
        </w:tc>
        <w:tc>
          <w:tcPr>
            <w:tcW w:w="0" w:type="auto"/>
            <w:shd w:val="clear"/>
            <w:vAlign w:val="center"/>
          </w:tcPr>
          <w:p w14:paraId="52C3D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1E65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Average Loans ÷ 5 × 100</w:t>
            </w:r>
          </w:p>
        </w:tc>
      </w:tr>
      <w:tr w14:paraId="08D49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70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Credit Utilization</w:t>
            </w:r>
          </w:p>
        </w:tc>
        <w:tc>
          <w:tcPr>
            <w:tcW w:w="0" w:type="auto"/>
            <w:shd w:val="clear"/>
            <w:vAlign w:val="center"/>
          </w:tcPr>
          <w:p w14:paraId="0F1D7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2D9D06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Direct utilization score</w:t>
            </w:r>
          </w:p>
        </w:tc>
      </w:tr>
      <w:tr w14:paraId="75E0E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7B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Credit Cards</w:t>
            </w:r>
          </w:p>
        </w:tc>
        <w:tc>
          <w:tcPr>
            <w:tcW w:w="0" w:type="auto"/>
            <w:shd w:val="clear"/>
            <w:vAlign w:val="center"/>
          </w:tcPr>
          <w:p w14:paraId="7AED9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58DD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Average Cards ÷ 10 × 100</w:t>
            </w:r>
          </w:p>
        </w:tc>
      </w:tr>
      <w:tr w14:paraId="2645C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73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Credit Inquiries</w:t>
            </w:r>
          </w:p>
        </w:tc>
        <w:tc>
          <w:tcPr>
            <w:tcW w:w="0" w:type="auto"/>
            <w:shd w:val="clear"/>
            <w:vAlign w:val="center"/>
          </w:tcPr>
          <w:p w14:paraId="1D6CC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09D5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Average Inquiries ÷ 15 × 100</w:t>
            </w:r>
          </w:p>
        </w:tc>
      </w:tr>
    </w:tbl>
    <w:p w14:paraId="0467EB60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20"/>
          <w:rFonts w:hint="default" w:ascii="Arial" w:hAnsi="Arial" w:cs="Arial"/>
        </w:rPr>
        <w:t>MIN(...,100)</w:t>
      </w:r>
      <w:r>
        <w:rPr>
          <w:rFonts w:hint="default" w:ascii="Arial" w:hAnsi="Arial" w:cs="Arial"/>
        </w:rPr>
        <w:t xml:space="preserve"> makes sure the score </w:t>
      </w:r>
      <w:r>
        <w:rPr>
          <w:rStyle w:val="36"/>
          <w:rFonts w:hint="default" w:ascii="Arial" w:hAnsi="Arial" w:cs="Arial"/>
        </w:rPr>
        <w:t>doesn't go above 100</w:t>
      </w:r>
      <w:r>
        <w:rPr>
          <w:rFonts w:hint="default" w:ascii="Arial" w:hAnsi="Arial" w:cs="Arial"/>
        </w:rPr>
        <w:t>.</w:t>
      </w:r>
    </w:p>
    <w:p w14:paraId="0717631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 Credit Inquiries</w:t>
      </w:r>
    </w:p>
    <w:p w14:paraId="2BFF58F9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If:</w:t>
      </w:r>
    </w:p>
    <w:p w14:paraId="043EB966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36"/>
          <w:rFonts w:hint="default" w:ascii="Arial" w:hAnsi="Arial" w:cs="Arial"/>
        </w:rPr>
        <w:t>Average Credit Inquiries = 5.80</w:t>
      </w:r>
    </w:p>
    <w:p w14:paraId="13646DC1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then:</w:t>
      </w:r>
    </w:p>
    <w:p w14:paraId="251B46B5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20"/>
          <w:rFonts w:hint="default" w:ascii="Arial" w:hAnsi="Arial" w:cs="Arial"/>
        </w:rPr>
        <w:t>5.80 ÷ 15 × 100 = 38.67</w:t>
      </w:r>
    </w:p>
    <w:p w14:paraId="0B62AA9B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So the </w:t>
      </w:r>
      <w:r>
        <w:rPr>
          <w:rStyle w:val="36"/>
          <w:rFonts w:hint="default" w:ascii="Arial" w:hAnsi="Arial" w:cs="Arial"/>
        </w:rPr>
        <w:t>Credit Inquiries Risk Driver Score = 38.67</w:t>
      </w:r>
      <w:r>
        <w:rPr>
          <w:rFonts w:hint="default" w:ascii="Arial" w:hAnsi="Arial" w:cs="Arial"/>
        </w:rPr>
        <w:t>.</w:t>
      </w:r>
    </w:p>
    <w:p w14:paraId="7E460A1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</w:rPr>
      </w:pPr>
      <w:r>
        <w:rPr>
          <w:rFonts w:hint="default" w:ascii="Arial" w:hAnsi="Arial" w:cs="Arial"/>
          <w:color w:val="C00000"/>
        </w:rPr>
        <w:t xml:space="preserve">What does </w:t>
      </w:r>
      <w:r>
        <w:rPr>
          <w:rStyle w:val="20"/>
          <w:rFonts w:hint="default" w:ascii="Arial" w:hAnsi="Arial" w:cs="Arial"/>
          <w:color w:val="C00000"/>
        </w:rPr>
        <w:t>SWITCH</w:t>
      </w:r>
      <w:r>
        <w:rPr>
          <w:rFonts w:hint="default" w:ascii="Arial" w:hAnsi="Arial" w:cs="Arial"/>
          <w:color w:val="C00000"/>
        </w:rPr>
        <w:t xml:space="preserve"> do?</w:t>
      </w:r>
    </w:p>
    <w:p w14:paraId="33FA4EF3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20"/>
          <w:rFonts w:hint="default" w:ascii="Arial" w:hAnsi="Arial" w:cs="Arial"/>
        </w:rPr>
        <w:t>SWITCH</w:t>
      </w:r>
      <w:r>
        <w:rPr>
          <w:rFonts w:hint="default" w:ascii="Arial" w:hAnsi="Arial" w:cs="Arial"/>
        </w:rPr>
        <w:t xml:space="preserve"> checks which driver is selected in your </w:t>
      </w:r>
      <w:r>
        <w:rPr>
          <w:rStyle w:val="36"/>
          <w:rFonts w:hint="default" w:ascii="Arial" w:hAnsi="Arial" w:cs="Arial"/>
        </w:rPr>
        <w:t>Risk Driver Table</w:t>
      </w:r>
      <w:r>
        <w:rPr>
          <w:rFonts w:hint="default" w:ascii="Arial" w:hAnsi="Arial" w:cs="Arial"/>
        </w:rPr>
        <w:t>.</w:t>
      </w:r>
    </w:p>
    <w:p w14:paraId="539DCBF4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example:</w:t>
      </w:r>
    </w:p>
    <w:p w14:paraId="597C4835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36"/>
          <w:rFonts w:hint="default" w:ascii="Arial" w:hAnsi="Arial" w:cs="Arial"/>
        </w:rPr>
        <w:t>Selected = "Credit Inquiries"</w:t>
      </w:r>
    </w:p>
    <w:p w14:paraId="0454307C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color w:val="C00000"/>
        </w:rPr>
        <w:t>➡️</w:t>
      </w:r>
      <w:r>
        <w:rPr>
          <w:rFonts w:hint="default" w:ascii="Arial" w:hAnsi="Arial" w:cs="Arial"/>
        </w:rPr>
        <w:t xml:space="preserve"> Power BI uses:</w:t>
      </w:r>
    </w:p>
    <w:p w14:paraId="09C0D4FE">
      <w:pPr>
        <w:pStyle w:val="2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20"/>
          <w:rFonts w:hint="default" w:ascii="Arial" w:hAnsi="Arial" w:cs="Arial"/>
        </w:rPr>
        <w:t>MIN(DIVIDE([Average Credit Inquiries], 15, 0) * 100, 100)</w:t>
      </w:r>
    </w:p>
    <w:p w14:paraId="59AEAA0B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</w:t>
      </w:r>
      <w:r>
        <w:rPr>
          <w:rStyle w:val="36"/>
          <w:rFonts w:hint="default" w:ascii="Arial" w:hAnsi="Arial" w:cs="Arial"/>
        </w:rPr>
        <w:t>Delayed Payments</w:t>
      </w:r>
      <w:r>
        <w:rPr>
          <w:rFonts w:hint="default" w:ascii="Arial" w:hAnsi="Arial" w:cs="Arial"/>
        </w:rPr>
        <w:t xml:space="preserve"> is selected, it uses the delayed-payment calculation instead.</w:t>
      </w:r>
    </w:p>
    <w:p w14:paraId="0AFE922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color w:val="C00000"/>
        </w:rPr>
        <w:t xml:space="preserve"> explanation</w:t>
      </w:r>
    </w:p>
    <w:p w14:paraId="1A3C3C58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Arial" w:hAnsi="Arial" w:cs="Arial"/>
        </w:rPr>
      </w:pPr>
      <w:r>
        <w:rPr>
          <w:rStyle w:val="36"/>
          <w:rFonts w:hint="default" w:ascii="Arial" w:hAnsi="Arial" w:eastAsia="SimSun" w:cs="Arial"/>
          <w:sz w:val="24"/>
          <w:szCs w:val="24"/>
        </w:rPr>
        <w:t>“I</w:t>
      </w:r>
      <w:r>
        <w:rPr>
          <w:rStyle w:val="36"/>
          <w:rFonts w:hint="default" w:ascii="Arial" w:hAnsi="Arial" w:cs="Arial"/>
          <w:sz w:val="24"/>
          <w:szCs w:val="24"/>
          <w:lang w:val="en-US"/>
        </w:rPr>
        <w:t>T</w:t>
      </w:r>
      <w:r>
        <w:rPr>
          <w:rStyle w:val="36"/>
          <w:rFonts w:hint="default" w:ascii="Arial" w:hAnsi="Arial" w:eastAsia="SimSun" w:cs="Arial"/>
          <w:sz w:val="24"/>
          <w:szCs w:val="24"/>
        </w:rPr>
        <w:t xml:space="preserve"> created a Risk Driver Score to normalize different financial and behavioural risk indicators onto a common 0–100 scale. I used SWITCH to select the appropriate calculation for each risk driver and MIN to cap the score at 100. The benchmarks are project-defined analytical values.”</w:t>
      </w:r>
    </w:p>
    <w:p w14:paraId="7EC542FC">
      <w:pPr>
        <w:pStyle w:val="3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36"/>
          <w:rFonts w:hint="default" w:ascii="Arial" w:hAnsi="Arial" w:cs="Arial"/>
        </w:rPr>
        <w:t>Important:</w:t>
      </w:r>
      <w:r>
        <w:rPr>
          <w:rFonts w:hint="default" w:ascii="Arial" w:hAnsi="Arial" w:cs="Arial"/>
        </w:rPr>
        <w:t xml:space="preserve"> These benchmarks, such as 30 days, 5 loans and 15 inquiries, are </w:t>
      </w:r>
      <w:r>
        <w:rPr>
          <w:rStyle w:val="36"/>
          <w:rFonts w:hint="default" w:ascii="Arial" w:hAnsi="Arial" w:cs="Arial"/>
        </w:rPr>
        <w:t>custom values defined for your project</w:t>
      </w:r>
      <w:r>
        <w:rPr>
          <w:rFonts w:hint="default" w:ascii="Arial" w:hAnsi="Arial" w:cs="Arial"/>
        </w:rPr>
        <w:t>, not official banking fraud thresholds.</w:t>
      </w:r>
    </w:p>
    <w:p w14:paraId="6D087EE0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Arial" w:hAnsi="Arial" w:eastAsia="Consolas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2F2F2"/>
        </w:rPr>
      </w:pPr>
    </w:p>
    <w:p w14:paraId="6A37E27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eastAsia="Cambria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Explanation: </w:t>
      </w:r>
      <w:r>
        <w:rPr>
          <w:rFonts w:hint="default" w:ascii="Arial" w:hAnsi="Arial" w:eastAsia="Cambria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Normalizes the selected driver to a project-defined 0–100 scale so the drivers can be compared in one visual. These normalization thresholds are analytical choices for the project, not official banking thresholds.</w:t>
      </w:r>
    </w:p>
    <w:p w14:paraId="6E6803D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eastAsia="Cambria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Arial" w:hAnsi="Arial" w:eastAsia="Cambria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 xml:space="preserve">Type: </w:t>
      </w:r>
      <w:r>
        <w:rPr>
          <w:rFonts w:hint="default" w:ascii="Arial" w:hAnsi="Arial" w:eastAsia="Cambria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Measure</w:t>
      </w:r>
    </w:p>
    <w:p w14:paraId="203C3D9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color w:val="C00000"/>
          <w:sz w:val="24"/>
          <w:szCs w:val="24"/>
        </w:rPr>
      </w:pPr>
      <w:r>
        <w:rPr>
          <w:rFonts w:hint="default" w:ascii="Arial" w:hAnsi="Arial" w:cs="Arial"/>
          <w:color w:val="C00000"/>
          <w:sz w:val="24"/>
          <w:szCs w:val="24"/>
        </w:rPr>
        <w:t>Example: Credit Inquiries</w:t>
      </w:r>
    </w:p>
    <w:p w14:paraId="1928FBBC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8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[High Risk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[Total Customers],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)</w:t>
      </w:r>
    </w:p>
    <w:p w14:paraId="79D6D146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Explanation: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Use Occupation or Age Group as the axis. Power BI evaluates the same measure separately for each category.</w:t>
      </w:r>
    </w:p>
    <w:p w14:paraId="06984144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Type: 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Measure</w:t>
      </w:r>
    </w:p>
    <w:p w14:paraId="12D9ADC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Format as Percentage with 2 decimal places.</w:t>
      </w:r>
    </w:p>
    <w:p w14:paraId="68B65B4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Occupation axis + [High Risk %] gives High Risk % by Occupation.</w:t>
      </w:r>
    </w:p>
    <w:p w14:paraId="5F38B1CD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Age Group axis + [High Risk %] gives High Risk % by Age Group.</w:t>
      </w:r>
    </w:p>
    <w:p w14:paraId="2EF2DD2F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757BCD9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ptos" w:hAnsi="Aptos" w:eastAsia="Aptos" w:cs="Aptos"/>
          <w:i w:val="0"/>
          <w:iCs w:val="0"/>
          <w:caps w:val="0"/>
          <w:color w:val="C00000"/>
          <w:spacing w:val="0"/>
          <w:sz w:val="20"/>
          <w:szCs w:val="20"/>
        </w:rPr>
      </w:pPr>
      <w:r>
        <w:rPr>
          <w:rFonts w:hint="default" w:ascii="Calibri" w:hAnsi="Calibri" w:eastAsia="Aptos" w:cs="Calibri"/>
          <w:b/>
          <w:bCs/>
          <w:i w:val="0"/>
          <w:iCs w:val="0"/>
          <w:caps w:val="0"/>
          <w:color w:val="C00000"/>
          <w:spacing w:val="0"/>
          <w:sz w:val="26"/>
          <w:szCs w:val="26"/>
          <w:shd w:val="clear" w:fill="FFFFFF"/>
        </w:rPr>
        <w:t>Page 4 Visuals and DAX</w:t>
      </w:r>
    </w:p>
    <w:p w14:paraId="2DBC2AF8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Overall Fraud Risk Score Gauge → Overall Fraud Risk Score; target → Risk Score Target</w:t>
      </w:r>
    </w:p>
    <w:p w14:paraId="1BE1B05B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Risk Score Distribution → High Risk Customers, Customers to Monitor and Low Risk Customers</w:t>
      </w:r>
    </w:p>
    <w:p w14:paraId="3E1BA12F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Top Risk Drivers → Average Delayed Payments, Average Credit Inquiries and High Risk %</w:t>
      </w:r>
    </w:p>
    <w:p w14:paraId="1805A60B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Risk Category → Risk Category measure</w:t>
      </w:r>
    </w:p>
    <w:p w14:paraId="1B48E644">
      <w:pPr>
        <w:pStyle w:val="25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Management Recommendations → Text/shape content based on the dashboard findings; no DAX measure is required.</w:t>
      </w:r>
    </w:p>
    <w:p w14:paraId="420891F5">
      <w:pPr>
        <w:keepNext w:val="0"/>
        <w:keepLines w:val="0"/>
        <w:widowControl/>
        <w:suppressLineNumbers w:val="0"/>
        <w:spacing w:before="0" w:beforeAutospacing="0" w:after="0" w:afterAutospacing="0" w:line="304" w:lineRule="auto"/>
        <w:ind w:left="-5" w:right="9" w:hanging="10"/>
        <w:jc w:val="left"/>
        <w:rPr>
          <w:rFonts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</w:pPr>
    </w:p>
    <w:p w14:paraId="65CD14A8"/>
    <w:p w14:paraId="47B64B33">
      <w:pPr>
        <w:spacing w:before="140" w:after="60"/>
      </w:pPr>
      <w:r>
        <w:rPr>
          <w:rFonts w:ascii="Arial" w:hAnsi="Arial"/>
          <w:b/>
          <w:color w:val="70182D"/>
          <w:sz w:val="32"/>
        </w:rPr>
        <w:t>13. TOP RISK DRIVER INSIGHTS</w:t>
      </w:r>
    </w:p>
    <w:p w14:paraId="688C3A69">
      <w:pPr>
        <w:pStyle w:val="25"/>
      </w:pPr>
      <w:r>
        <w:t>Delayed payments are one of the strongest visible risk drivers.</w:t>
      </w:r>
    </w:p>
    <w:p w14:paraId="56BF9BF1">
      <w:pPr>
        <w:pStyle w:val="25"/>
      </w:pPr>
      <w:r>
        <w:t>Number of loans contributes to the overall risk-driver view.</w:t>
      </w:r>
    </w:p>
    <w:p w14:paraId="2E8740A4">
      <w:pPr>
        <w:pStyle w:val="25"/>
      </w:pPr>
      <w:r>
        <w:t>Credit utilization is a recurring exposure indicator.</w:t>
      </w:r>
    </w:p>
    <w:p w14:paraId="7B960FF0">
      <w:pPr>
        <w:pStyle w:val="25"/>
      </w:pPr>
      <w:r>
        <w:t>Number of credit cards and credit inquiries add further context to customer risk.</w:t>
      </w:r>
    </w:p>
    <w:p w14:paraId="421EE419">
      <w:pPr>
        <w:pStyle w:val="25"/>
      </w:pPr>
      <w:r>
        <w:t>Risk drivers should be interpreted together rather than as proof of fraud from one variable.</w:t>
      </w:r>
    </w:p>
    <w:p w14:paraId="3E0321C4">
      <w:pPr>
        <w:spacing w:before="140" w:after="60"/>
      </w:pPr>
      <w:r>
        <w:rPr>
          <w:rFonts w:ascii="Arial" w:hAnsi="Arial"/>
          <w:b/>
          <w:color w:val="70182D"/>
          <w:sz w:val="32"/>
        </w:rPr>
        <w:t>14. MANAGEMENT RECOMMENDATIONS</w:t>
      </w:r>
    </w:p>
    <w:p w14:paraId="269D6628">
      <w:pPr>
        <w:pStyle w:val="25"/>
      </w:pPr>
      <w:r>
        <w:t>Monitor high-risk customers with multiple simultaneous risk indicators.</w:t>
      </w:r>
    </w:p>
    <w:p w14:paraId="12A4BE2C">
      <w:pPr>
        <w:pStyle w:val="25"/>
      </w:pPr>
      <w:r>
        <w:t>Review customers with repeated delayed payments and risky spending patterns.</w:t>
      </w:r>
    </w:p>
    <w:p w14:paraId="5C365255">
      <w:pPr>
        <w:pStyle w:val="25"/>
      </w:pPr>
      <w:r>
        <w:t>Review elevated credit utilization before extending additional credit.</w:t>
      </w:r>
    </w:p>
    <w:p w14:paraId="705FEA9D">
      <w:pPr>
        <w:pStyle w:val="25"/>
      </w:pPr>
      <w:r>
        <w:t>Pay attention to customers with high outstanding debt and multiple loans.</w:t>
      </w:r>
    </w:p>
    <w:p w14:paraId="0610FE7D">
      <w:pPr>
        <w:pStyle w:val="25"/>
      </w:pPr>
      <w:r>
        <w:t>Focus verification and monitoring on high-risk occupations and age groups.</w:t>
      </w:r>
    </w:p>
    <w:p w14:paraId="52912825">
      <w:pPr>
        <w:spacing w:before="140" w:after="60"/>
      </w:pPr>
      <w:r>
        <w:rPr>
          <w:rFonts w:ascii="Arial" w:hAnsi="Arial"/>
          <w:b/>
          <w:color w:val="70182D"/>
          <w:sz w:val="32"/>
        </w:rPr>
        <w:t>15. COMPLETE BUSINESS INSIGHTS</w:t>
      </w:r>
    </w:p>
    <w:p w14:paraId="56E5021E">
      <w:pPr>
        <w:pStyle w:val="25"/>
      </w:pPr>
      <w:r>
        <w:t>41.62% of customers are classified as high risk under the dashboard definition.</w:t>
      </w:r>
    </w:p>
    <w:p w14:paraId="7B35BE8C">
      <w:pPr>
        <w:pStyle w:val="25"/>
      </w:pPr>
      <w:r>
        <w:t>The Monitor category is the largest group at 54.42%.</w:t>
      </w:r>
    </w:p>
    <w:p w14:paraId="3EBC0836">
      <w:pPr>
        <w:pStyle w:val="25"/>
      </w:pPr>
      <w:r>
        <w:t>The Low Risk group is comparatively small at 3.96%.</w:t>
      </w:r>
    </w:p>
    <w:p w14:paraId="4D35A200">
      <w:pPr>
        <w:pStyle w:val="25"/>
      </w:pPr>
      <w:r>
        <w:t>Delayed payments and credit utilization are important monitoring indicators.</w:t>
      </w:r>
    </w:p>
    <w:p w14:paraId="7A237357">
      <w:pPr>
        <w:pStyle w:val="25"/>
      </w:pPr>
      <w:r>
        <w:t>Credit inquiries add a credit-seeking behaviour signal.</w:t>
      </w:r>
    </w:p>
    <w:p w14:paraId="08D8B787">
      <w:pPr>
        <w:pStyle w:val="25"/>
      </w:pPr>
      <w:r>
        <w:t>Observed high-risk percentages vary substantially across age groups.</w:t>
      </w:r>
    </w:p>
    <w:p w14:paraId="0FD4B54A">
      <w:pPr>
        <w:pStyle w:val="25"/>
      </w:pPr>
      <w:r>
        <w:t>Observed high-risk percentages vary across occupations.</w:t>
      </w:r>
    </w:p>
    <w:p w14:paraId="3F633235">
      <w:pPr>
        <w:pStyle w:val="25"/>
      </w:pPr>
      <w:r>
        <w:t>Income, salary, debt, EMI and investment provide financial context around customer risk.</w:t>
      </w:r>
    </w:p>
    <w:p w14:paraId="7FADB3D5">
      <w:pPr>
        <w:pStyle w:val="25"/>
      </w:pPr>
      <w:r>
        <w:t>The executive score is close to the high-risk threshold, so targeted monitoring is appropriate.</w:t>
      </w:r>
    </w:p>
    <w:p w14:paraId="6F30E9A3">
      <w:pPr>
        <w:pStyle w:val="25"/>
      </w:pPr>
      <w:r>
        <w:t>The dashboard is a risk-monitoring tool, not a fraud-confirmation system.</w:t>
      </w:r>
    </w:p>
    <w:p w14:paraId="0878B4F7">
      <w:pPr>
        <w:spacing w:before="140" w:after="60"/>
      </w:pPr>
      <w:r>
        <w:rPr>
          <w:rFonts w:ascii="Arial" w:hAnsi="Arial"/>
          <w:b/>
          <w:color w:val="70182D"/>
          <w:sz w:val="32"/>
        </w:rPr>
        <w:t>16. EDA STORY: UNIVARIATE → BIVARIATE → MULTIVARIATE</w:t>
      </w:r>
    </w:p>
    <w:p w14:paraId="28A03AF8">
      <w:pPr>
        <w:pStyle w:val="25"/>
      </w:pPr>
      <w:r>
        <w:t>Univariate: understand individual variables such as Age, Income, Debt, Credit Score and Payment Behaviour.</w:t>
      </w:r>
    </w:p>
    <w:p w14:paraId="27AE70DF">
      <w:pPr>
        <w:pStyle w:val="25"/>
      </w:pPr>
      <w:r>
        <w:t>Bivariate: compare risk against Occupation, Age Group, Credit Score and Payment Behaviour.</w:t>
      </w:r>
    </w:p>
    <w:p w14:paraId="1B7435A8">
      <w:pPr>
        <w:pStyle w:val="25"/>
      </w:pPr>
      <w:r>
        <w:t>Multivariate: connect income, debt, utilization, payment behaviour, occupation and age in the risk profile.</w:t>
      </w:r>
    </w:p>
    <w:p w14:paraId="3E3C4204">
      <w:pPr>
        <w:pStyle w:val="25"/>
      </w:pPr>
      <w:r>
        <w:t>Executive synthesis: convert the strongest signals into Page 4 risk monitoring.</w:t>
      </w:r>
    </w:p>
    <w:p w14:paraId="6AEC3A42">
      <w:r>
        <w:t>This sequence follows the project brief's requirement to explain how each analytical stage helped uncover deeper insights.</w:t>
      </w:r>
    </w:p>
    <w:p w14:paraId="0D96547C">
      <w:pPr>
        <w:spacing w:before="140" w:after="60"/>
      </w:pPr>
      <w:r>
        <w:rPr>
          <w:rFonts w:ascii="Arial" w:hAnsi="Arial"/>
          <w:b/>
          <w:color w:val="70182D"/>
          <w:sz w:val="32"/>
        </w:rPr>
        <w:t>17. FILTERS &amp; NAVIGATION</w:t>
      </w:r>
    </w:p>
    <w:p w14:paraId="29EF158B">
      <w:pPr>
        <w:pStyle w:val="25"/>
      </w:pPr>
      <w:r>
        <w:t>Age Group</w:t>
      </w:r>
    </w:p>
    <w:p w14:paraId="046F12F0">
      <w:pPr>
        <w:pStyle w:val="25"/>
      </w:pPr>
      <w:r>
        <w:t>Occupation</w:t>
      </w:r>
    </w:p>
    <w:p w14:paraId="5F0DE928">
      <w:pPr>
        <w:pStyle w:val="25"/>
      </w:pPr>
      <w:r>
        <w:t>Credit Score</w:t>
      </w:r>
    </w:p>
    <w:p w14:paraId="2F2069F2">
      <w:pPr>
        <w:pStyle w:val="25"/>
      </w:pPr>
      <w:r>
        <w:t>Payment Behaviour</w:t>
      </w:r>
    </w:p>
    <w:p w14:paraId="01580555">
      <w:pPr>
        <w:pStyle w:val="25"/>
      </w:pPr>
      <w:r>
        <w:t>Credit Mix</w:t>
      </w:r>
    </w:p>
    <w:p w14:paraId="2A77634A">
      <w:pPr>
        <w:pStyle w:val="25"/>
      </w:pPr>
      <w:r>
        <w:t>Page Navigator for Fraud Overview, Suspicious Behaviour, Customer Fraud-Risk Profile and Fraud Risk Monitoring.</w:t>
      </w:r>
    </w:p>
    <w:p w14:paraId="7979CCE6">
      <w:pPr>
        <w:pStyle w:val="25"/>
      </w:pPr>
      <w:r>
        <w:t>In Power BI Desktop editing mode, Ctrl + Click a navigator button to test navigation.</w:t>
      </w:r>
    </w:p>
    <w:p w14:paraId="0E2BE2EF">
      <w:pPr>
        <w:spacing w:before="140" w:after="60"/>
        <w:rPr>
          <w:rFonts w:ascii="Arial" w:hAnsi="Arial"/>
          <w:b/>
          <w:color w:val="70182D"/>
          <w:sz w:val="32"/>
        </w:rPr>
      </w:pPr>
    </w:p>
    <w:p w14:paraId="349DC65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</w:rPr>
        <w:t xml:space="preserve"> PAGE-WISE QUICK MAP</w:t>
      </w:r>
    </w:p>
    <w:tbl>
      <w:tblPr>
        <w:tblW w:w="0" w:type="dxa"/>
        <w:tblInd w:w="-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8"/>
        <w:gridCol w:w="3408"/>
        <w:gridCol w:w="3408"/>
      </w:tblGrid>
      <w:tr w14:paraId="550DF8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6E3F8108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Page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059BD85D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Main Business Question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1F2A"/>
            <w:vAlign w:val="top"/>
          </w:tcPr>
          <w:p w14:paraId="03CE5D24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Main DAX</w:t>
            </w:r>
          </w:p>
        </w:tc>
      </w:tr>
      <w:tr w14:paraId="56F293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47DBA0C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Page 1 – Fraud Overview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EAAC2B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Where is risk concentrated?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2B7593D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Customer counts, High Risk %, averages, Age Group</w:t>
            </w:r>
          </w:p>
        </w:tc>
      </w:tr>
      <w:tr w14:paraId="2F3BB6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554513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Page 2 – Suspicious Behaviour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2E68A29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How do customers behave financially?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76D01BC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Bank accounts, cards, loans, inquiries, delays, debt</w:t>
            </w:r>
          </w:p>
        </w:tc>
      </w:tr>
      <w:tr w14:paraId="13D530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39F4201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Page 3 – Customer Fraud-Risk Profile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6AC1977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What financial profile sits behind risk?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0715087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Income, salary, debt, EMI, investment, utilization, High Risk %</w:t>
            </w:r>
          </w:p>
        </w:tc>
      </w:tr>
      <w:tr w14:paraId="10B9FD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740611C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Page 4 – Executive View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5EC906F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What should management monitor?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DF9154A">
            <w:pPr>
              <w:pStyle w:val="3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</w:rPr>
              <w:t>Risk score, category, distribution, risk drivers, High Risk %</w:t>
            </w:r>
          </w:p>
        </w:tc>
      </w:tr>
    </w:tbl>
    <w:p w14:paraId="3A5376D6">
      <w:pPr>
        <w:spacing w:before="140" w:after="60"/>
      </w:pPr>
      <w:r>
        <w:rPr>
          <w:rFonts w:ascii="Arial" w:hAnsi="Arial"/>
          <w:b/>
          <w:color w:val="70182D"/>
          <w:sz w:val="32"/>
        </w:rPr>
        <w:t>18. PRESENTATION SCRIPT</w:t>
      </w:r>
    </w:p>
    <w:p w14:paraId="5627D924">
      <w:r>
        <w:rPr>
          <w:b/>
        </w:rPr>
        <w:t xml:space="preserve">Opening: </w:t>
      </w:r>
      <w:r>
        <w:t>This is a banking customer risk-analysis project built in Power BI. The objective is to identify customer segments with stronger financial and behavioural risk signals and provide management with an interactive monitoring dashboard.</w:t>
      </w:r>
    </w:p>
    <w:p w14:paraId="3B4A2E8B">
      <w:r>
        <w:rPr>
          <w:b/>
        </w:rPr>
        <w:t xml:space="preserve">Problem: </w:t>
      </w:r>
      <w:r>
        <w:t>The main business question is where risk is concentrated, what behaviours are associated with the risk, and which customer segments should receive closer monitoring.</w:t>
      </w:r>
    </w:p>
    <w:p w14:paraId="1CE01D89">
      <w:r>
        <w:rPr>
          <w:b/>
        </w:rPr>
        <w:t xml:space="preserve">Page 1: </w:t>
      </w:r>
      <w:r>
        <w:t>Page 1 establishes the risk landscape. I use unique customer counts, high-risk counts and percentages, then analyze occupation, age group and credit utilization.</w:t>
      </w:r>
    </w:p>
    <w:p w14:paraId="6A32CA87">
      <w:r>
        <w:rPr>
          <w:b/>
        </w:rPr>
        <w:t xml:space="preserve">Page 2: </w:t>
      </w:r>
      <w:r>
        <w:t>Page 2 investigates suspicious financial behaviour by comparing bank accounts, credit cards, loans and payment behaviour across credit-score groups.</w:t>
      </w:r>
    </w:p>
    <w:p w14:paraId="2E77A291">
      <w:r>
        <w:rPr>
          <w:b/>
        </w:rPr>
        <w:t xml:space="preserve">Page 3: </w:t>
      </w:r>
      <w:r>
        <w:t>Page 3 builds a deeper customer profile using income, salary, debt, EMI, investment and credit utilization, then connects those variables with occupation, age and payment behaviour.</w:t>
      </w:r>
    </w:p>
    <w:p w14:paraId="4C0D1412">
      <w:r>
        <w:rPr>
          <w:b/>
        </w:rPr>
        <w:t xml:space="preserve">Page 4: </w:t>
      </w:r>
      <w:r>
        <w:t>Page 4 is the executive monitoring view. It summarizes the analytical risk score, risk category, customer distribution, top risk drivers and recommended management actions.</w:t>
      </w:r>
    </w:p>
    <w:p w14:paraId="6E28CD00">
      <w:r>
        <w:rPr>
          <w:b/>
        </w:rPr>
        <w:t xml:space="preserve">Conclusion: </w:t>
      </w:r>
      <w:r>
        <w:t>The analysis indicates a substantial high-risk and monitor population. Delayed payments, utilization and credit-seeking behaviour are important indicators, while age and occupation show different observed risk concentrations. The dashboard therefore supports targeted monitoring rather than a one-size-fits-all approach.</w:t>
      </w:r>
    </w:p>
    <w:p w14:paraId="7BF1172A">
      <w:pPr>
        <w:spacing w:before="140" w:after="60"/>
      </w:pPr>
      <w:r>
        <w:rPr>
          <w:rFonts w:ascii="Arial" w:hAnsi="Arial"/>
          <w:b/>
          <w:color w:val="70182D"/>
          <w:sz w:val="32"/>
        </w:rPr>
        <w:t>19. CHALLENGES &amp; HOW THEY WERE HANDLED</w:t>
      </w:r>
    </w:p>
    <w:p w14:paraId="575F320D">
      <w:pPr>
        <w:pStyle w:val="25"/>
      </w:pPr>
      <w:r>
        <w:t>Repeated customer records: handled with DISTINCTCOUNT for unique-customer KPIs.</w:t>
      </w:r>
    </w:p>
    <w:p w14:paraId="58CB0401">
      <w:pPr>
        <w:pStyle w:val="25"/>
      </w:pPr>
      <w:r>
        <w:t>Single-value Age error: solved by creating Age Group as a calculated column instead of incorrectly using raw Age in a measure.</w:t>
      </w:r>
    </w:p>
    <w:p w14:paraId="5ACE11CC">
      <w:pPr>
        <w:pStyle w:val="25"/>
      </w:pPr>
      <w:r>
        <w:t>Risk percentages: handled with DIVIDE and filtered measures.</w:t>
      </w:r>
    </w:p>
    <w:p w14:paraId="486C82F8">
      <w:pPr>
        <w:pStyle w:val="25"/>
      </w:pPr>
      <w:r>
        <w:t>Dashboard repetition: Page 2 was kept to four main charts to avoid duplicating the same analysis.</w:t>
      </w:r>
    </w:p>
    <w:p w14:paraId="685F78B8">
      <w:pPr>
        <w:pStyle w:val="25"/>
      </w:pPr>
      <w:r>
        <w:t>Navigation: Page Navigator was added for all four pages.</w:t>
      </w:r>
    </w:p>
    <w:p w14:paraId="69790087">
      <w:pPr>
        <w:pStyle w:val="25"/>
      </w:pPr>
      <w:r>
        <w:t>Executive gauge target: a target of 70 was defined for the custom risk-score scale.</w:t>
      </w:r>
    </w:p>
    <w:p w14:paraId="49170550">
      <w:pPr>
        <w:pStyle w:val="25"/>
      </w:pPr>
      <w:r>
        <w:t>Unknown age category: retained as an explicit category so the data-quality signal remains visible.</w:t>
      </w:r>
    </w:p>
    <w:p w14:paraId="1B12EA95">
      <w:pPr>
        <w:pStyle w:val="2"/>
        <w:widowControl/>
        <w:numPr>
          <w:ilvl w:val="0"/>
          <w:numId w:val="0"/>
        </w:numPr>
        <w:ind w:left="-15" w:leftChars="0"/>
        <w:rPr>
          <w:color w:val="632523" w:themeColor="accent2" w:themeShade="80"/>
          <w:sz w:val="24"/>
          <w:szCs w:val="24"/>
          <w:lang w:val="en-US"/>
        </w:rPr>
      </w:pPr>
      <w:r>
        <w:rPr>
          <w:color w:val="632523" w:themeColor="accent2" w:themeShade="80"/>
          <w:sz w:val="24"/>
          <w:szCs w:val="24"/>
          <w:lang w:val="en-US"/>
        </w:rPr>
        <w:t>Final Presentation Conclusion</w:t>
      </w:r>
    </w:p>
    <w:p w14:paraId="28C91C70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To conclude, my Paisa Bazaar Banking Fraud Analysis project uses Power BI and DAX to convert customer financial and behavioural data into actionable risk insights.</w:t>
      </w:r>
    </w:p>
    <w:p w14:paraId="1E8FBC43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I started by identifying the overall risk population, then analyzed financial and payment behaviour, followed by a deeper customer profile using income, debt, EMI, investment, occupation and age.</w:t>
      </w:r>
    </w:p>
    <w:p w14:paraId="1CBBE5BE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Finally, I created an executive monitoring dashboard containing a custom analytical risk score, risk distribution, risk drivers and management recommendations.</w:t>
      </w:r>
    </w:p>
    <w:p w14:paraId="3E4F31A1">
      <w:pPr>
        <w:keepNext w:val="0"/>
        <w:keepLines w:val="0"/>
        <w:widowControl/>
        <w:suppressLineNumbers w:val="0"/>
        <w:spacing w:before="0" w:beforeAutospacing="0" w:after="319" w:afterAutospacing="0" w:line="290" w:lineRule="auto"/>
        <w:ind w:left="-5" w:right="0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The dashboard shows </w:t>
      </w:r>
      <w:r>
        <w:rPr>
          <w:rFonts w:hint="default" w:ascii="Arial" w:hAnsi="Arial" w:eastAsia="Arial" w:cs="Arial"/>
          <w:b/>
          <w:bCs w:val="0"/>
          <w:color w:val="000000"/>
          <w:kern w:val="2"/>
          <w:sz w:val="20"/>
          <w:szCs w:val="24"/>
          <w:lang w:val="en-US" w:eastAsia="zh-CN" w:bidi="ar"/>
        </w:rPr>
        <w:t>41.62% of customers classified as high risk and 54.42% in the Monitor category</w:t>
      </w: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.</w:t>
      </w:r>
    </w:p>
    <w:p w14:paraId="4AC23C80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>The key message from my analysis is that risk should not be judged using a single variable. Delayed payments, credit utilization, credit inquiries, loans, debt and customer characteristics should be considered together.</w:t>
      </w:r>
    </w:p>
    <w:p w14:paraId="486F3020">
      <w:pPr>
        <w:keepNext w:val="0"/>
        <w:keepLines w:val="0"/>
        <w:widowControl/>
        <w:suppressLineNumbers w:val="0"/>
        <w:spacing w:before="0" w:beforeAutospacing="0" w:after="299" w:afterAutospacing="0" w:line="304" w:lineRule="auto"/>
        <w:ind w:left="-5" w:right="9" w:hanging="10"/>
        <w:jc w:val="left"/>
        <w:rPr>
          <w:lang w:val="en-US"/>
        </w:rPr>
      </w:pP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Therefore, the dashboard supports </w:t>
      </w:r>
      <w:r>
        <w:rPr>
          <w:rFonts w:hint="default" w:ascii="Arial" w:hAnsi="Arial" w:eastAsia="Arial" w:cs="Arial"/>
          <w:b/>
          <w:bCs w:val="0"/>
          <w:color w:val="000000"/>
          <w:kern w:val="2"/>
          <w:sz w:val="20"/>
          <w:szCs w:val="24"/>
          <w:lang w:val="en-US" w:eastAsia="zh-CN" w:bidi="ar"/>
        </w:rPr>
        <w:t>targeted risk monitoring and better management decisions</w:t>
      </w:r>
      <w:r>
        <w:rPr>
          <w:rFonts w:hint="default" w:ascii="Arial" w:hAnsi="Arial" w:eastAsia="Arial" w:cs="Arial"/>
          <w:color w:val="000000"/>
          <w:kern w:val="2"/>
          <w:sz w:val="20"/>
          <w:szCs w:val="24"/>
          <w:lang w:val="en-US" w:eastAsia="zh-CN" w:bidi="ar"/>
        </w:rPr>
        <w:t xml:space="preserve"> rather than simply labeling customers as fraudulent.</w:t>
      </w:r>
    </w:p>
    <w:p w14:paraId="3CCF25FF">
      <w:pPr>
        <w:pStyle w:val="25"/>
        <w:numPr>
          <w:ilvl w:val="0"/>
          <w:numId w:val="0"/>
        </w:numPr>
        <w:ind w:leftChars="0"/>
      </w:pPr>
    </w:p>
    <w:p w14:paraId="48087002">
      <w:pPr>
        <w:spacing w:before="140" w:after="60"/>
      </w:pPr>
      <w:r>
        <w:rPr>
          <w:rFonts w:ascii="Arial" w:hAnsi="Arial"/>
          <w:b/>
          <w:color w:val="70182D"/>
          <w:sz w:val="32"/>
        </w:rPr>
        <w:t>20. INTERVIEW QUESTIONS &amp; SHORT ANSWERS</w:t>
      </w:r>
    </w:p>
    <w:p w14:paraId="1403E8A2">
      <w:r>
        <w:rPr>
          <w:b/>
        </w:rPr>
        <w:t>Why did you use DISTINCTCOUNT?</w:t>
      </w:r>
    </w:p>
    <w:p w14:paraId="676EAF08">
      <w:r>
        <w:t>Because the same customer can appear in multiple records, so COUNT would overstate unique customers.</w:t>
      </w:r>
    </w:p>
    <w:p w14:paraId="3CE4FBD7">
      <w:r>
        <w:rPr>
          <w:b/>
        </w:rPr>
        <w:t>Why did you use CALCULATE?</w:t>
      </w:r>
    </w:p>
    <w:p w14:paraId="4F15FDD5">
      <w:r>
        <w:t>To modify filter context and calculate customer counts for specific risk categories.</w:t>
      </w:r>
    </w:p>
    <w:p w14:paraId="030069AF">
      <w:r>
        <w:rPr>
          <w:b/>
        </w:rPr>
        <w:t>Why use DIVIDE?</w:t>
      </w:r>
    </w:p>
    <w:p w14:paraId="1F777C71">
      <w:r>
        <w:t>It safely handles division-by-zero when calculating percentages.</w:t>
      </w:r>
    </w:p>
    <w:p w14:paraId="1A93F8ED">
      <w:r>
        <w:rPr>
          <w:b/>
        </w:rPr>
        <w:t>Why use AVERAGE?</w:t>
      </w:r>
    </w:p>
    <w:p w14:paraId="432DE0BD">
      <w:r>
        <w:t>To show the typical customer level for financial and behavioural measures.</w:t>
      </w:r>
    </w:p>
    <w:p w14:paraId="1AD53FD8">
      <w:r>
        <w:rPr>
          <w:b/>
        </w:rPr>
        <w:t>Why create Age Group?</w:t>
      </w:r>
    </w:p>
    <w:p w14:paraId="11757B81">
      <w:r>
        <w:t>To make age analysis easier to interpret and visualize.</w:t>
      </w:r>
    </w:p>
    <w:p w14:paraId="7304C413">
      <w:r>
        <w:rPr>
          <w:b/>
        </w:rPr>
        <w:t>Why these charts?</w:t>
      </w:r>
    </w:p>
    <w:p w14:paraId="31676B37">
      <w:r>
        <w:t>They directly answer the business questions and progress from distribution to comparison and deeper profiling.</w:t>
      </w:r>
    </w:p>
    <w:p w14:paraId="26983588">
      <w:r>
        <w:rPr>
          <w:b/>
        </w:rPr>
        <w:t>What is the most actionable insight?</w:t>
      </w:r>
    </w:p>
    <w:p w14:paraId="217E843F">
      <w:r>
        <w:t>A large Monitor and High Risk population means risk-based monitoring should be prioritized, with attention to delayed payments and credit exposure.</w:t>
      </w:r>
    </w:p>
    <w:p w14:paraId="243B5301">
      <w:r>
        <w:rPr>
          <w:b/>
        </w:rPr>
        <w:t>Is the risk score official fraud probability?</w:t>
      </w:r>
    </w:p>
    <w:p w14:paraId="1FC2A4CC">
      <w:r>
        <w:t>No. It is a custom analytical index created for this project.</w:t>
      </w:r>
    </w:p>
    <w:p w14:paraId="0736E576">
      <w:r>
        <w:rPr>
          <w:b/>
        </w:rPr>
        <w:t>What would you do next?</w:t>
      </w:r>
    </w:p>
    <w:p w14:paraId="4C297A90">
      <w:r>
        <w:t>Add predictive modelling, investigate missing/unknown data, validate risk drivers, and build more advanced monitoring or alerting.</w:t>
      </w:r>
    </w:p>
    <w:p w14:paraId="1A0FC556">
      <w:pPr>
        <w:spacing w:before="140" w:after="60"/>
      </w:pPr>
      <w:r>
        <w:rPr>
          <w:rFonts w:ascii="Arial" w:hAnsi="Arial"/>
          <w:b/>
          <w:color w:val="70182D"/>
          <w:sz w:val="32"/>
        </w:rPr>
        <w:t>21. CONCLUSION &amp; FUTURE IMPROVEMENTS</w:t>
      </w:r>
    </w:p>
    <w:p w14:paraId="55D06477">
      <w:r>
        <w:t>The completed dashboard creates a logical four-page story: identify the risk landscape, investigate behaviour, profile customers, and monitor risk at executive level.</w:t>
      </w:r>
    </w:p>
    <w:p w14:paraId="605FC09D">
      <w:pPr>
        <w:pStyle w:val="25"/>
      </w:pPr>
      <w:r>
        <w:t>Future improvement: predictive modelling for probability of high-risk classification.</w:t>
      </w:r>
    </w:p>
    <w:p w14:paraId="1ACEE64C">
      <w:pPr>
        <w:pStyle w:val="25"/>
      </w:pPr>
      <w:r>
        <w:t>Future improvement: customer-level risk scoring with a clearly defined latest-period rule.</w:t>
      </w:r>
    </w:p>
    <w:p w14:paraId="14A29856">
      <w:pPr>
        <w:pStyle w:val="25"/>
      </w:pPr>
      <w:r>
        <w:t>Future improvement: deeper missing-data and anomaly analysis.</w:t>
      </w:r>
    </w:p>
    <w:p w14:paraId="1F86DB84">
      <w:pPr>
        <w:pStyle w:val="25"/>
      </w:pPr>
      <w:r>
        <w:t>Future improvement: automated alerts for significant risk changes.</w:t>
      </w:r>
    </w:p>
    <w:p w14:paraId="3A34C2CA">
      <w:pPr>
        <w:pStyle w:val="25"/>
      </w:pPr>
      <w:r>
        <w:t>Future improvement: trend analysis over time.</w:t>
      </w:r>
    </w:p>
    <w:p w14:paraId="34D5EE03">
      <w:pPr>
        <w:pStyle w:val="25"/>
      </w:pPr>
      <w:r>
        <w:t>Future improvement: validate the custom risk score against a labelled fraud outcome if such a label becomes available.</w:t>
      </w:r>
    </w:p>
    <w:p w14:paraId="0CE58017">
      <w:pPr>
        <w:spacing w:before="140" w:after="60"/>
      </w:pPr>
      <w:r>
        <w:rPr>
          <w:rFonts w:ascii="Arial" w:hAnsi="Arial"/>
          <w:b/>
          <w:color w:val="70182D"/>
          <w:sz w:val="32"/>
        </w:rPr>
        <w:t>22. FINAL ONE-MINUTE SUMMARY</w:t>
      </w:r>
    </w:p>
    <w:p w14:paraId="09B62E01">
      <w:r>
        <w:t>“My Paisa Bazaar Banking Fraud Analysis project uses Power BI and DAX to analyze customer credit and financial behaviour. I first identified the overall risk population, then investigated financial and payment behaviour, followed by a deeper customer profile using income, debt, EMI, investment, occupation and age. Finally, I created an executive risk-monitoring page with a custom analytical risk score, risk distribution, risk drivers and management recommendations. The dashboard shows 41.62% high-risk customers and 54.42% in the monitor category. The key message is that risk should be prioritized using multiple financial and behavioural indicators rather than a single variable.”</w:t>
      </w:r>
    </w:p>
    <w:p w14:paraId="48B5A579">
      <w:pPr>
        <w:spacing w:before="140" w:after="60"/>
      </w:pPr>
      <w:r>
        <w:rPr>
          <w:rFonts w:ascii="Arial" w:hAnsi="Arial"/>
          <w:b/>
          <w:color w:val="70182D"/>
          <w:sz w:val="32"/>
        </w:rPr>
        <w:t>23. SOURCE / PROJECT-BRIEF ALIGNMENT</w:t>
      </w:r>
    </w:p>
    <w:p w14:paraId="7161DFB3">
      <w:r>
        <w:t>The supplied project brief requires visual appeal, appropriate visualization, meaningful insights, interactivity, data preparation, a clear EDA sequence, key visualization explanations, business interpretation, challenges, conclusion and future improvements. This consolidated document organizes the completed dashboard work around those requested sections.</w:t>
      </w:r>
    </w:p>
    <w:p w14:paraId="6AF67BCB">
      <w:r>
        <w:br w:type="page"/>
      </w:r>
    </w:p>
    <w:p w14:paraId="15DDD555">
      <w:r>
        <w:rPr>
          <w:b/>
          <w:sz w:val="20"/>
        </w:rPr>
        <w:t>SCREENSHOT REFERENCE</w:t>
      </w:r>
    </w:p>
    <w:p w14:paraId="17F75398">
      <w:r>
        <w:t>Screenshot 1: FRAUD OVERVIEW</w:t>
      </w:r>
    </w:p>
    <w:p w14:paraId="5315B293">
      <w:r>
        <w:t>Screenshot 2: SUSPICIOUS BEHAVIOUR ANALYSIS</w:t>
      </w:r>
    </w:p>
    <w:p w14:paraId="31B44047">
      <w:r>
        <w:t>Screenshot 3: CUSTOMER FRAUD-RISK PROFILE</w:t>
      </w:r>
    </w:p>
    <w:p w14:paraId="39AED4CF">
      <w:r>
        <w:t>Screenshot 4: FRAUD RISK MONITORING / EXECUTIVE VIEW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8156E"/>
    <w:rsid w:val="19DC0CB6"/>
    <w:rsid w:val="1CAA3356"/>
    <w:rsid w:val="20380642"/>
    <w:rsid w:val="33EB0FC3"/>
    <w:rsid w:val="468F209A"/>
    <w:rsid w:val="4B111174"/>
    <w:rsid w:val="57322E11"/>
    <w:rsid w:val="57455939"/>
    <w:rsid w:val="5E1925A8"/>
    <w:rsid w:val="67E0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7">
    <w:name w:val="TableGrid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3703</Words>
  <Characters>23193</Characters>
  <Lines>0</Lines>
  <Paragraphs>0</Paragraphs>
  <TotalTime>44</TotalTime>
  <ScaleCrop>false</ScaleCrop>
  <LinksUpToDate>false</LinksUpToDate>
  <CharactersWithSpaces>26456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Ammu Galaxy</cp:lastModifiedBy>
  <dcterms:modified xsi:type="dcterms:W3CDTF">2026-09-09T12:53:40Z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eyJoZGlkIjoiZjYxNmJiZmEyODZiNTFhYzgyOTIzZDA3NWEwZjYwZWQiLCJ1c2VySWQiOiI1Njc1MTU0ODQ4NjMifQ==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F20DB41528A84FFD99891E16D1CE6A72_13</vt:lpwstr>
  </property>
</Properties>
</file>