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 w14:paraId="00000002">
      <w:pPr>
        <w:spacing w:line="360" w:lineRule="auto"/>
        <w:jc w:val="both"/>
        <w:rPr>
          <w:rFonts w:ascii="Times New Roman" w:hAnsi="Times New Roman" w:eastAsia="Times New Roman" w:cs="Times New Roman"/>
          <w:b/>
          <w:sz w:val="52"/>
          <w:szCs w:val="52"/>
        </w:rPr>
      </w:pPr>
      <w:r>
        <w:rPr>
          <w:rFonts w:ascii="Times New Roman" w:hAnsi="Times New Roman" w:eastAsia="Times New Roman" w:cs="Times New Roman"/>
          <w:b/>
          <w:sz w:val="52"/>
          <w:szCs w:val="52"/>
          <w:rtl w:val="0"/>
        </w:rPr>
        <w:t xml:space="preserve">Project Title: Descriptive Analysis Using Excel for Enhancing Digital Government and Economy (EDGE) Program  </w:t>
      </w:r>
    </w:p>
    <w:p w14:paraId="00000003">
      <w:pPr>
        <w:spacing w:line="360" w:lineRule="auto"/>
        <w:jc w:val="both"/>
        <w:rPr>
          <w:rFonts w:ascii="Times New Roman" w:hAnsi="Times New Roman" w:eastAsia="Times New Roman" w:cs="Times New Roman"/>
          <w:b/>
          <w:sz w:val="52"/>
          <w:szCs w:val="52"/>
        </w:rPr>
      </w:pPr>
    </w:p>
    <w:p w14:paraId="00000004">
      <w:pPr>
        <w:spacing w:line="360" w:lineRule="auto"/>
        <w:jc w:val="both"/>
        <w:rPr>
          <w:rFonts w:ascii="Times New Roman" w:hAnsi="Times New Roman" w:eastAsia="Times New Roman" w:cs="Times New Roman"/>
          <w:b/>
          <w:sz w:val="52"/>
          <w:szCs w:val="52"/>
        </w:rPr>
      </w:pPr>
    </w:p>
    <w:p w14:paraId="00000005">
      <w:pPr>
        <w:spacing w:line="360" w:lineRule="auto"/>
        <w:jc w:val="both"/>
        <w:rPr>
          <w:rFonts w:ascii="Times New Roman" w:hAnsi="Times New Roman" w:eastAsia="Times New Roman" w:cs="Times New Roman"/>
          <w:b/>
          <w:sz w:val="52"/>
          <w:szCs w:val="52"/>
        </w:rPr>
      </w:pPr>
    </w:p>
    <w:p w14:paraId="00000006">
      <w:pPr>
        <w:spacing w:line="360" w:lineRule="auto"/>
        <w:jc w:val="both"/>
        <w:rPr>
          <w:rFonts w:ascii="Times New Roman" w:hAnsi="Times New Roman" w:eastAsia="Times New Roman" w:cs="Times New Roman"/>
          <w:sz w:val="24"/>
          <w:szCs w:val="24"/>
        </w:rPr>
      </w:pPr>
    </w:p>
    <w:p w14:paraId="00000007">
      <w:pPr>
        <w:spacing w:line="360" w:lineRule="auto"/>
        <w:jc w:val="left"/>
        <w:rPr>
          <w:rFonts w:hint="default" w:ascii="Times New Roman" w:hAnsi="Times New Roman" w:eastAsia="Times New Roman" w:cs="Times New Roman"/>
          <w:b/>
          <w:sz w:val="36"/>
          <w:szCs w:val="36"/>
          <w:lang w:val="en-US"/>
        </w:rPr>
      </w:pPr>
      <w:r>
        <w:rPr>
          <w:rFonts w:ascii="Times New Roman" w:hAnsi="Times New Roman" w:eastAsia="Times New Roman" w:cs="Times New Roman"/>
          <w:b/>
          <w:sz w:val="36"/>
          <w:szCs w:val="36"/>
          <w:rtl w:val="0"/>
        </w:rPr>
        <w:t xml:space="preserve">Student Name: </w:t>
      </w:r>
      <w:r>
        <w:rPr>
          <w:rFonts w:hint="default" w:ascii="Times New Roman" w:hAnsi="Times New Roman" w:eastAsia="Times New Roman" w:cs="Times New Roman"/>
          <w:b/>
          <w:sz w:val="36"/>
          <w:szCs w:val="36"/>
          <w:rtl w:val="0"/>
          <w:lang w:val="en-US"/>
        </w:rPr>
        <w:t>MD. RAJIB SHAHRIAR</w:t>
      </w:r>
    </w:p>
    <w:p w14:paraId="00000008">
      <w:pPr>
        <w:spacing w:line="360" w:lineRule="auto"/>
        <w:jc w:val="left"/>
        <w:rPr>
          <w:rFonts w:hint="default" w:ascii="Times New Roman" w:hAnsi="Times New Roman" w:eastAsia="Times New Roman" w:cs="Times New Roman"/>
          <w:b/>
          <w:sz w:val="36"/>
          <w:szCs w:val="36"/>
          <w:lang w:val="en-US"/>
        </w:rPr>
      </w:pPr>
      <w:r>
        <w:rPr>
          <w:rFonts w:ascii="Times New Roman" w:hAnsi="Times New Roman" w:eastAsia="Times New Roman" w:cs="Times New Roman"/>
          <w:b/>
          <w:sz w:val="36"/>
          <w:szCs w:val="36"/>
          <w:rtl w:val="0"/>
        </w:rPr>
        <w:t>Student ID:1</w:t>
      </w:r>
      <w:r>
        <w:rPr>
          <w:rFonts w:hint="default" w:ascii="Times New Roman" w:hAnsi="Times New Roman" w:eastAsia="Times New Roman" w:cs="Times New Roman"/>
          <w:b/>
          <w:sz w:val="36"/>
          <w:szCs w:val="36"/>
          <w:rtl w:val="0"/>
          <w:lang w:val="en-US"/>
        </w:rPr>
        <w:t>5</w:t>
      </w:r>
    </w:p>
    <w:p w14:paraId="00000009">
      <w:pPr>
        <w:spacing w:line="360" w:lineRule="auto"/>
        <w:jc w:val="left"/>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 xml:space="preserve">Institution: Mawlana Bhashani Science and Technology </w:t>
      </w:r>
      <w:r>
        <w:rPr>
          <w:rFonts w:hint="default" w:ascii="Times New Roman" w:hAnsi="Times New Roman" w:eastAsia="Times New Roman" w:cs="Times New Roman"/>
          <w:b/>
          <w:sz w:val="36"/>
          <w:szCs w:val="36"/>
          <w:rtl w:val="0"/>
          <w:lang w:val="en-US"/>
        </w:rPr>
        <w:tab/>
        <w:t/>
      </w:r>
      <w:r>
        <w:rPr>
          <w:rFonts w:hint="default" w:ascii="Times New Roman" w:hAnsi="Times New Roman" w:eastAsia="Times New Roman" w:cs="Times New Roman"/>
          <w:b/>
          <w:sz w:val="36"/>
          <w:szCs w:val="36"/>
          <w:rtl w:val="0"/>
          <w:lang w:val="en-US"/>
        </w:rPr>
        <w:tab/>
        <w:t/>
      </w:r>
      <w:r>
        <w:rPr>
          <w:rFonts w:hint="default" w:ascii="Times New Roman" w:hAnsi="Times New Roman" w:eastAsia="Times New Roman" w:cs="Times New Roman"/>
          <w:b/>
          <w:sz w:val="36"/>
          <w:szCs w:val="36"/>
          <w:rtl w:val="0"/>
          <w:lang w:val="en-US"/>
        </w:rPr>
        <w:tab/>
        <w:t xml:space="preserve">    </w:t>
      </w:r>
      <w:r>
        <w:rPr>
          <w:rFonts w:ascii="Times New Roman" w:hAnsi="Times New Roman" w:eastAsia="Times New Roman" w:cs="Times New Roman"/>
          <w:b/>
          <w:sz w:val="36"/>
          <w:szCs w:val="36"/>
          <w:rtl w:val="0"/>
        </w:rPr>
        <w:t>University</w:t>
      </w:r>
    </w:p>
    <w:p w14:paraId="0000000A">
      <w:pPr>
        <w:spacing w:line="360" w:lineRule="auto"/>
        <w:jc w:val="left"/>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Department: ICT Department</w:t>
      </w:r>
    </w:p>
    <w:p w14:paraId="0000000B">
      <w:pPr>
        <w:spacing w:line="360" w:lineRule="auto"/>
        <w:jc w:val="left"/>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 xml:space="preserve">Program: Enhancing Digital Government and Economy </w:t>
      </w:r>
      <w:r>
        <w:rPr>
          <w:rFonts w:hint="default" w:ascii="Times New Roman" w:hAnsi="Times New Roman" w:eastAsia="Times New Roman" w:cs="Times New Roman"/>
          <w:b/>
          <w:sz w:val="36"/>
          <w:szCs w:val="36"/>
          <w:rtl w:val="0"/>
          <w:lang w:val="en-US"/>
        </w:rPr>
        <w:tab/>
        <w:t/>
      </w:r>
      <w:r>
        <w:rPr>
          <w:rFonts w:hint="default" w:ascii="Times New Roman" w:hAnsi="Times New Roman" w:eastAsia="Times New Roman" w:cs="Times New Roman"/>
          <w:b/>
          <w:sz w:val="36"/>
          <w:szCs w:val="36"/>
          <w:rtl w:val="0"/>
          <w:lang w:val="en-US"/>
        </w:rPr>
        <w:tab/>
        <w:t/>
      </w:r>
      <w:r>
        <w:rPr>
          <w:rFonts w:hint="default" w:ascii="Times New Roman" w:hAnsi="Times New Roman" w:eastAsia="Times New Roman" w:cs="Times New Roman"/>
          <w:b/>
          <w:sz w:val="36"/>
          <w:szCs w:val="36"/>
          <w:rtl w:val="0"/>
          <w:lang w:val="en-US"/>
        </w:rPr>
        <w:tab/>
        <w:t xml:space="preserve">  </w:t>
      </w:r>
      <w:bookmarkStart w:id="1" w:name="_GoBack"/>
      <w:bookmarkEnd w:id="1"/>
      <w:r>
        <w:rPr>
          <w:rFonts w:ascii="Times New Roman" w:hAnsi="Times New Roman" w:eastAsia="Times New Roman" w:cs="Times New Roman"/>
          <w:b/>
          <w:sz w:val="36"/>
          <w:szCs w:val="36"/>
          <w:rtl w:val="0"/>
        </w:rPr>
        <w:t>(EDGE)</w:t>
      </w:r>
    </w:p>
    <w:p w14:paraId="0000000C">
      <w:pPr>
        <w:spacing w:line="360" w:lineRule="auto"/>
        <w:jc w:val="left"/>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Course Title: Microsoft Office</w:t>
      </w:r>
    </w:p>
    <w:p w14:paraId="386FF1F7">
      <w:pPr>
        <w:spacing w:line="360" w:lineRule="auto"/>
        <w:jc w:val="left"/>
        <w:rPr>
          <w:rFonts w:ascii="Times New Roman" w:hAnsi="Times New Roman" w:eastAsia="Times New Roman" w:cs="Times New Roman"/>
          <w:b/>
          <w:sz w:val="24"/>
          <w:szCs w:val="24"/>
        </w:rPr>
        <w:sectPr>
          <w:pgSz w:w="12240" w:h="15840"/>
          <w:pgMar w:top="1440" w:right="1440" w:bottom="1440" w:left="1440" w:header="720" w:footer="720" w:gutter="0"/>
          <w:pgNumType w:start="1"/>
          <w:cols w:space="720" w:num="1"/>
        </w:sectPr>
      </w:pPr>
      <w:r>
        <w:rPr>
          <w:rFonts w:ascii="Times New Roman" w:hAnsi="Times New Roman" w:eastAsia="Times New Roman" w:cs="Times New Roman"/>
          <w:b/>
          <w:sz w:val="36"/>
          <w:szCs w:val="36"/>
          <w:rtl w:val="0"/>
        </w:rPr>
        <w:t>Project No: 01</w:t>
      </w:r>
    </w:p>
    <w:p w14:paraId="0000000E">
      <w:pPr>
        <w:spacing w:line="360" w:lineRule="auto"/>
        <w:jc w:val="both"/>
        <w:rPr>
          <w:rFonts w:ascii="Times New Roman" w:hAnsi="Times New Roman" w:eastAsia="Times New Roman" w:cs="Times New Roman"/>
          <w:b/>
          <w:sz w:val="24"/>
          <w:szCs w:val="24"/>
        </w:rPr>
      </w:pPr>
    </w:p>
    <w:p w14:paraId="0000000F">
      <w:pPr>
        <w:jc w:val="center"/>
        <w:rPr>
          <w:rFonts w:ascii="Times New Roman" w:hAnsi="Times New Roman" w:eastAsia="Times New Roman" w:cs="Times New Roman"/>
          <w:b/>
          <w:sz w:val="24"/>
          <w:szCs w:val="24"/>
        </w:rPr>
      </w:pPr>
    </w:p>
    <w:p w14:paraId="00000010">
      <w:pPr>
        <w:jc w:val="center"/>
        <w:rPr>
          <w:rFonts w:ascii="Times New Roman" w:hAnsi="Times New Roman" w:eastAsia="Times New Roman" w:cs="Times New Roman"/>
          <w:b/>
          <w:sz w:val="24"/>
          <w:szCs w:val="24"/>
        </w:rPr>
      </w:pPr>
    </w:p>
    <w:p w14:paraId="00000011">
      <w:pPr>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Abstract</w:t>
      </w:r>
    </w:p>
    <w:p w14:paraId="00000012">
      <w:pPr>
        <w:jc w:val="center"/>
        <w:rPr>
          <w:rFonts w:ascii="Times New Roman" w:hAnsi="Times New Roman" w:eastAsia="Times New Roman" w:cs="Times New Roman"/>
          <w:b/>
          <w:sz w:val="36"/>
          <w:szCs w:val="36"/>
        </w:rPr>
      </w:pPr>
    </w:p>
    <w:p w14:paraId="00000013">
      <w:pPr>
        <w:rPr>
          <w:rFonts w:ascii="Times New Roman" w:hAnsi="Times New Roman" w:eastAsia="Times New Roman" w:cs="Times New Roman"/>
          <w:sz w:val="24"/>
          <w:szCs w:val="24"/>
        </w:rPr>
      </w:pPr>
    </w:p>
    <w:p w14:paraId="799211ED">
      <w:pPr>
        <w:spacing w:line="360" w:lineRule="auto"/>
        <w:jc w:val="both"/>
        <w:rPr>
          <w:rFonts w:ascii="Times New Roman" w:hAnsi="Times New Roman" w:eastAsia="Times New Roman" w:cs="Times New Roman"/>
          <w:sz w:val="24"/>
          <w:szCs w:val="24"/>
        </w:rPr>
        <w:sectPr>
          <w:pgSz w:w="12240" w:h="15840"/>
          <w:pgMar w:top="1440" w:right="1440" w:bottom="1440" w:left="1440" w:header="720" w:footer="720" w:gutter="0"/>
          <w:pgNumType w:start="1"/>
          <w:cols w:space="720" w:num="1"/>
        </w:sectPr>
      </w:pPr>
      <w:bookmarkStart w:id="0" w:name="_gjdgxs" w:colFirst="0" w:colLast="0"/>
      <w:bookmarkEnd w:id="0"/>
      <w:r>
        <w:rPr>
          <w:rFonts w:ascii="Times New Roman" w:hAnsi="Times New Roman" w:eastAsia="Times New Roman" w:cs="Times New Roman"/>
          <w:sz w:val="24"/>
          <w:szCs w:val="24"/>
          <w:rtl w:val="0"/>
        </w:rPr>
        <w:t>This project demonstrates the use of descriptive analysis to interpret and summarize data relevant to the Enhancing Digital Government and Economy (EDGE) program at Mawlana Bhashani Science and Technology University. Descriptive analysis is essential in data-driven fields for summarizing large datasets, discovering patterns, and making informed decisions. Using Microsoft Excel, this project covers data preparation, calculation of key statistical measures. The findings provide insights into participant engagement and performance in the EDGE program. Excel's accessibility and versatility make it a suitable tool for both beginners and advanced users in data analysis, proving invaluable for initiatives like EDGE, which aim to strengthen digital literacy and analytical skills.</w:t>
      </w:r>
    </w:p>
    <w:p w14:paraId="00000015">
      <w:pPr>
        <w:spacing w:line="360" w:lineRule="auto"/>
        <w:jc w:val="both"/>
        <w:rPr>
          <w:rFonts w:ascii="Times New Roman" w:hAnsi="Times New Roman" w:eastAsia="Times New Roman" w:cs="Times New Roman"/>
          <w:sz w:val="24"/>
          <w:szCs w:val="24"/>
        </w:rPr>
      </w:pPr>
    </w:p>
    <w:p w14:paraId="00000016">
      <w:pPr>
        <w:spacing w:after="280"/>
        <w:ind w:left="2160" w:firstLine="0"/>
        <w:jc w:val="both"/>
        <w:rPr>
          <w:rFonts w:ascii="Times New Roman" w:hAnsi="Times New Roman" w:eastAsia="Times New Roman" w:cs="Times New Roman"/>
          <w:b/>
          <w:sz w:val="52"/>
          <w:szCs w:val="52"/>
        </w:rPr>
      </w:pPr>
      <w:r>
        <w:rPr>
          <w:rFonts w:ascii="Times New Roman" w:hAnsi="Times New Roman" w:eastAsia="Times New Roman" w:cs="Times New Roman"/>
          <w:b/>
          <w:sz w:val="52"/>
          <w:szCs w:val="52"/>
          <w:rtl w:val="0"/>
        </w:rPr>
        <w:t>Chapter One: Introduction</w:t>
      </w:r>
    </w:p>
    <w:p w14:paraId="00000017">
      <w:pPr>
        <w:pStyle w:val="5"/>
        <w:spacing w:line="360" w:lineRule="auto"/>
        <w:jc w:val="both"/>
        <w:rPr>
          <w:rFonts w:ascii="Times New Roman" w:hAnsi="Times New Roman" w:eastAsia="Times New Roman" w:cs="Times New Roman"/>
          <w:color w:val="000000"/>
          <w:sz w:val="36"/>
          <w:szCs w:val="36"/>
        </w:rPr>
      </w:pPr>
      <w:r>
        <w:rPr>
          <w:rFonts w:ascii="Times New Roman" w:hAnsi="Times New Roman" w:eastAsia="Times New Roman" w:cs="Times New Roman"/>
          <w:b/>
          <w:color w:val="000000"/>
          <w:sz w:val="36"/>
          <w:szCs w:val="36"/>
          <w:rtl w:val="0"/>
        </w:rPr>
        <w:t>Introduction</w:t>
      </w:r>
    </w:p>
    <w:p w14:paraId="0000001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This report provides a descriptive analysis of inventory records to gain insights into stock levels, purchasing trends, and cost variations. The analysis covers various aspects such as opening stock, stock purchases, units sold, hand-in stock, cost price per unit, and total cost price. By analyzing these metrics, we can identify trends and make informed decisions about inventory management.</w:t>
      </w:r>
    </w:p>
    <w:p w14:paraId="00000019">
      <w:pPr>
        <w:spacing w:line="360" w:lineRule="auto"/>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Background</w:t>
      </w:r>
    </w:p>
    <w:p w14:paraId="0000001A">
      <w:pPr>
        <w:spacing w:line="360" w:lineRule="auto"/>
        <w:rPr>
          <w:rFonts w:ascii="Times New Roman" w:hAnsi="Times New Roman" w:eastAsia="Times New Roman" w:cs="Times New Roman"/>
          <w:sz w:val="24"/>
          <w:szCs w:val="24"/>
        </w:rPr>
      </w:pPr>
    </w:p>
    <w:p w14:paraId="0000001B">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Enhancing Digital Government and Economy (EDGE) program is a government-led initiative focused on empowering students with digital skills and enhancing their understanding of digital government and economic frameworks. Conducted by the ICT Department at Mawlana Bhashani Science and Technology University, this program aims to prepare students for the data-driven demands of modern workplaces. One key component of the program is Microsoft Office, which includes Excel, widely used in data analysis, finance, and general business operations.</w:t>
      </w:r>
    </w:p>
    <w:p w14:paraId="0000001C">
      <w:pPr>
        <w:spacing w:line="360" w:lineRule="auto"/>
        <w:jc w:val="both"/>
        <w:rPr>
          <w:rFonts w:ascii="Times New Roman" w:hAnsi="Times New Roman" w:eastAsia="Times New Roman" w:cs="Times New Roman"/>
          <w:sz w:val="24"/>
          <w:szCs w:val="24"/>
        </w:rPr>
      </w:pPr>
    </w:p>
    <w:p w14:paraId="0000001D">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EDGE program's mission aligns with the current demand for digital skills, as organizations increasingly seek professionals who can interpret and analyze data effectively. Within this context, descriptive analysis—the first step in data analysis—is essential for understanding data before diving into more complex analysis.</w:t>
      </w:r>
    </w:p>
    <w:p w14:paraId="0000001E">
      <w:pPr>
        <w:spacing w:line="360" w:lineRule="auto"/>
        <w:rPr>
          <w:rFonts w:ascii="Times New Roman" w:hAnsi="Times New Roman" w:eastAsia="Times New Roman" w:cs="Times New Roman"/>
          <w:sz w:val="24"/>
          <w:szCs w:val="24"/>
        </w:rPr>
      </w:pPr>
    </w:p>
    <w:p w14:paraId="0000001F">
      <w:pPr>
        <w:spacing w:line="360" w:lineRule="auto"/>
        <w:rPr>
          <w:rFonts w:ascii="Times New Roman" w:hAnsi="Times New Roman" w:eastAsia="Times New Roman" w:cs="Times New Roman"/>
          <w:sz w:val="24"/>
          <w:szCs w:val="24"/>
        </w:rPr>
      </w:pPr>
    </w:p>
    <w:p w14:paraId="00000020">
      <w:pPr>
        <w:spacing w:line="360" w:lineRule="auto"/>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Importance of Descriptive Analysis</w:t>
      </w:r>
    </w:p>
    <w:p w14:paraId="00000021">
      <w:pPr>
        <w:spacing w:line="360" w:lineRule="auto"/>
        <w:rPr>
          <w:rFonts w:ascii="Times New Roman" w:hAnsi="Times New Roman" w:eastAsia="Times New Roman" w:cs="Times New Roman"/>
          <w:sz w:val="24"/>
          <w:szCs w:val="24"/>
        </w:rPr>
      </w:pPr>
    </w:p>
    <w:p w14:paraId="00000022">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Descriptive analysis involves summarizing and interpreting data to reveal insights without drawing predictive conclusions. It includes calculating statistical measures like averages, medians, and standard deviations. For the EDGE program, descriptive analysis can help assess student progress, engagement, and areas for improvement. It also enables stakeholders to measure the program's impact, enhancing its value and relevance.</w:t>
      </w:r>
    </w:p>
    <w:p w14:paraId="00000023">
      <w:pPr>
        <w:spacing w:line="360" w:lineRule="auto"/>
        <w:rPr>
          <w:rFonts w:ascii="Times New Roman" w:hAnsi="Times New Roman" w:eastAsia="Times New Roman" w:cs="Times New Roman"/>
          <w:sz w:val="24"/>
          <w:szCs w:val="24"/>
        </w:rPr>
      </w:pPr>
    </w:p>
    <w:p w14:paraId="00000024">
      <w:pPr>
        <w:spacing w:line="360" w:lineRule="auto"/>
        <w:rPr>
          <w:rFonts w:ascii="Times New Roman" w:hAnsi="Times New Roman" w:eastAsia="Times New Roman" w:cs="Times New Roman"/>
          <w:sz w:val="24"/>
          <w:szCs w:val="24"/>
        </w:rPr>
      </w:pPr>
    </w:p>
    <w:p w14:paraId="00000025">
      <w:pPr>
        <w:spacing w:line="360" w:lineRule="auto"/>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Role of Microsoft Excel in Data Analysis</w:t>
      </w:r>
    </w:p>
    <w:p w14:paraId="00000026">
      <w:pPr>
        <w:spacing w:line="360" w:lineRule="auto"/>
        <w:rPr>
          <w:rFonts w:ascii="Times New Roman" w:hAnsi="Times New Roman" w:eastAsia="Times New Roman" w:cs="Times New Roman"/>
          <w:sz w:val="24"/>
          <w:szCs w:val="24"/>
        </w:rPr>
      </w:pPr>
    </w:p>
    <w:p w14:paraId="00000027">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Microsoft Excel is one of the most commonly used tools in data analysis due to its accessibility, ease of use, and robust features. Excel provides numerous built-in functions and visualization tools that make it ideal for descriptive analysis. It allows users to handle large datasets, perform complex calculations, and generate a range of charts to visually interpret data. In this project, Excel is employed to conduct descriptive analysis on sample EDGE program data, highlighting its effectiveness in analyzing and summarizing participant performance and feedback.</w:t>
      </w:r>
    </w:p>
    <w:p w14:paraId="00000028">
      <w:pPr>
        <w:spacing w:line="360" w:lineRule="auto"/>
        <w:rPr>
          <w:rFonts w:ascii="Times New Roman" w:hAnsi="Times New Roman" w:eastAsia="Times New Roman" w:cs="Times New Roman"/>
          <w:sz w:val="24"/>
          <w:szCs w:val="24"/>
        </w:rPr>
      </w:pPr>
    </w:p>
    <w:p w14:paraId="00000029">
      <w:pPr>
        <w:spacing w:line="360" w:lineRule="auto"/>
        <w:rPr>
          <w:rFonts w:ascii="Times New Roman" w:hAnsi="Times New Roman" w:eastAsia="Times New Roman" w:cs="Times New Roman"/>
          <w:sz w:val="24"/>
          <w:szCs w:val="24"/>
        </w:rPr>
      </w:pPr>
    </w:p>
    <w:p w14:paraId="0000002A">
      <w:pPr>
        <w:spacing w:line="360" w:lineRule="auto"/>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Objectives of the Project</w:t>
      </w:r>
    </w:p>
    <w:p w14:paraId="0000002B">
      <w:pPr>
        <w:spacing w:line="360" w:lineRule="auto"/>
        <w:rPr>
          <w:rFonts w:ascii="Times New Roman" w:hAnsi="Times New Roman" w:eastAsia="Times New Roman" w:cs="Times New Roman"/>
          <w:sz w:val="24"/>
          <w:szCs w:val="24"/>
        </w:rPr>
      </w:pPr>
    </w:p>
    <w:p w14:paraId="0000002C">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main objectives of this project are:</w:t>
      </w:r>
    </w:p>
    <w:p w14:paraId="0000002D">
      <w:pPr>
        <w:spacing w:line="360" w:lineRule="auto"/>
        <w:jc w:val="both"/>
        <w:rPr>
          <w:rFonts w:ascii="Times New Roman" w:hAnsi="Times New Roman" w:eastAsia="Times New Roman" w:cs="Times New Roman"/>
          <w:sz w:val="24"/>
          <w:szCs w:val="24"/>
        </w:rPr>
      </w:pPr>
    </w:p>
    <w:p w14:paraId="0000002E">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 explore the use of Excel in conducting descriptive analysis, particularly for data related to the EDGE program.</w:t>
      </w:r>
    </w:p>
    <w:p w14:paraId="0000002F">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 apply key statistical functions in Excel, including measures of central tendency and dispersion.</w:t>
      </w:r>
    </w:p>
    <w:p w14:paraId="00000030">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 summarize findings that could inform decisions in program planning and enhancement.</w:t>
      </w:r>
    </w:p>
    <w:p w14:paraId="00000031">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 build proficiency in using Excel as a data analysis tool for academic and professional purposes.</w:t>
      </w:r>
    </w:p>
    <w:p w14:paraId="00000032">
      <w:pPr>
        <w:spacing w:line="360" w:lineRule="auto"/>
        <w:rPr>
          <w:rFonts w:ascii="Times New Roman" w:hAnsi="Times New Roman" w:eastAsia="Times New Roman" w:cs="Times New Roman"/>
          <w:b/>
          <w:sz w:val="36"/>
          <w:szCs w:val="36"/>
        </w:rPr>
      </w:pPr>
    </w:p>
    <w:p w14:paraId="00000033">
      <w:pPr>
        <w:spacing w:line="360" w:lineRule="auto"/>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Tools and Software</w:t>
      </w:r>
    </w:p>
    <w:p w14:paraId="00000034">
      <w:p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Microsoft Excel:  </w:t>
      </w:r>
    </w:p>
    <w:p w14:paraId="00000035">
      <w:pPr>
        <w:spacing w:line="360" w:lineRule="auto"/>
        <w:rPr>
          <w:rFonts w:ascii="Times New Roman" w:hAnsi="Times New Roman" w:eastAsia="Times New Roman" w:cs="Times New Roman"/>
          <w:b/>
          <w:sz w:val="24"/>
          <w:szCs w:val="24"/>
        </w:rPr>
      </w:pPr>
    </w:p>
    <w:p w14:paraId="00000036">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Microsoft Excel is the primary tool used in this project. Its functions for statistical calculations (e.g., AVERAGE, STDEV, MEDIAN) allow for efficient computation of key descriptive statistics. The accessibility and versatility of Excel make it an ideal choice for this analysis, supporting both fundamental and advanced data analysis tasks.</w:t>
      </w:r>
      <w:r>
        <w:br w:type="page"/>
      </w:r>
    </w:p>
    <w:p w14:paraId="00000037">
      <w:pPr>
        <w:jc w:val="center"/>
        <w:rPr>
          <w:rFonts w:ascii="Times New Roman" w:hAnsi="Times New Roman" w:eastAsia="Times New Roman" w:cs="Times New Roman"/>
          <w:b/>
          <w:sz w:val="52"/>
          <w:szCs w:val="52"/>
        </w:rPr>
      </w:pPr>
      <w:r>
        <w:rPr>
          <w:rFonts w:ascii="Times New Roman" w:hAnsi="Times New Roman" w:eastAsia="Times New Roman" w:cs="Times New Roman"/>
          <w:b/>
          <w:sz w:val="52"/>
          <w:szCs w:val="52"/>
          <w:rtl w:val="0"/>
        </w:rPr>
        <w:t>Chapter Two: Methodology</w:t>
      </w:r>
    </w:p>
    <w:p w14:paraId="00000038">
      <w:pPr>
        <w:jc w:val="center"/>
        <w:rPr>
          <w:rFonts w:ascii="Times New Roman" w:hAnsi="Times New Roman" w:eastAsia="Times New Roman" w:cs="Times New Roman"/>
          <w:b/>
          <w:sz w:val="52"/>
          <w:szCs w:val="52"/>
        </w:rPr>
      </w:pPr>
    </w:p>
    <w:p w14:paraId="00000039">
      <w:pPr>
        <w:rPr>
          <w:rFonts w:ascii="Times New Roman" w:hAnsi="Times New Roman" w:eastAsia="Times New Roman" w:cs="Times New Roman"/>
          <w:sz w:val="24"/>
          <w:szCs w:val="24"/>
        </w:rPr>
      </w:pPr>
    </w:p>
    <w:p w14:paraId="0000003A">
      <w:pPr>
        <w:spacing w:line="360" w:lineRule="auto"/>
        <w:jc w:val="both"/>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Data Collection and Sample Data</w:t>
      </w:r>
    </w:p>
    <w:p w14:paraId="0000003B">
      <w:pPr>
        <w:spacing w:line="360" w:lineRule="auto"/>
        <w:jc w:val="both"/>
        <w:rPr>
          <w:rFonts w:ascii="Times New Roman" w:hAnsi="Times New Roman" w:eastAsia="Times New Roman" w:cs="Times New Roman"/>
          <w:sz w:val="24"/>
          <w:szCs w:val="24"/>
        </w:rPr>
      </w:pPr>
    </w:p>
    <w:p w14:paraId="0000003C">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dataset contains 46 entries for each variable, and we performed descriptive analysis using metrics such as mean, median, mode, standard deviation, skewness, and kurtosis. The following sections summarize the key findings for each variable.</w:t>
      </w:r>
    </w:p>
    <w:p w14:paraId="0000003D">
      <w:pPr>
        <w:spacing w:line="360" w:lineRule="auto"/>
        <w:jc w:val="both"/>
        <w:rPr>
          <w:rFonts w:ascii="Times New Roman" w:hAnsi="Times New Roman" w:eastAsia="Times New Roman" w:cs="Times New Roman"/>
          <w:b/>
          <w:sz w:val="24"/>
          <w:szCs w:val="24"/>
        </w:rPr>
      </w:pPr>
    </w:p>
    <w:p w14:paraId="0000003E">
      <w:pP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Data Cleaning and Preparation</w:t>
      </w:r>
    </w:p>
    <w:p w14:paraId="0000003F">
      <w:pPr>
        <w:spacing w:line="360" w:lineRule="auto"/>
        <w:jc w:val="both"/>
        <w:rPr>
          <w:rFonts w:ascii="Times New Roman" w:hAnsi="Times New Roman" w:eastAsia="Times New Roman" w:cs="Times New Roman"/>
          <w:sz w:val="24"/>
          <w:szCs w:val="24"/>
        </w:rPr>
      </w:pPr>
    </w:p>
    <w:p w14:paraId="00000040">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Before conducting descriptive analysis, data cleaning is essential to ensure accuracy. This involves:</w:t>
      </w:r>
    </w:p>
    <w:p w14:paraId="00000041">
      <w:pPr>
        <w:spacing w:line="360" w:lineRule="auto"/>
        <w:jc w:val="both"/>
        <w:rPr>
          <w:rFonts w:ascii="Times New Roman" w:hAnsi="Times New Roman" w:eastAsia="Times New Roman" w:cs="Times New Roman"/>
          <w:sz w:val="24"/>
          <w:szCs w:val="24"/>
        </w:rPr>
      </w:pPr>
    </w:p>
    <w:p w14:paraId="00000042">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8"/>
          <w:szCs w:val="28"/>
          <w:rtl w:val="0"/>
        </w:rPr>
        <w:t>Checking for Missing Values:</w:t>
      </w:r>
      <w:r>
        <w:rPr>
          <w:rFonts w:ascii="Times New Roman" w:hAnsi="Times New Roman" w:eastAsia="Times New Roman" w:cs="Times New Roman"/>
          <w:sz w:val="24"/>
          <w:szCs w:val="24"/>
          <w:rtl w:val="0"/>
        </w:rPr>
        <w:t xml:space="preserve"> Use Excel’s “Conditional Formatting”or “Filter” options to locate and address missing data. Missing values can be replaced with the mean or median if they are relatively few, or removed if necessary.</w:t>
      </w:r>
    </w:p>
    <w:p w14:paraId="00000043">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14:paraId="00000044">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8"/>
          <w:szCs w:val="28"/>
          <w:rtl w:val="0"/>
        </w:rPr>
        <w:t>Removing Duplicates:</w:t>
      </w:r>
      <w:r>
        <w:rPr>
          <w:rFonts w:ascii="Times New Roman" w:hAnsi="Times New Roman" w:eastAsia="Times New Roman" w:cs="Times New Roman"/>
          <w:sz w:val="24"/>
          <w:szCs w:val="24"/>
          <w:rtl w:val="0"/>
        </w:rPr>
        <w:t xml:space="preserve"> Duplicates can distort analysis results. Use “Data &gt; Remove Duplicates” to eliminate any repeat entries.</w:t>
      </w:r>
    </w:p>
    <w:p w14:paraId="00000045">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14:paraId="1A9781C0">
      <w:pPr>
        <w:spacing w:line="360" w:lineRule="auto"/>
        <w:jc w:val="both"/>
        <w:rPr>
          <w:rFonts w:ascii="Times New Roman" w:hAnsi="Times New Roman" w:eastAsia="Times New Roman" w:cs="Times New Roman"/>
          <w:sz w:val="24"/>
          <w:szCs w:val="24"/>
          <w:rtl w:val="0"/>
        </w:rPr>
      </w:pPr>
      <w:r>
        <w:rPr>
          <w:rFonts w:ascii="Times New Roman" w:hAnsi="Times New Roman" w:eastAsia="Times New Roman" w:cs="Times New Roman"/>
          <w:b/>
          <w:sz w:val="28"/>
          <w:szCs w:val="28"/>
          <w:rtl w:val="0"/>
        </w:rPr>
        <w:t>“Outlier Detection”:</w:t>
      </w:r>
      <w:r>
        <w:rPr>
          <w:rFonts w:ascii="Times New Roman" w:hAnsi="Times New Roman" w:eastAsia="Times New Roman" w:cs="Times New Roman"/>
          <w:sz w:val="24"/>
          <w:szCs w:val="24"/>
          <w:rtl w:val="0"/>
        </w:rPr>
        <w:t xml:space="preserve"> Outliers can skew descriptive statistics. To identify outliers, calculate measures like the interquartile range (IQR) and mark values that fall significantly above or below typical values.</w:t>
      </w:r>
    </w:p>
    <w:p w14:paraId="00000046">
      <w:pPr>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br w:type="page"/>
      </w:r>
    </w:p>
    <w:p w14:paraId="71DBEA21">
      <w:pPr>
        <w:spacing w:line="360" w:lineRule="auto"/>
        <w:jc w:val="both"/>
        <w:rPr>
          <w:rFonts w:ascii="Times New Roman" w:hAnsi="Times New Roman" w:eastAsia="Times New Roman" w:cs="Times New Roman"/>
          <w:sz w:val="24"/>
          <w:szCs w:val="24"/>
          <w:rtl w:val="0"/>
        </w:rPr>
      </w:pPr>
    </w:p>
    <w:p w14:paraId="0000004B">
      <w:pPr>
        <w:spacing w:line="360" w:lineRule="auto"/>
        <w:ind w:left="720" w:leftChars="0" w:firstLine="720" w:firstLineChars="0"/>
        <w:jc w:val="left"/>
        <w:rPr>
          <w:rFonts w:ascii="Times New Roman" w:hAnsi="Times New Roman" w:eastAsia="Times New Roman" w:cs="Times New Roman"/>
          <w:b/>
          <w:sz w:val="52"/>
          <w:szCs w:val="52"/>
        </w:rPr>
      </w:pPr>
      <w:r>
        <w:rPr>
          <w:rFonts w:ascii="Times New Roman" w:hAnsi="Times New Roman" w:eastAsia="Times New Roman" w:cs="Times New Roman"/>
          <w:b/>
          <w:sz w:val="52"/>
          <w:szCs w:val="52"/>
          <w:rtl w:val="0"/>
        </w:rPr>
        <w:t xml:space="preserve">Chapter four: Case Study/Example </w:t>
      </w:r>
      <w:r>
        <w:rPr>
          <w:rFonts w:hint="default" w:ascii="Times New Roman" w:hAnsi="Times New Roman" w:eastAsia="Times New Roman" w:cs="Times New Roman"/>
          <w:b/>
          <w:sz w:val="52"/>
          <w:szCs w:val="52"/>
          <w:rtl w:val="0"/>
          <w:lang w:val="en-US"/>
        </w:rPr>
        <w:tab/>
        <w:t/>
      </w:r>
      <w:r>
        <w:rPr>
          <w:rFonts w:hint="default" w:ascii="Times New Roman" w:hAnsi="Times New Roman" w:eastAsia="Times New Roman" w:cs="Times New Roman"/>
          <w:b/>
          <w:sz w:val="52"/>
          <w:szCs w:val="52"/>
          <w:rtl w:val="0"/>
          <w:lang w:val="en-US"/>
        </w:rPr>
        <w:tab/>
      </w:r>
      <w:r>
        <w:rPr>
          <w:rFonts w:ascii="Times New Roman" w:hAnsi="Times New Roman" w:eastAsia="Times New Roman" w:cs="Times New Roman"/>
          <w:b/>
          <w:sz w:val="52"/>
          <w:szCs w:val="52"/>
          <w:rtl w:val="0"/>
        </w:rPr>
        <w:t>Dataset and Analysis</w:t>
      </w:r>
    </w:p>
    <w:p w14:paraId="0000004C">
      <w:pPr>
        <w:spacing w:line="360" w:lineRule="auto"/>
        <w:jc w:val="center"/>
        <w:rPr>
          <w:rFonts w:ascii="Times New Roman" w:hAnsi="Times New Roman" w:eastAsia="Times New Roman" w:cs="Times New Roman"/>
          <w:b/>
          <w:sz w:val="52"/>
          <w:szCs w:val="52"/>
        </w:rPr>
      </w:pPr>
    </w:p>
    <w:p w14:paraId="0000004D">
      <w:pPr>
        <w:pStyle w:val="4"/>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b w:val="0"/>
          <w:color w:val="000000"/>
          <w:sz w:val="24"/>
          <w:szCs w:val="24"/>
          <w:rtl w:val="0"/>
        </w:rPr>
        <w:t>Stage 1: Open the Dataset</w:t>
      </w:r>
    </w:p>
    <w:p w14:paraId="0000004E">
      <w:pPr>
        <w:numPr>
          <w:ilvl w:val="0"/>
          <w:numId w:val="2"/>
        </w:numPr>
        <w:spacing w:before="280" w:after="0" w:line="360" w:lineRule="auto"/>
        <w:ind w:left="720" w:hanging="360"/>
        <w:jc w:val="both"/>
      </w:pPr>
      <w:r>
        <w:rPr>
          <w:rFonts w:ascii="Times New Roman" w:hAnsi="Times New Roman" w:eastAsia="Times New Roman" w:cs="Times New Roman"/>
          <w:b w:val="0"/>
          <w:sz w:val="24"/>
          <w:szCs w:val="24"/>
          <w:rtl w:val="0"/>
        </w:rPr>
        <w:t>Step 1</w:t>
      </w:r>
      <w:r>
        <w:rPr>
          <w:rFonts w:ascii="Times New Roman" w:hAnsi="Times New Roman" w:eastAsia="Times New Roman" w:cs="Times New Roman"/>
          <w:sz w:val="24"/>
          <w:szCs w:val="24"/>
          <w:rtl w:val="0"/>
        </w:rPr>
        <w:t>: Open "Inventory-Records-Sample-Data.xlsx" in Excel.</w:t>
      </w:r>
    </w:p>
    <w:p w14:paraId="0000004F">
      <w:pPr>
        <w:numPr>
          <w:ilvl w:val="0"/>
          <w:numId w:val="2"/>
        </w:numPr>
        <w:spacing w:before="0" w:after="280" w:line="360" w:lineRule="auto"/>
        <w:ind w:left="720" w:hanging="360"/>
        <w:jc w:val="both"/>
      </w:pPr>
      <w:r>
        <w:rPr>
          <w:rFonts w:ascii="Times New Roman" w:hAnsi="Times New Roman" w:eastAsia="Times New Roman" w:cs="Times New Roman"/>
          <w:b w:val="0"/>
          <w:sz w:val="24"/>
          <w:szCs w:val="24"/>
          <w:rtl w:val="0"/>
        </w:rPr>
        <w:t>Step 2</w:t>
      </w:r>
      <w:r>
        <w:rPr>
          <w:rFonts w:ascii="Times New Roman" w:hAnsi="Times New Roman" w:eastAsia="Times New Roman" w:cs="Times New Roman"/>
          <w:sz w:val="24"/>
          <w:szCs w:val="24"/>
          <w:rtl w:val="0"/>
        </w:rPr>
        <w:t>: Take a moment to examine the column headers and familiarize yourself with the types of data available (e.g., Product ID, Product Name, Price, Quantity in Stock, Sales).</w:t>
      </w:r>
    </w:p>
    <w:p w14:paraId="0000005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By understanding what each column represents, you’ll know which statistical metrics are most meaningful for analysis (e.g., Price for cost analysis, Quantity for stock analysis).</w:t>
      </w:r>
    </w:p>
    <w:p w14:paraId="00000051">
      <w:pPr>
        <w:pStyle w:val="4"/>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b w:val="0"/>
          <w:color w:val="000000"/>
          <w:sz w:val="24"/>
          <w:szCs w:val="24"/>
          <w:rtl w:val="0"/>
        </w:rPr>
        <w:t>Stage 2: Perform Descriptive Statistics Analysis</w:t>
      </w:r>
    </w:p>
    <w:p w14:paraId="00000052">
      <w:pPr>
        <w:pStyle w:val="5"/>
        <w:spacing w:line="36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tl w:val="0"/>
        </w:rPr>
        <w:t>Using Excel's Built-In Analysis ToolPak:</w:t>
      </w:r>
    </w:p>
    <w:p w14:paraId="0000005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you have Excel’s Data Analysis ToolPak enabled, this tool can quickly provide key summary statistics:</w:t>
      </w:r>
    </w:p>
    <w:p w14:paraId="00000054">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Enable Data Analysis ToolPak (if not already enabled):</w:t>
      </w:r>
    </w:p>
    <w:p w14:paraId="00000055">
      <w:pPr>
        <w:numPr>
          <w:ilvl w:val="1"/>
          <w:numId w:val="3"/>
        </w:numPr>
        <w:spacing w:before="0" w:after="0" w:line="360" w:lineRule="auto"/>
        <w:ind w:left="1440" w:hanging="360"/>
        <w:jc w:val="both"/>
      </w:pPr>
      <w:r>
        <w:rPr>
          <w:rFonts w:ascii="Times New Roman" w:hAnsi="Times New Roman" w:eastAsia="Times New Roman" w:cs="Times New Roman"/>
          <w:sz w:val="24"/>
          <w:szCs w:val="24"/>
          <w:rtl w:val="0"/>
        </w:rPr>
        <w:t>Go to File &gt; Options &gt; Add-Ins.</w:t>
      </w:r>
    </w:p>
    <w:p w14:paraId="00000056">
      <w:pPr>
        <w:numPr>
          <w:ilvl w:val="1"/>
          <w:numId w:val="3"/>
        </w:numPr>
        <w:spacing w:before="0" w:after="0" w:line="360" w:lineRule="auto"/>
        <w:ind w:left="1440" w:hanging="360"/>
        <w:jc w:val="both"/>
      </w:pPr>
      <w:r>
        <w:rPr>
          <w:rFonts w:ascii="Times New Roman" w:hAnsi="Times New Roman" w:eastAsia="Times New Roman" w:cs="Times New Roman"/>
          <w:sz w:val="24"/>
          <w:szCs w:val="24"/>
          <w:rtl w:val="0"/>
        </w:rPr>
        <w:t>In the Manage box, select "Excel Add-ins," then click Go.</w:t>
      </w:r>
    </w:p>
    <w:p w14:paraId="00000057">
      <w:pPr>
        <w:numPr>
          <w:ilvl w:val="1"/>
          <w:numId w:val="3"/>
        </w:numPr>
        <w:spacing w:before="0" w:after="0" w:line="360" w:lineRule="auto"/>
        <w:ind w:left="1440" w:hanging="360"/>
        <w:jc w:val="both"/>
      </w:pPr>
      <w:r>
        <w:rPr>
          <w:rFonts w:ascii="Times New Roman" w:hAnsi="Times New Roman" w:eastAsia="Times New Roman" w:cs="Times New Roman"/>
          <w:sz w:val="24"/>
          <w:szCs w:val="24"/>
          <w:rtl w:val="0"/>
        </w:rPr>
        <w:t>Check "Analysis ToolPak" and click OK.</w:t>
      </w:r>
    </w:p>
    <w:p w14:paraId="00000058">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Run Descriptive Statistics:</w:t>
      </w:r>
    </w:p>
    <w:p w14:paraId="00000059">
      <w:pPr>
        <w:numPr>
          <w:ilvl w:val="1"/>
          <w:numId w:val="3"/>
        </w:numPr>
        <w:spacing w:before="0" w:after="0" w:line="360" w:lineRule="auto"/>
        <w:ind w:left="1440" w:hanging="360"/>
        <w:jc w:val="both"/>
      </w:pPr>
      <w:r>
        <w:rPr>
          <w:rFonts w:ascii="Times New Roman" w:hAnsi="Times New Roman" w:eastAsia="Times New Roman" w:cs="Times New Roman"/>
          <w:sz w:val="24"/>
          <w:szCs w:val="24"/>
          <w:rtl w:val="0"/>
        </w:rPr>
        <w:t xml:space="preserve">Go to the </w:t>
      </w:r>
      <w:r>
        <w:rPr>
          <w:rFonts w:ascii="Times New Roman" w:hAnsi="Times New Roman" w:eastAsia="Times New Roman" w:cs="Times New Roman"/>
          <w:b w:val="0"/>
          <w:sz w:val="24"/>
          <w:szCs w:val="24"/>
          <w:rtl w:val="0"/>
        </w:rPr>
        <w:t>Data</w:t>
      </w:r>
      <w:r>
        <w:rPr>
          <w:rFonts w:ascii="Times New Roman" w:hAnsi="Times New Roman" w:eastAsia="Times New Roman" w:cs="Times New Roman"/>
          <w:sz w:val="24"/>
          <w:szCs w:val="24"/>
          <w:rtl w:val="0"/>
        </w:rPr>
        <w:t xml:space="preserve"> tab and select </w:t>
      </w:r>
      <w:r>
        <w:rPr>
          <w:rFonts w:ascii="Times New Roman" w:hAnsi="Times New Roman" w:eastAsia="Times New Roman" w:cs="Times New Roman"/>
          <w:b w:val="0"/>
          <w:sz w:val="24"/>
          <w:szCs w:val="24"/>
          <w:rtl w:val="0"/>
        </w:rPr>
        <w:t>Data Analysis</w:t>
      </w:r>
      <w:r>
        <w:rPr>
          <w:rFonts w:ascii="Times New Roman" w:hAnsi="Times New Roman" w:eastAsia="Times New Roman" w:cs="Times New Roman"/>
          <w:sz w:val="24"/>
          <w:szCs w:val="24"/>
          <w:rtl w:val="0"/>
        </w:rPr>
        <w:t>.</w:t>
      </w:r>
    </w:p>
    <w:p w14:paraId="0000005A">
      <w:pPr>
        <w:numPr>
          <w:ilvl w:val="1"/>
          <w:numId w:val="3"/>
        </w:numPr>
        <w:spacing w:before="0" w:after="0" w:line="360" w:lineRule="auto"/>
        <w:ind w:left="1440" w:hanging="360"/>
        <w:jc w:val="both"/>
      </w:pPr>
      <w:r>
        <w:rPr>
          <w:rFonts w:ascii="Times New Roman" w:hAnsi="Times New Roman" w:eastAsia="Times New Roman" w:cs="Times New Roman"/>
          <w:sz w:val="24"/>
          <w:szCs w:val="24"/>
          <w:rtl w:val="0"/>
        </w:rPr>
        <w:t xml:space="preserve">Choose </w:t>
      </w:r>
      <w:r>
        <w:rPr>
          <w:rFonts w:ascii="Times New Roman" w:hAnsi="Times New Roman" w:eastAsia="Times New Roman" w:cs="Times New Roman"/>
          <w:b w:val="0"/>
          <w:sz w:val="24"/>
          <w:szCs w:val="24"/>
          <w:rtl w:val="0"/>
        </w:rPr>
        <w:t>Descriptive Statistics</w:t>
      </w:r>
      <w:r>
        <w:rPr>
          <w:rFonts w:ascii="Times New Roman" w:hAnsi="Times New Roman" w:eastAsia="Times New Roman" w:cs="Times New Roman"/>
          <w:sz w:val="24"/>
          <w:szCs w:val="24"/>
          <w:rtl w:val="0"/>
        </w:rPr>
        <w:t xml:space="preserve"> from the list and click OK.</w:t>
      </w:r>
    </w:p>
    <w:p w14:paraId="0000005B">
      <w:pPr>
        <w:numPr>
          <w:ilvl w:val="1"/>
          <w:numId w:val="3"/>
        </w:numPr>
        <w:spacing w:before="0" w:after="0" w:line="360" w:lineRule="auto"/>
        <w:ind w:left="1440" w:hanging="360"/>
        <w:jc w:val="both"/>
      </w:pPr>
      <w:r>
        <w:rPr>
          <w:rFonts w:ascii="Times New Roman" w:hAnsi="Times New Roman" w:eastAsia="Times New Roman" w:cs="Times New Roman"/>
          <w:b w:val="0"/>
          <w:sz w:val="24"/>
          <w:szCs w:val="24"/>
          <w:rtl w:val="0"/>
        </w:rPr>
        <w:t>Input Range</w:t>
      </w:r>
      <w:r>
        <w:rPr>
          <w:rFonts w:ascii="Times New Roman" w:hAnsi="Times New Roman" w:eastAsia="Times New Roman" w:cs="Times New Roman"/>
          <w:sz w:val="24"/>
          <w:szCs w:val="24"/>
          <w:rtl w:val="0"/>
        </w:rPr>
        <w:t>: Select the data range for the column you want to analyze (e.g., Prices, Quantities, or Sales).</w:t>
      </w:r>
    </w:p>
    <w:p w14:paraId="0000005C">
      <w:pPr>
        <w:numPr>
          <w:ilvl w:val="1"/>
          <w:numId w:val="3"/>
        </w:numPr>
        <w:spacing w:before="0" w:after="0" w:line="360" w:lineRule="auto"/>
        <w:ind w:left="1440" w:hanging="360"/>
        <w:jc w:val="both"/>
      </w:pPr>
      <w:r>
        <w:rPr>
          <w:rFonts w:ascii="Times New Roman" w:hAnsi="Times New Roman" w:eastAsia="Times New Roman" w:cs="Times New Roman"/>
          <w:b w:val="0"/>
          <w:sz w:val="24"/>
          <w:szCs w:val="24"/>
          <w:rtl w:val="0"/>
        </w:rPr>
        <w:t>Output Range</w:t>
      </w:r>
      <w:r>
        <w:rPr>
          <w:rFonts w:ascii="Times New Roman" w:hAnsi="Times New Roman" w:eastAsia="Times New Roman" w:cs="Times New Roman"/>
          <w:sz w:val="24"/>
          <w:szCs w:val="24"/>
          <w:rtl w:val="0"/>
        </w:rPr>
        <w:t>: Choose where in the sheet you want the results displayed.</w:t>
      </w:r>
    </w:p>
    <w:p w14:paraId="0000005D">
      <w:pPr>
        <w:numPr>
          <w:ilvl w:val="1"/>
          <w:numId w:val="3"/>
        </w:numPr>
        <w:spacing w:before="0" w:after="280" w:line="360" w:lineRule="auto"/>
        <w:ind w:left="1440" w:hanging="360"/>
        <w:jc w:val="both"/>
      </w:pPr>
      <w:r>
        <w:rPr>
          <w:rFonts w:ascii="Times New Roman" w:hAnsi="Times New Roman" w:eastAsia="Times New Roman" w:cs="Times New Roman"/>
          <w:sz w:val="24"/>
          <w:szCs w:val="24"/>
          <w:rtl w:val="0"/>
        </w:rPr>
        <w:t xml:space="preserve">Check the box labeled </w:t>
      </w:r>
      <w:r>
        <w:rPr>
          <w:rFonts w:ascii="Times New Roman" w:hAnsi="Times New Roman" w:eastAsia="Times New Roman" w:cs="Times New Roman"/>
          <w:b w:val="0"/>
          <w:sz w:val="24"/>
          <w:szCs w:val="24"/>
          <w:rtl w:val="0"/>
        </w:rPr>
        <w:t>Summary Statistics</w:t>
      </w:r>
      <w:r>
        <w:rPr>
          <w:rFonts w:ascii="Times New Roman" w:hAnsi="Times New Roman" w:eastAsia="Times New Roman" w:cs="Times New Roman"/>
          <w:sz w:val="24"/>
          <w:szCs w:val="24"/>
          <w:rtl w:val="0"/>
        </w:rPr>
        <w:t xml:space="preserve"> and then click OK.</w:t>
      </w:r>
    </w:p>
    <w:p w14:paraId="0000005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For each selected column, you’ll receive:</w:t>
      </w:r>
    </w:p>
    <w:p w14:paraId="0000005F">
      <w:pPr>
        <w:numPr>
          <w:ilvl w:val="1"/>
          <w:numId w:val="3"/>
        </w:numPr>
        <w:spacing w:before="280" w:after="0" w:line="360" w:lineRule="auto"/>
        <w:ind w:left="1440" w:hanging="360"/>
        <w:jc w:val="both"/>
      </w:pPr>
      <w:r>
        <w:rPr>
          <w:rFonts w:ascii="Times New Roman" w:hAnsi="Times New Roman" w:eastAsia="Times New Roman" w:cs="Times New Roman"/>
          <w:b w:val="0"/>
          <w:sz w:val="24"/>
          <w:szCs w:val="24"/>
          <w:rtl w:val="0"/>
        </w:rPr>
        <w:t>Mean</w:t>
      </w:r>
      <w:r>
        <w:rPr>
          <w:rFonts w:ascii="Times New Roman" w:hAnsi="Times New Roman" w:eastAsia="Times New Roman" w:cs="Times New Roman"/>
          <w:sz w:val="24"/>
          <w:szCs w:val="24"/>
          <w:rtl w:val="0"/>
        </w:rPr>
        <w:t xml:space="preserve"> (average): Central tendency of the values.</w:t>
      </w:r>
    </w:p>
    <w:p w14:paraId="00000060">
      <w:pPr>
        <w:numPr>
          <w:ilvl w:val="1"/>
          <w:numId w:val="3"/>
        </w:numPr>
        <w:spacing w:before="0" w:after="0" w:line="360" w:lineRule="auto"/>
        <w:ind w:left="1440" w:hanging="360"/>
        <w:jc w:val="both"/>
      </w:pPr>
      <w:r>
        <w:rPr>
          <w:rFonts w:ascii="Times New Roman" w:hAnsi="Times New Roman" w:eastAsia="Times New Roman" w:cs="Times New Roman"/>
          <w:b w:val="0"/>
          <w:sz w:val="24"/>
          <w:szCs w:val="24"/>
          <w:rtl w:val="0"/>
        </w:rPr>
        <w:t>Median</w:t>
      </w:r>
      <w:r>
        <w:rPr>
          <w:rFonts w:ascii="Times New Roman" w:hAnsi="Times New Roman" w:eastAsia="Times New Roman" w:cs="Times New Roman"/>
          <w:sz w:val="24"/>
          <w:szCs w:val="24"/>
          <w:rtl w:val="0"/>
        </w:rPr>
        <w:t>: The midpoint value, which can show skewness.</w:t>
      </w:r>
    </w:p>
    <w:p w14:paraId="00000061">
      <w:pPr>
        <w:numPr>
          <w:ilvl w:val="1"/>
          <w:numId w:val="3"/>
        </w:numPr>
        <w:spacing w:before="0" w:after="0" w:line="360" w:lineRule="auto"/>
        <w:ind w:left="1440" w:hanging="360"/>
        <w:jc w:val="both"/>
      </w:pPr>
      <w:r>
        <w:rPr>
          <w:rFonts w:ascii="Times New Roman" w:hAnsi="Times New Roman" w:eastAsia="Times New Roman" w:cs="Times New Roman"/>
          <w:b w:val="0"/>
          <w:sz w:val="24"/>
          <w:szCs w:val="24"/>
          <w:rtl w:val="0"/>
        </w:rPr>
        <w:t>Mode</w:t>
      </w:r>
      <w:r>
        <w:rPr>
          <w:rFonts w:ascii="Times New Roman" w:hAnsi="Times New Roman" w:eastAsia="Times New Roman" w:cs="Times New Roman"/>
          <w:sz w:val="24"/>
          <w:szCs w:val="24"/>
          <w:rtl w:val="0"/>
        </w:rPr>
        <w:t>: The most frequently occurring value.</w:t>
      </w:r>
    </w:p>
    <w:p w14:paraId="00000062">
      <w:pPr>
        <w:numPr>
          <w:ilvl w:val="1"/>
          <w:numId w:val="3"/>
        </w:numPr>
        <w:spacing w:before="0" w:after="0" w:line="360" w:lineRule="auto"/>
        <w:ind w:left="1440" w:hanging="360"/>
        <w:jc w:val="both"/>
      </w:pPr>
      <w:r>
        <w:rPr>
          <w:rFonts w:ascii="Times New Roman" w:hAnsi="Times New Roman" w:eastAsia="Times New Roman" w:cs="Times New Roman"/>
          <w:b w:val="0"/>
          <w:sz w:val="24"/>
          <w:szCs w:val="24"/>
          <w:rtl w:val="0"/>
        </w:rPr>
        <w:t>Standard Deviation</w:t>
      </w:r>
      <w:r>
        <w:rPr>
          <w:rFonts w:ascii="Times New Roman" w:hAnsi="Times New Roman" w:eastAsia="Times New Roman" w:cs="Times New Roman"/>
          <w:sz w:val="24"/>
          <w:szCs w:val="24"/>
          <w:rtl w:val="0"/>
        </w:rPr>
        <w:t>: Indicates data spread or variability.</w:t>
      </w:r>
    </w:p>
    <w:p w14:paraId="00000063">
      <w:pPr>
        <w:numPr>
          <w:ilvl w:val="1"/>
          <w:numId w:val="3"/>
        </w:numPr>
        <w:spacing w:before="0" w:after="280" w:line="360" w:lineRule="auto"/>
        <w:ind w:left="1440" w:hanging="360"/>
        <w:jc w:val="both"/>
      </w:pPr>
      <w:r>
        <w:rPr>
          <w:rFonts w:ascii="Times New Roman" w:hAnsi="Times New Roman" w:eastAsia="Times New Roman" w:cs="Times New Roman"/>
          <w:b w:val="0"/>
          <w:sz w:val="24"/>
          <w:szCs w:val="24"/>
          <w:rtl w:val="0"/>
        </w:rPr>
        <w:t>Minimum and Maximum</w:t>
      </w:r>
      <w:r>
        <w:rPr>
          <w:rFonts w:ascii="Times New Roman" w:hAnsi="Times New Roman" w:eastAsia="Times New Roman" w:cs="Times New Roman"/>
          <w:sz w:val="24"/>
          <w:szCs w:val="24"/>
          <w:rtl w:val="0"/>
        </w:rPr>
        <w:t>: Range of values.</w:t>
      </w:r>
    </w:p>
    <w:p w14:paraId="00000064">
      <w:pPr>
        <w:spacing w:line="360" w:lineRule="auto"/>
        <w:rPr>
          <w:rFonts w:ascii="Times New Roman" w:hAnsi="Times New Roman" w:eastAsia="Times New Roman" w:cs="Times New Roman"/>
          <w:sz w:val="24"/>
          <w:szCs w:val="24"/>
        </w:rPr>
      </w:pPr>
    </w:p>
    <w:p w14:paraId="00000065">
      <w:pPr>
        <w:jc w:val="both"/>
        <w:rPr>
          <w:rFonts w:ascii="Times New Roman" w:hAnsi="Times New Roman" w:eastAsia="Times New Roman" w:cs="Times New Roman"/>
          <w:sz w:val="24"/>
          <w:szCs w:val="24"/>
        </w:rPr>
      </w:pPr>
    </w:p>
    <w:p w14:paraId="00000066">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 this project, a hypothetical dataset representing EDGE program participant data was analyzed:</w:t>
      </w:r>
    </w:p>
    <w:p w14:paraId="00000067">
      <w:pPr>
        <w:spacing w:line="360" w:lineRule="auto"/>
        <w:jc w:val="both"/>
        <w:rPr>
          <w:rFonts w:ascii="Times New Roman" w:hAnsi="Times New Roman" w:eastAsia="Times New Roman" w:cs="Times New Roman"/>
          <w:sz w:val="24"/>
          <w:szCs w:val="24"/>
        </w:rPr>
      </w:pPr>
    </w:p>
    <w:p w14:paraId="00000068">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Dataset Overview: The dataset contains product ID, product name, opening Stock, purchase/</w:t>
      </w:r>
    </w:p>
    <w:p w14:paraId="00000069">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stock in number of units sold hand-in-stock, cost price per unit (usd), cost price</w:t>
      </w:r>
    </w:p>
    <w:p w14:paraId="0000006A">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total (usd). These variables capture various aspects of the elements impact.</w:t>
      </w:r>
    </w:p>
    <w:p w14:paraId="0000006B">
      <w:pPr>
        <w:spacing w:line="360" w:lineRule="auto"/>
        <w:jc w:val="both"/>
        <w:rPr>
          <w:rFonts w:ascii="Times New Roman" w:hAnsi="Times New Roman" w:eastAsia="Times New Roman" w:cs="Times New Roman"/>
          <w:sz w:val="24"/>
          <w:szCs w:val="24"/>
        </w:rPr>
      </w:pPr>
    </w:p>
    <w:p w14:paraId="0000006C">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Findings and Interpretations</w:t>
      </w:r>
    </w:p>
    <w:p w14:paraId="0000006D">
      <w:pPr>
        <w:spacing w:line="360" w:lineRule="auto"/>
        <w:jc w:val="both"/>
        <w:rPr>
          <w:rFonts w:ascii="Times New Roman" w:hAnsi="Times New Roman" w:eastAsia="Times New Roman" w:cs="Times New Roman"/>
          <w:b/>
          <w:sz w:val="24"/>
          <w:szCs w:val="24"/>
        </w:rPr>
      </w:pPr>
    </w:p>
    <w:p w14:paraId="0000006E">
      <w:pPr>
        <w:spacing w:line="360" w:lineRule="auto"/>
        <w:jc w:val="both"/>
        <w:rPr>
          <w:rFonts w:ascii="Times New Roman" w:hAnsi="Times New Roman" w:eastAsia="Times New Roman" w:cs="Times New Roman"/>
          <w:b/>
          <w:sz w:val="24"/>
          <w:szCs w:val="24"/>
        </w:rPr>
      </w:pPr>
    </w:p>
    <w:tbl>
      <w:tblPr>
        <w:tblStyle w:val="13"/>
        <w:tblW w:w="20766" w:type="dxa"/>
        <w:tblInd w:w="0" w:type="dxa"/>
        <w:tblLayout w:type="fixed"/>
        <w:tblCellMar>
          <w:top w:w="0" w:type="dxa"/>
          <w:left w:w="115" w:type="dxa"/>
          <w:bottom w:w="0" w:type="dxa"/>
          <w:right w:w="115" w:type="dxa"/>
        </w:tblCellMar>
      </w:tblPr>
      <w:tblGrid>
        <w:gridCol w:w="1960"/>
        <w:gridCol w:w="1501"/>
        <w:gridCol w:w="1960"/>
        <w:gridCol w:w="1501"/>
        <w:gridCol w:w="1960"/>
        <w:gridCol w:w="1501"/>
        <w:gridCol w:w="1960"/>
        <w:gridCol w:w="1501"/>
        <w:gridCol w:w="1960"/>
        <w:gridCol w:w="1501"/>
        <w:gridCol w:w="1960"/>
        <w:gridCol w:w="1501"/>
      </w:tblGrid>
      <w:tr w14:paraId="0236F3D0">
        <w:tblPrEx>
          <w:tblCellMar>
            <w:top w:w="0" w:type="dxa"/>
            <w:left w:w="115" w:type="dxa"/>
            <w:bottom w:w="0" w:type="dxa"/>
            <w:right w:w="115" w:type="dxa"/>
          </w:tblCellMar>
        </w:tblPrEx>
        <w:trPr>
          <w:trHeight w:val="552" w:hRule="atLeast"/>
        </w:trPr>
        <w:tc>
          <w:tcPr>
            <w:tcBorders>
              <w:top w:val="single" w:color="000000" w:sz="4" w:space="0"/>
              <w:left w:val="single" w:color="000000" w:sz="4" w:space="0"/>
              <w:bottom w:val="single" w:color="000000" w:sz="4" w:space="0"/>
              <w:right w:val="single" w:color="000000" w:sz="4" w:space="0"/>
            </w:tcBorders>
            <w:shd w:val="clear" w:color="auto" w:fill="auto"/>
            <w:vAlign w:val="bottom"/>
          </w:tcPr>
          <w:p w14:paraId="0000006F">
            <w:pPr>
              <w:spacing w:line="240" w:lineRule="auto"/>
              <w:jc w:val="center"/>
              <w:rPr>
                <w:rFonts w:ascii="Times New Roman" w:hAnsi="Times New Roman" w:eastAsia="Times New Roman" w:cs="Times New Roman"/>
                <w:b/>
                <w:i/>
                <w:color w:val="000000"/>
                <w:sz w:val="18"/>
                <w:szCs w:val="18"/>
              </w:rPr>
            </w:pPr>
            <w:r>
              <w:rPr>
                <w:rFonts w:ascii="Times New Roman" w:hAnsi="Times New Roman" w:eastAsia="Times New Roman" w:cs="Times New Roman"/>
                <w:b/>
                <w:i/>
                <w:color w:val="000000"/>
                <w:sz w:val="18"/>
                <w:szCs w:val="18"/>
                <w:rtl w:val="0"/>
              </w:rPr>
              <w:t xml:space="preserve">Opening </w:t>
            </w:r>
            <w:r>
              <w:rPr>
                <w:rFonts w:ascii="Times New Roman" w:hAnsi="Times New Roman" w:eastAsia="Times New Roman" w:cs="Times New Roman"/>
                <w:b/>
                <w:i/>
                <w:color w:val="000000"/>
                <w:sz w:val="18"/>
                <w:szCs w:val="18"/>
                <w:rtl w:val="0"/>
              </w:rPr>
              <w:br w:type="textWrapping"/>
            </w:r>
            <w:r>
              <w:rPr>
                <w:rFonts w:ascii="Times New Roman" w:hAnsi="Times New Roman" w:eastAsia="Times New Roman" w:cs="Times New Roman"/>
                <w:b/>
                <w:i/>
                <w:color w:val="000000"/>
                <w:sz w:val="18"/>
                <w:szCs w:val="18"/>
                <w:rtl w:val="0"/>
              </w:rPr>
              <w:t>Stock</w:t>
            </w:r>
          </w:p>
        </w:tc>
        <w:tc>
          <w:tcPr>
            <w:tcBorders>
              <w:top w:val="single" w:color="000000" w:sz="4" w:space="0"/>
              <w:left w:val="nil"/>
              <w:bottom w:val="single" w:color="000000" w:sz="4" w:space="0"/>
              <w:right w:val="single" w:color="000000" w:sz="4" w:space="0"/>
            </w:tcBorders>
            <w:shd w:val="clear" w:color="auto" w:fill="auto"/>
            <w:vAlign w:val="bottom"/>
          </w:tcPr>
          <w:p w14:paraId="00000070">
            <w:pPr>
              <w:spacing w:line="240" w:lineRule="auto"/>
              <w:jc w:val="center"/>
              <w:rPr>
                <w:rFonts w:ascii="Times New Roman" w:hAnsi="Times New Roman" w:eastAsia="Times New Roman" w:cs="Times New Roman"/>
                <w:b/>
                <w:i/>
                <w:color w:val="000000"/>
                <w:sz w:val="18"/>
                <w:szCs w:val="18"/>
              </w:rPr>
            </w:pPr>
            <w:r>
              <w:rPr>
                <w:rFonts w:ascii="Times New Roman" w:hAnsi="Times New Roman" w:eastAsia="Times New Roman" w:cs="Times New Roman"/>
                <w:b/>
                <w:i/>
                <w:color w:val="000000"/>
                <w:sz w:val="18"/>
                <w:szCs w:val="18"/>
                <w:rtl w:val="0"/>
              </w:rPr>
              <w:t> </w:t>
            </w:r>
          </w:p>
        </w:tc>
        <w:tc>
          <w:tcPr>
            <w:tcBorders>
              <w:top w:val="single" w:color="000000" w:sz="4" w:space="0"/>
              <w:left w:val="nil"/>
              <w:bottom w:val="single" w:color="000000" w:sz="4" w:space="0"/>
              <w:right w:val="single" w:color="000000" w:sz="4" w:space="0"/>
            </w:tcBorders>
            <w:shd w:val="clear" w:color="auto" w:fill="auto"/>
            <w:vAlign w:val="bottom"/>
          </w:tcPr>
          <w:p w14:paraId="00000071">
            <w:pPr>
              <w:spacing w:line="240" w:lineRule="auto"/>
              <w:jc w:val="center"/>
              <w:rPr>
                <w:rFonts w:ascii="Times New Roman" w:hAnsi="Times New Roman" w:eastAsia="Times New Roman" w:cs="Times New Roman"/>
                <w:b/>
                <w:i/>
                <w:color w:val="000000"/>
                <w:sz w:val="18"/>
                <w:szCs w:val="18"/>
              </w:rPr>
            </w:pPr>
            <w:r>
              <w:rPr>
                <w:rFonts w:ascii="Times New Roman" w:hAnsi="Times New Roman" w:eastAsia="Times New Roman" w:cs="Times New Roman"/>
                <w:b/>
                <w:i/>
                <w:color w:val="000000"/>
                <w:sz w:val="18"/>
                <w:szCs w:val="18"/>
                <w:rtl w:val="0"/>
              </w:rPr>
              <w:t>Purchase/</w:t>
            </w:r>
            <w:r>
              <w:rPr>
                <w:rFonts w:ascii="Times New Roman" w:hAnsi="Times New Roman" w:eastAsia="Times New Roman" w:cs="Times New Roman"/>
                <w:b/>
                <w:i/>
                <w:color w:val="000000"/>
                <w:sz w:val="18"/>
                <w:szCs w:val="18"/>
                <w:rtl w:val="0"/>
              </w:rPr>
              <w:br w:type="textWrapping"/>
            </w:r>
            <w:r>
              <w:rPr>
                <w:rFonts w:ascii="Times New Roman" w:hAnsi="Times New Roman" w:eastAsia="Times New Roman" w:cs="Times New Roman"/>
                <w:b/>
                <w:i/>
                <w:color w:val="000000"/>
                <w:sz w:val="18"/>
                <w:szCs w:val="18"/>
                <w:rtl w:val="0"/>
              </w:rPr>
              <w:t>Stock in</w:t>
            </w:r>
          </w:p>
        </w:tc>
        <w:tc>
          <w:tcPr>
            <w:tcBorders>
              <w:top w:val="single" w:color="000000" w:sz="4" w:space="0"/>
              <w:left w:val="nil"/>
              <w:bottom w:val="single" w:color="000000" w:sz="4" w:space="0"/>
              <w:right w:val="single" w:color="000000" w:sz="4" w:space="0"/>
            </w:tcBorders>
            <w:shd w:val="clear" w:color="auto" w:fill="auto"/>
            <w:vAlign w:val="bottom"/>
          </w:tcPr>
          <w:p w14:paraId="00000072">
            <w:pPr>
              <w:spacing w:line="240" w:lineRule="auto"/>
              <w:jc w:val="center"/>
              <w:rPr>
                <w:rFonts w:ascii="Times New Roman" w:hAnsi="Times New Roman" w:eastAsia="Times New Roman" w:cs="Times New Roman"/>
                <w:b/>
                <w:i/>
                <w:color w:val="000000"/>
                <w:sz w:val="18"/>
                <w:szCs w:val="18"/>
              </w:rPr>
            </w:pPr>
            <w:r>
              <w:rPr>
                <w:rFonts w:ascii="Times New Roman" w:hAnsi="Times New Roman" w:eastAsia="Times New Roman" w:cs="Times New Roman"/>
                <w:b/>
                <w:i/>
                <w:color w:val="000000"/>
                <w:sz w:val="18"/>
                <w:szCs w:val="18"/>
                <w:rtl w:val="0"/>
              </w:rPr>
              <w:t> </w:t>
            </w:r>
          </w:p>
        </w:tc>
        <w:tc>
          <w:tcPr>
            <w:tcBorders>
              <w:top w:val="single" w:color="000000" w:sz="4" w:space="0"/>
              <w:left w:val="nil"/>
              <w:bottom w:val="single" w:color="000000" w:sz="4" w:space="0"/>
              <w:right w:val="single" w:color="000000" w:sz="4" w:space="0"/>
            </w:tcBorders>
            <w:shd w:val="clear" w:color="auto" w:fill="auto"/>
            <w:vAlign w:val="bottom"/>
          </w:tcPr>
          <w:p w14:paraId="00000073">
            <w:pPr>
              <w:spacing w:line="240" w:lineRule="auto"/>
              <w:jc w:val="center"/>
              <w:rPr>
                <w:rFonts w:ascii="Times New Roman" w:hAnsi="Times New Roman" w:eastAsia="Times New Roman" w:cs="Times New Roman"/>
                <w:b/>
                <w:i/>
                <w:color w:val="000000"/>
                <w:sz w:val="18"/>
                <w:szCs w:val="18"/>
              </w:rPr>
            </w:pPr>
            <w:r>
              <w:rPr>
                <w:rFonts w:ascii="Times New Roman" w:hAnsi="Times New Roman" w:eastAsia="Times New Roman" w:cs="Times New Roman"/>
                <w:b/>
                <w:i/>
                <w:color w:val="000000"/>
                <w:sz w:val="18"/>
                <w:szCs w:val="18"/>
                <w:rtl w:val="0"/>
              </w:rPr>
              <w:t xml:space="preserve">Number of </w:t>
            </w:r>
            <w:r>
              <w:rPr>
                <w:rFonts w:ascii="Times New Roman" w:hAnsi="Times New Roman" w:eastAsia="Times New Roman" w:cs="Times New Roman"/>
                <w:b/>
                <w:i/>
                <w:color w:val="000000"/>
                <w:sz w:val="18"/>
                <w:szCs w:val="18"/>
                <w:rtl w:val="0"/>
              </w:rPr>
              <w:br w:type="textWrapping"/>
            </w:r>
            <w:r>
              <w:rPr>
                <w:rFonts w:ascii="Times New Roman" w:hAnsi="Times New Roman" w:eastAsia="Times New Roman" w:cs="Times New Roman"/>
                <w:b/>
                <w:i/>
                <w:color w:val="000000"/>
                <w:sz w:val="18"/>
                <w:szCs w:val="18"/>
                <w:rtl w:val="0"/>
              </w:rPr>
              <w:t>Units Sold</w:t>
            </w:r>
          </w:p>
        </w:tc>
        <w:tc>
          <w:tcPr>
            <w:tcBorders>
              <w:top w:val="single" w:color="000000" w:sz="4" w:space="0"/>
              <w:left w:val="nil"/>
              <w:bottom w:val="single" w:color="000000" w:sz="4" w:space="0"/>
              <w:right w:val="single" w:color="000000" w:sz="4" w:space="0"/>
            </w:tcBorders>
            <w:shd w:val="clear" w:color="auto" w:fill="auto"/>
            <w:vAlign w:val="bottom"/>
          </w:tcPr>
          <w:p w14:paraId="00000074">
            <w:pPr>
              <w:spacing w:line="240" w:lineRule="auto"/>
              <w:jc w:val="center"/>
              <w:rPr>
                <w:rFonts w:ascii="Times New Roman" w:hAnsi="Times New Roman" w:eastAsia="Times New Roman" w:cs="Times New Roman"/>
                <w:b/>
                <w:i/>
                <w:color w:val="000000"/>
                <w:sz w:val="18"/>
                <w:szCs w:val="18"/>
              </w:rPr>
            </w:pPr>
            <w:r>
              <w:rPr>
                <w:rFonts w:ascii="Times New Roman" w:hAnsi="Times New Roman" w:eastAsia="Times New Roman" w:cs="Times New Roman"/>
                <w:b/>
                <w:i/>
                <w:color w:val="000000"/>
                <w:sz w:val="18"/>
                <w:szCs w:val="18"/>
                <w:rtl w:val="0"/>
              </w:rPr>
              <w:t> </w:t>
            </w:r>
          </w:p>
        </w:tc>
        <w:tc>
          <w:tcPr>
            <w:tcBorders>
              <w:top w:val="single" w:color="000000" w:sz="4" w:space="0"/>
              <w:left w:val="nil"/>
              <w:bottom w:val="single" w:color="000000" w:sz="4" w:space="0"/>
              <w:right w:val="single" w:color="000000" w:sz="4" w:space="0"/>
            </w:tcBorders>
            <w:shd w:val="clear" w:color="auto" w:fill="auto"/>
            <w:vAlign w:val="bottom"/>
          </w:tcPr>
          <w:p w14:paraId="00000075">
            <w:pPr>
              <w:spacing w:line="240" w:lineRule="auto"/>
              <w:jc w:val="center"/>
              <w:rPr>
                <w:rFonts w:ascii="Times New Roman" w:hAnsi="Times New Roman" w:eastAsia="Times New Roman" w:cs="Times New Roman"/>
                <w:b/>
                <w:i/>
                <w:color w:val="000000"/>
                <w:sz w:val="18"/>
                <w:szCs w:val="18"/>
              </w:rPr>
            </w:pPr>
            <w:r>
              <w:rPr>
                <w:rFonts w:ascii="Times New Roman" w:hAnsi="Times New Roman" w:eastAsia="Times New Roman" w:cs="Times New Roman"/>
                <w:b/>
                <w:i/>
                <w:color w:val="000000"/>
                <w:sz w:val="18"/>
                <w:szCs w:val="18"/>
                <w:rtl w:val="0"/>
              </w:rPr>
              <w:t>Hand-In-</w:t>
            </w:r>
            <w:r>
              <w:rPr>
                <w:rFonts w:ascii="Times New Roman" w:hAnsi="Times New Roman" w:eastAsia="Times New Roman" w:cs="Times New Roman"/>
                <w:b/>
                <w:i/>
                <w:color w:val="000000"/>
                <w:sz w:val="18"/>
                <w:szCs w:val="18"/>
                <w:rtl w:val="0"/>
              </w:rPr>
              <w:br w:type="textWrapping"/>
            </w:r>
            <w:r>
              <w:rPr>
                <w:rFonts w:ascii="Times New Roman" w:hAnsi="Times New Roman" w:eastAsia="Times New Roman" w:cs="Times New Roman"/>
                <w:b/>
                <w:i/>
                <w:color w:val="000000"/>
                <w:sz w:val="18"/>
                <w:szCs w:val="18"/>
                <w:rtl w:val="0"/>
              </w:rPr>
              <w:t>Stock</w:t>
            </w:r>
          </w:p>
        </w:tc>
        <w:tc>
          <w:tcPr>
            <w:tcBorders>
              <w:top w:val="single" w:color="000000" w:sz="4" w:space="0"/>
              <w:left w:val="nil"/>
              <w:bottom w:val="single" w:color="000000" w:sz="4" w:space="0"/>
              <w:right w:val="single" w:color="000000" w:sz="4" w:space="0"/>
            </w:tcBorders>
            <w:shd w:val="clear" w:color="auto" w:fill="auto"/>
            <w:vAlign w:val="bottom"/>
          </w:tcPr>
          <w:p w14:paraId="00000076">
            <w:pPr>
              <w:spacing w:line="240" w:lineRule="auto"/>
              <w:jc w:val="center"/>
              <w:rPr>
                <w:rFonts w:ascii="Times New Roman" w:hAnsi="Times New Roman" w:eastAsia="Times New Roman" w:cs="Times New Roman"/>
                <w:b/>
                <w:i/>
                <w:color w:val="000000"/>
                <w:sz w:val="18"/>
                <w:szCs w:val="18"/>
              </w:rPr>
            </w:pPr>
            <w:r>
              <w:rPr>
                <w:rFonts w:ascii="Times New Roman" w:hAnsi="Times New Roman" w:eastAsia="Times New Roman" w:cs="Times New Roman"/>
                <w:b/>
                <w:i/>
                <w:color w:val="000000"/>
                <w:sz w:val="18"/>
                <w:szCs w:val="18"/>
                <w:rtl w:val="0"/>
              </w:rPr>
              <w:t> </w:t>
            </w:r>
          </w:p>
        </w:tc>
        <w:tc>
          <w:tcPr>
            <w:tcBorders>
              <w:top w:val="single" w:color="000000" w:sz="4" w:space="0"/>
              <w:left w:val="nil"/>
              <w:bottom w:val="single" w:color="000000" w:sz="4" w:space="0"/>
              <w:right w:val="single" w:color="000000" w:sz="4" w:space="0"/>
            </w:tcBorders>
            <w:shd w:val="clear" w:color="auto" w:fill="auto"/>
            <w:vAlign w:val="bottom"/>
          </w:tcPr>
          <w:p w14:paraId="00000077">
            <w:pPr>
              <w:spacing w:line="240" w:lineRule="auto"/>
              <w:jc w:val="center"/>
              <w:rPr>
                <w:rFonts w:ascii="Aptos Narrow" w:hAnsi="Aptos Narrow" w:eastAsia="Aptos Narrow" w:cs="Aptos Narrow"/>
                <w:b/>
                <w:i/>
                <w:color w:val="000000"/>
                <w:sz w:val="18"/>
                <w:szCs w:val="18"/>
              </w:rPr>
            </w:pPr>
            <w:r>
              <w:rPr>
                <w:rFonts w:ascii="Aptos Narrow" w:hAnsi="Aptos Narrow" w:eastAsia="Aptos Narrow" w:cs="Aptos Narrow"/>
                <w:b/>
                <w:i/>
                <w:color w:val="000000"/>
                <w:sz w:val="18"/>
                <w:szCs w:val="18"/>
                <w:rtl w:val="0"/>
              </w:rPr>
              <w:t xml:space="preserve">Cost Price </w:t>
            </w:r>
            <w:r>
              <w:rPr>
                <w:rFonts w:ascii="Aptos Narrow" w:hAnsi="Aptos Narrow" w:eastAsia="Aptos Narrow" w:cs="Aptos Narrow"/>
                <w:b/>
                <w:i/>
                <w:color w:val="000000"/>
                <w:sz w:val="18"/>
                <w:szCs w:val="18"/>
                <w:rtl w:val="0"/>
              </w:rPr>
              <w:br w:type="textWrapping"/>
            </w:r>
            <w:r>
              <w:rPr>
                <w:rFonts w:ascii="Aptos Narrow" w:hAnsi="Aptos Narrow" w:eastAsia="Aptos Narrow" w:cs="Aptos Narrow"/>
                <w:b/>
                <w:i/>
                <w:color w:val="000000"/>
                <w:sz w:val="18"/>
                <w:szCs w:val="18"/>
                <w:rtl w:val="0"/>
              </w:rPr>
              <w:t>Per Unit (USD)</w:t>
            </w:r>
          </w:p>
        </w:tc>
        <w:tc>
          <w:tcPr>
            <w:tcBorders>
              <w:top w:val="single" w:color="000000" w:sz="4" w:space="0"/>
              <w:left w:val="nil"/>
              <w:bottom w:val="single" w:color="000000" w:sz="4" w:space="0"/>
              <w:right w:val="single" w:color="000000" w:sz="4" w:space="0"/>
            </w:tcBorders>
            <w:shd w:val="clear" w:color="auto" w:fill="auto"/>
            <w:vAlign w:val="bottom"/>
          </w:tcPr>
          <w:p w14:paraId="00000078">
            <w:pPr>
              <w:spacing w:line="240" w:lineRule="auto"/>
              <w:jc w:val="center"/>
              <w:rPr>
                <w:rFonts w:ascii="Aptos Narrow" w:hAnsi="Aptos Narrow" w:eastAsia="Aptos Narrow" w:cs="Aptos Narrow"/>
                <w:b/>
                <w:i/>
                <w:color w:val="000000"/>
                <w:sz w:val="18"/>
                <w:szCs w:val="18"/>
              </w:rPr>
            </w:pPr>
            <w:r>
              <w:rPr>
                <w:rFonts w:ascii="Aptos Narrow" w:hAnsi="Aptos Narrow" w:eastAsia="Aptos Narrow" w:cs="Aptos Narrow"/>
                <w:b/>
                <w:i/>
                <w:color w:val="000000"/>
                <w:sz w:val="18"/>
                <w:szCs w:val="18"/>
                <w:rtl w:val="0"/>
              </w:rPr>
              <w:t> </w:t>
            </w:r>
          </w:p>
        </w:tc>
        <w:tc>
          <w:tcPr>
            <w:tcBorders>
              <w:top w:val="single" w:color="000000" w:sz="4" w:space="0"/>
              <w:left w:val="nil"/>
              <w:bottom w:val="single" w:color="000000" w:sz="4" w:space="0"/>
              <w:right w:val="single" w:color="000000" w:sz="4" w:space="0"/>
            </w:tcBorders>
            <w:shd w:val="clear" w:color="auto" w:fill="auto"/>
            <w:vAlign w:val="bottom"/>
          </w:tcPr>
          <w:p w14:paraId="00000079">
            <w:pPr>
              <w:spacing w:line="240" w:lineRule="auto"/>
              <w:jc w:val="center"/>
              <w:rPr>
                <w:rFonts w:ascii="Aptos Narrow" w:hAnsi="Aptos Narrow" w:eastAsia="Aptos Narrow" w:cs="Aptos Narrow"/>
                <w:b/>
                <w:i/>
                <w:color w:val="000000"/>
                <w:sz w:val="18"/>
                <w:szCs w:val="18"/>
              </w:rPr>
            </w:pPr>
            <w:r>
              <w:rPr>
                <w:rFonts w:ascii="Aptos Narrow" w:hAnsi="Aptos Narrow" w:eastAsia="Aptos Narrow" w:cs="Aptos Narrow"/>
                <w:b/>
                <w:i/>
                <w:color w:val="000000"/>
                <w:sz w:val="18"/>
                <w:szCs w:val="18"/>
                <w:rtl w:val="0"/>
              </w:rPr>
              <w:t>Cost Price</w:t>
            </w:r>
            <w:r>
              <w:rPr>
                <w:rFonts w:ascii="Aptos Narrow" w:hAnsi="Aptos Narrow" w:eastAsia="Aptos Narrow" w:cs="Aptos Narrow"/>
                <w:b/>
                <w:i/>
                <w:color w:val="000000"/>
                <w:sz w:val="18"/>
                <w:szCs w:val="18"/>
                <w:rtl w:val="0"/>
              </w:rPr>
              <w:br w:type="textWrapping"/>
            </w:r>
            <w:r>
              <w:rPr>
                <w:rFonts w:ascii="Aptos Narrow" w:hAnsi="Aptos Narrow" w:eastAsia="Aptos Narrow" w:cs="Aptos Narrow"/>
                <w:b/>
                <w:i/>
                <w:color w:val="000000"/>
                <w:sz w:val="18"/>
                <w:szCs w:val="18"/>
                <w:rtl w:val="0"/>
              </w:rPr>
              <w:t>Total (USD)</w:t>
            </w:r>
          </w:p>
        </w:tc>
        <w:tc>
          <w:tcPr>
            <w:tcBorders>
              <w:top w:val="single" w:color="000000" w:sz="4" w:space="0"/>
              <w:left w:val="nil"/>
              <w:bottom w:val="single" w:color="000000" w:sz="4" w:space="0"/>
              <w:right w:val="single" w:color="000000" w:sz="4" w:space="0"/>
            </w:tcBorders>
            <w:shd w:val="clear" w:color="auto" w:fill="auto"/>
            <w:vAlign w:val="bottom"/>
          </w:tcPr>
          <w:p w14:paraId="0000007A">
            <w:pPr>
              <w:spacing w:line="240" w:lineRule="auto"/>
              <w:jc w:val="center"/>
              <w:rPr>
                <w:rFonts w:ascii="Aptos Narrow" w:hAnsi="Aptos Narrow" w:eastAsia="Aptos Narrow" w:cs="Aptos Narrow"/>
                <w:b/>
                <w:i/>
                <w:color w:val="000000"/>
                <w:sz w:val="18"/>
                <w:szCs w:val="18"/>
              </w:rPr>
            </w:pPr>
            <w:r>
              <w:rPr>
                <w:rFonts w:ascii="Aptos Narrow" w:hAnsi="Aptos Narrow" w:eastAsia="Aptos Narrow" w:cs="Aptos Narrow"/>
                <w:b/>
                <w:i/>
                <w:color w:val="000000"/>
                <w:sz w:val="18"/>
                <w:szCs w:val="18"/>
                <w:rtl w:val="0"/>
              </w:rPr>
              <w:t> </w:t>
            </w:r>
          </w:p>
        </w:tc>
      </w:tr>
      <w:tr w14:paraId="2826B45A">
        <w:tblPrEx>
          <w:tblCellMar>
            <w:top w:w="0" w:type="dxa"/>
            <w:left w:w="115" w:type="dxa"/>
            <w:bottom w:w="0" w:type="dxa"/>
            <w:right w:w="115" w:type="dxa"/>
          </w:tblCellMar>
        </w:tblPrEx>
        <w:trPr>
          <w:trHeight w:val="276" w:hRule="atLeast"/>
        </w:trPr>
        <w:tc>
          <w:tcPr>
            <w:tcBorders>
              <w:top w:val="nil"/>
              <w:left w:val="single" w:color="000000" w:sz="4" w:space="0"/>
              <w:bottom w:val="single" w:color="000000" w:sz="4" w:space="0"/>
              <w:right w:val="single" w:color="000000" w:sz="4" w:space="0"/>
            </w:tcBorders>
            <w:shd w:val="clear" w:color="auto" w:fill="auto"/>
            <w:vAlign w:val="bottom"/>
          </w:tcPr>
          <w:p w14:paraId="0000007B">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 </w:t>
            </w:r>
          </w:p>
        </w:tc>
        <w:tc>
          <w:tcPr>
            <w:tcBorders>
              <w:top w:val="nil"/>
              <w:left w:val="nil"/>
              <w:bottom w:val="single" w:color="000000" w:sz="4" w:space="0"/>
              <w:right w:val="single" w:color="000000" w:sz="4" w:space="0"/>
            </w:tcBorders>
            <w:shd w:val="clear" w:color="auto" w:fill="auto"/>
            <w:vAlign w:val="bottom"/>
          </w:tcPr>
          <w:p w14:paraId="0000007C">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 </w:t>
            </w:r>
          </w:p>
        </w:tc>
        <w:tc>
          <w:tcPr>
            <w:tcBorders>
              <w:top w:val="nil"/>
              <w:left w:val="nil"/>
              <w:bottom w:val="single" w:color="000000" w:sz="4" w:space="0"/>
              <w:right w:val="single" w:color="000000" w:sz="4" w:space="0"/>
            </w:tcBorders>
            <w:shd w:val="clear" w:color="auto" w:fill="auto"/>
            <w:vAlign w:val="bottom"/>
          </w:tcPr>
          <w:p w14:paraId="0000007D">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 </w:t>
            </w:r>
          </w:p>
        </w:tc>
        <w:tc>
          <w:tcPr>
            <w:tcBorders>
              <w:top w:val="nil"/>
              <w:left w:val="nil"/>
              <w:bottom w:val="single" w:color="000000" w:sz="4" w:space="0"/>
              <w:right w:val="single" w:color="000000" w:sz="4" w:space="0"/>
            </w:tcBorders>
            <w:shd w:val="clear" w:color="auto" w:fill="auto"/>
            <w:vAlign w:val="bottom"/>
          </w:tcPr>
          <w:p w14:paraId="0000007E">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 </w:t>
            </w:r>
          </w:p>
        </w:tc>
        <w:tc>
          <w:tcPr>
            <w:tcBorders>
              <w:top w:val="nil"/>
              <w:left w:val="nil"/>
              <w:bottom w:val="single" w:color="000000" w:sz="4" w:space="0"/>
              <w:right w:val="single" w:color="000000" w:sz="4" w:space="0"/>
            </w:tcBorders>
            <w:shd w:val="clear" w:color="auto" w:fill="auto"/>
            <w:vAlign w:val="bottom"/>
          </w:tcPr>
          <w:p w14:paraId="0000007F">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 </w:t>
            </w:r>
          </w:p>
        </w:tc>
        <w:tc>
          <w:tcPr>
            <w:tcBorders>
              <w:top w:val="nil"/>
              <w:left w:val="nil"/>
              <w:bottom w:val="single" w:color="000000" w:sz="4" w:space="0"/>
              <w:right w:val="single" w:color="000000" w:sz="4" w:space="0"/>
            </w:tcBorders>
            <w:shd w:val="clear" w:color="auto" w:fill="auto"/>
            <w:vAlign w:val="bottom"/>
          </w:tcPr>
          <w:p w14:paraId="00000080">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 </w:t>
            </w:r>
          </w:p>
        </w:tc>
        <w:tc>
          <w:tcPr>
            <w:tcBorders>
              <w:top w:val="nil"/>
              <w:left w:val="nil"/>
              <w:bottom w:val="single" w:color="000000" w:sz="4" w:space="0"/>
              <w:right w:val="single" w:color="000000" w:sz="4" w:space="0"/>
            </w:tcBorders>
            <w:shd w:val="clear" w:color="auto" w:fill="auto"/>
            <w:vAlign w:val="bottom"/>
          </w:tcPr>
          <w:p w14:paraId="00000081">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 </w:t>
            </w:r>
          </w:p>
        </w:tc>
        <w:tc>
          <w:tcPr>
            <w:tcBorders>
              <w:top w:val="nil"/>
              <w:left w:val="nil"/>
              <w:bottom w:val="single" w:color="000000" w:sz="4" w:space="0"/>
              <w:right w:val="single" w:color="000000" w:sz="4" w:space="0"/>
            </w:tcBorders>
            <w:shd w:val="clear" w:color="auto" w:fill="auto"/>
            <w:vAlign w:val="bottom"/>
          </w:tcPr>
          <w:p w14:paraId="00000082">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 </w:t>
            </w:r>
          </w:p>
        </w:tc>
        <w:tc>
          <w:tcPr>
            <w:tcBorders>
              <w:top w:val="nil"/>
              <w:left w:val="nil"/>
              <w:bottom w:val="single" w:color="000000" w:sz="4" w:space="0"/>
              <w:right w:val="single" w:color="000000" w:sz="4" w:space="0"/>
            </w:tcBorders>
            <w:shd w:val="clear" w:color="auto" w:fill="auto"/>
            <w:vAlign w:val="bottom"/>
          </w:tcPr>
          <w:p w14:paraId="00000083">
            <w:pPr>
              <w:spacing w:line="240" w:lineRule="auto"/>
              <w:rPr>
                <w:color w:val="000000"/>
                <w:sz w:val="18"/>
                <w:szCs w:val="18"/>
              </w:rPr>
            </w:pPr>
            <w:r>
              <w:rPr>
                <w:color w:val="000000"/>
                <w:sz w:val="18"/>
                <w:szCs w:val="18"/>
                <w:rtl w:val="0"/>
              </w:rPr>
              <w:t> </w:t>
            </w:r>
          </w:p>
        </w:tc>
        <w:tc>
          <w:tcPr>
            <w:tcBorders>
              <w:top w:val="nil"/>
              <w:left w:val="nil"/>
              <w:bottom w:val="single" w:color="000000" w:sz="4" w:space="0"/>
              <w:right w:val="single" w:color="000000" w:sz="4" w:space="0"/>
            </w:tcBorders>
            <w:shd w:val="clear" w:color="auto" w:fill="auto"/>
            <w:vAlign w:val="bottom"/>
          </w:tcPr>
          <w:p w14:paraId="00000084">
            <w:pPr>
              <w:spacing w:line="240" w:lineRule="auto"/>
              <w:rPr>
                <w:color w:val="000000"/>
                <w:sz w:val="18"/>
                <w:szCs w:val="18"/>
              </w:rPr>
            </w:pPr>
            <w:r>
              <w:rPr>
                <w:color w:val="000000"/>
                <w:sz w:val="18"/>
                <w:szCs w:val="18"/>
                <w:rtl w:val="0"/>
              </w:rPr>
              <w:t> </w:t>
            </w:r>
          </w:p>
        </w:tc>
        <w:tc>
          <w:tcPr>
            <w:tcBorders>
              <w:top w:val="nil"/>
              <w:left w:val="nil"/>
              <w:bottom w:val="single" w:color="000000" w:sz="4" w:space="0"/>
              <w:right w:val="single" w:color="000000" w:sz="4" w:space="0"/>
            </w:tcBorders>
            <w:shd w:val="clear" w:color="auto" w:fill="auto"/>
            <w:vAlign w:val="bottom"/>
          </w:tcPr>
          <w:p w14:paraId="00000085">
            <w:pPr>
              <w:spacing w:line="240" w:lineRule="auto"/>
              <w:rPr>
                <w:color w:val="000000"/>
                <w:sz w:val="18"/>
                <w:szCs w:val="18"/>
              </w:rPr>
            </w:pPr>
            <w:r>
              <w:rPr>
                <w:color w:val="000000"/>
                <w:sz w:val="18"/>
                <w:szCs w:val="18"/>
                <w:rtl w:val="0"/>
              </w:rPr>
              <w:t> </w:t>
            </w:r>
          </w:p>
        </w:tc>
        <w:tc>
          <w:tcPr>
            <w:tcBorders>
              <w:top w:val="nil"/>
              <w:left w:val="nil"/>
              <w:bottom w:val="single" w:color="000000" w:sz="4" w:space="0"/>
              <w:right w:val="single" w:color="000000" w:sz="4" w:space="0"/>
            </w:tcBorders>
            <w:shd w:val="clear" w:color="auto" w:fill="auto"/>
            <w:vAlign w:val="bottom"/>
          </w:tcPr>
          <w:p w14:paraId="00000086">
            <w:pPr>
              <w:spacing w:line="240" w:lineRule="auto"/>
              <w:rPr>
                <w:color w:val="000000"/>
                <w:sz w:val="18"/>
                <w:szCs w:val="18"/>
              </w:rPr>
            </w:pPr>
            <w:r>
              <w:rPr>
                <w:color w:val="000000"/>
                <w:sz w:val="18"/>
                <w:szCs w:val="18"/>
                <w:rtl w:val="0"/>
              </w:rPr>
              <w:t> </w:t>
            </w:r>
          </w:p>
        </w:tc>
      </w:tr>
      <w:tr w14:paraId="7B6809A2">
        <w:tblPrEx>
          <w:tblCellMar>
            <w:top w:w="0" w:type="dxa"/>
            <w:left w:w="115" w:type="dxa"/>
            <w:bottom w:w="0" w:type="dxa"/>
            <w:right w:w="115" w:type="dxa"/>
          </w:tblCellMar>
        </w:tblPrEx>
        <w:trPr>
          <w:trHeight w:val="276" w:hRule="atLeast"/>
        </w:trPr>
        <w:tc>
          <w:tcPr>
            <w:tcBorders>
              <w:top w:val="nil"/>
              <w:left w:val="single" w:color="000000" w:sz="4" w:space="0"/>
              <w:bottom w:val="single" w:color="000000" w:sz="4" w:space="0"/>
              <w:right w:val="single" w:color="000000" w:sz="4" w:space="0"/>
            </w:tcBorders>
            <w:shd w:val="clear" w:color="auto" w:fill="auto"/>
            <w:vAlign w:val="bottom"/>
          </w:tcPr>
          <w:p w14:paraId="00000087">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Mean</w:t>
            </w:r>
          </w:p>
        </w:tc>
        <w:tc>
          <w:tcPr>
            <w:tcBorders>
              <w:top w:val="nil"/>
              <w:left w:val="nil"/>
              <w:bottom w:val="single" w:color="000000" w:sz="4" w:space="0"/>
              <w:right w:val="single" w:color="000000" w:sz="4" w:space="0"/>
            </w:tcBorders>
            <w:shd w:val="clear" w:color="auto" w:fill="auto"/>
            <w:vAlign w:val="bottom"/>
          </w:tcPr>
          <w:p w14:paraId="00000088">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35.97826087</w:t>
            </w:r>
          </w:p>
        </w:tc>
        <w:tc>
          <w:tcPr>
            <w:tcBorders>
              <w:top w:val="nil"/>
              <w:left w:val="nil"/>
              <w:bottom w:val="single" w:color="000000" w:sz="4" w:space="0"/>
              <w:right w:val="single" w:color="000000" w:sz="4" w:space="0"/>
            </w:tcBorders>
            <w:shd w:val="clear" w:color="auto" w:fill="auto"/>
            <w:vAlign w:val="bottom"/>
          </w:tcPr>
          <w:p w14:paraId="00000089">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Mean</w:t>
            </w:r>
          </w:p>
        </w:tc>
        <w:tc>
          <w:tcPr>
            <w:tcBorders>
              <w:top w:val="nil"/>
              <w:left w:val="nil"/>
              <w:bottom w:val="single" w:color="000000" w:sz="4" w:space="0"/>
              <w:right w:val="single" w:color="000000" w:sz="4" w:space="0"/>
            </w:tcBorders>
            <w:shd w:val="clear" w:color="auto" w:fill="auto"/>
            <w:vAlign w:val="bottom"/>
          </w:tcPr>
          <w:p w14:paraId="0000008A">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15.36956522</w:t>
            </w:r>
          </w:p>
        </w:tc>
        <w:tc>
          <w:tcPr>
            <w:tcBorders>
              <w:top w:val="nil"/>
              <w:left w:val="nil"/>
              <w:bottom w:val="single" w:color="000000" w:sz="4" w:space="0"/>
              <w:right w:val="single" w:color="000000" w:sz="4" w:space="0"/>
            </w:tcBorders>
            <w:shd w:val="clear" w:color="auto" w:fill="auto"/>
            <w:vAlign w:val="bottom"/>
          </w:tcPr>
          <w:p w14:paraId="0000008B">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Mean</w:t>
            </w:r>
          </w:p>
        </w:tc>
        <w:tc>
          <w:tcPr>
            <w:tcBorders>
              <w:top w:val="nil"/>
              <w:left w:val="nil"/>
              <w:bottom w:val="single" w:color="000000" w:sz="4" w:space="0"/>
              <w:right w:val="single" w:color="000000" w:sz="4" w:space="0"/>
            </w:tcBorders>
            <w:shd w:val="clear" w:color="auto" w:fill="auto"/>
            <w:vAlign w:val="bottom"/>
          </w:tcPr>
          <w:p w14:paraId="0000008C">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6.826086957</w:t>
            </w:r>
          </w:p>
        </w:tc>
        <w:tc>
          <w:tcPr>
            <w:tcBorders>
              <w:top w:val="nil"/>
              <w:left w:val="nil"/>
              <w:bottom w:val="single" w:color="000000" w:sz="4" w:space="0"/>
              <w:right w:val="single" w:color="000000" w:sz="4" w:space="0"/>
            </w:tcBorders>
            <w:shd w:val="clear" w:color="auto" w:fill="auto"/>
            <w:vAlign w:val="bottom"/>
          </w:tcPr>
          <w:p w14:paraId="0000008D">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Mean</w:t>
            </w:r>
          </w:p>
        </w:tc>
        <w:tc>
          <w:tcPr>
            <w:tcBorders>
              <w:top w:val="nil"/>
              <w:left w:val="nil"/>
              <w:bottom w:val="single" w:color="000000" w:sz="4" w:space="0"/>
              <w:right w:val="single" w:color="000000" w:sz="4" w:space="0"/>
            </w:tcBorders>
            <w:shd w:val="clear" w:color="auto" w:fill="auto"/>
            <w:vAlign w:val="bottom"/>
          </w:tcPr>
          <w:p w14:paraId="0000008E">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43.56521739</w:t>
            </w:r>
          </w:p>
        </w:tc>
        <w:tc>
          <w:tcPr>
            <w:tcBorders>
              <w:top w:val="nil"/>
              <w:left w:val="nil"/>
              <w:bottom w:val="single" w:color="000000" w:sz="4" w:space="0"/>
              <w:right w:val="single" w:color="000000" w:sz="4" w:space="0"/>
            </w:tcBorders>
            <w:shd w:val="clear" w:color="auto" w:fill="auto"/>
            <w:vAlign w:val="bottom"/>
          </w:tcPr>
          <w:p w14:paraId="0000008F">
            <w:pPr>
              <w:spacing w:line="240" w:lineRule="auto"/>
              <w:rPr>
                <w:color w:val="000000"/>
                <w:sz w:val="18"/>
                <w:szCs w:val="18"/>
              </w:rPr>
            </w:pPr>
            <w:r>
              <w:rPr>
                <w:color w:val="000000"/>
                <w:sz w:val="18"/>
                <w:szCs w:val="18"/>
                <w:rtl w:val="0"/>
              </w:rPr>
              <w:t>Mean</w:t>
            </w:r>
          </w:p>
        </w:tc>
        <w:tc>
          <w:tcPr>
            <w:tcBorders>
              <w:top w:val="nil"/>
              <w:left w:val="nil"/>
              <w:bottom w:val="single" w:color="000000" w:sz="4" w:space="0"/>
              <w:right w:val="single" w:color="000000" w:sz="4" w:space="0"/>
            </w:tcBorders>
            <w:shd w:val="clear" w:color="auto" w:fill="auto"/>
            <w:vAlign w:val="bottom"/>
          </w:tcPr>
          <w:p w14:paraId="00000090">
            <w:pPr>
              <w:spacing w:line="240" w:lineRule="auto"/>
              <w:jc w:val="right"/>
              <w:rPr>
                <w:color w:val="000000"/>
                <w:sz w:val="18"/>
                <w:szCs w:val="18"/>
              </w:rPr>
            </w:pPr>
            <w:r>
              <w:rPr>
                <w:color w:val="000000"/>
                <w:sz w:val="18"/>
                <w:szCs w:val="18"/>
                <w:rtl w:val="0"/>
              </w:rPr>
              <w:t>155.7826087</w:t>
            </w:r>
          </w:p>
        </w:tc>
        <w:tc>
          <w:tcPr>
            <w:tcBorders>
              <w:top w:val="nil"/>
              <w:left w:val="nil"/>
              <w:bottom w:val="single" w:color="000000" w:sz="4" w:space="0"/>
              <w:right w:val="single" w:color="000000" w:sz="4" w:space="0"/>
            </w:tcBorders>
            <w:shd w:val="clear" w:color="auto" w:fill="auto"/>
            <w:vAlign w:val="bottom"/>
          </w:tcPr>
          <w:p w14:paraId="00000091">
            <w:pPr>
              <w:spacing w:line="240" w:lineRule="auto"/>
              <w:rPr>
                <w:color w:val="000000"/>
                <w:sz w:val="18"/>
                <w:szCs w:val="18"/>
              </w:rPr>
            </w:pPr>
            <w:r>
              <w:rPr>
                <w:color w:val="000000"/>
                <w:sz w:val="18"/>
                <w:szCs w:val="18"/>
                <w:rtl w:val="0"/>
              </w:rPr>
              <w:t>Mean</w:t>
            </w:r>
          </w:p>
        </w:tc>
        <w:tc>
          <w:tcPr>
            <w:tcBorders>
              <w:top w:val="nil"/>
              <w:left w:val="nil"/>
              <w:bottom w:val="single" w:color="000000" w:sz="4" w:space="0"/>
              <w:right w:val="single" w:color="000000" w:sz="4" w:space="0"/>
            </w:tcBorders>
            <w:shd w:val="clear" w:color="auto" w:fill="auto"/>
            <w:vAlign w:val="bottom"/>
          </w:tcPr>
          <w:p w14:paraId="00000092">
            <w:pPr>
              <w:spacing w:line="240" w:lineRule="auto"/>
              <w:jc w:val="right"/>
              <w:rPr>
                <w:color w:val="000000"/>
                <w:sz w:val="18"/>
                <w:szCs w:val="18"/>
              </w:rPr>
            </w:pPr>
            <w:r>
              <w:rPr>
                <w:color w:val="000000"/>
                <w:sz w:val="18"/>
                <w:szCs w:val="18"/>
                <w:rtl w:val="0"/>
              </w:rPr>
              <w:t>7820.869565</w:t>
            </w:r>
          </w:p>
        </w:tc>
      </w:tr>
      <w:tr w14:paraId="017AB5F7">
        <w:tblPrEx>
          <w:tblCellMar>
            <w:top w:w="0" w:type="dxa"/>
            <w:left w:w="115" w:type="dxa"/>
            <w:bottom w:w="0" w:type="dxa"/>
            <w:right w:w="115" w:type="dxa"/>
          </w:tblCellMar>
        </w:tblPrEx>
        <w:trPr>
          <w:trHeight w:val="276" w:hRule="atLeast"/>
        </w:trPr>
        <w:tc>
          <w:tcPr>
            <w:tcBorders>
              <w:top w:val="nil"/>
              <w:left w:val="single" w:color="000000" w:sz="4" w:space="0"/>
              <w:bottom w:val="single" w:color="000000" w:sz="4" w:space="0"/>
              <w:right w:val="single" w:color="000000" w:sz="4" w:space="0"/>
            </w:tcBorders>
            <w:shd w:val="clear" w:color="auto" w:fill="auto"/>
            <w:vAlign w:val="bottom"/>
          </w:tcPr>
          <w:p w14:paraId="00000093">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Standard Error</w:t>
            </w:r>
          </w:p>
        </w:tc>
        <w:tc>
          <w:tcPr>
            <w:tcBorders>
              <w:top w:val="nil"/>
              <w:left w:val="nil"/>
              <w:bottom w:val="single" w:color="000000" w:sz="4" w:space="0"/>
              <w:right w:val="single" w:color="000000" w:sz="4" w:space="0"/>
            </w:tcBorders>
            <w:shd w:val="clear" w:color="auto" w:fill="auto"/>
            <w:vAlign w:val="bottom"/>
          </w:tcPr>
          <w:p w14:paraId="00000094">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1.926296321</w:t>
            </w:r>
          </w:p>
        </w:tc>
        <w:tc>
          <w:tcPr>
            <w:tcBorders>
              <w:top w:val="nil"/>
              <w:left w:val="nil"/>
              <w:bottom w:val="single" w:color="000000" w:sz="4" w:space="0"/>
              <w:right w:val="single" w:color="000000" w:sz="4" w:space="0"/>
            </w:tcBorders>
            <w:shd w:val="clear" w:color="auto" w:fill="auto"/>
            <w:vAlign w:val="bottom"/>
          </w:tcPr>
          <w:p w14:paraId="00000095">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Standard Error</w:t>
            </w:r>
          </w:p>
        </w:tc>
        <w:tc>
          <w:tcPr>
            <w:tcBorders>
              <w:top w:val="nil"/>
              <w:left w:val="nil"/>
              <w:bottom w:val="single" w:color="000000" w:sz="4" w:space="0"/>
              <w:right w:val="single" w:color="000000" w:sz="4" w:space="0"/>
            </w:tcBorders>
            <w:shd w:val="clear" w:color="auto" w:fill="auto"/>
            <w:vAlign w:val="bottom"/>
          </w:tcPr>
          <w:p w14:paraId="00000096">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0.888117314</w:t>
            </w:r>
          </w:p>
        </w:tc>
        <w:tc>
          <w:tcPr>
            <w:tcBorders>
              <w:top w:val="nil"/>
              <w:left w:val="nil"/>
              <w:bottom w:val="single" w:color="000000" w:sz="4" w:space="0"/>
              <w:right w:val="single" w:color="000000" w:sz="4" w:space="0"/>
            </w:tcBorders>
            <w:shd w:val="clear" w:color="auto" w:fill="auto"/>
            <w:vAlign w:val="bottom"/>
          </w:tcPr>
          <w:p w14:paraId="00000097">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Standard Error</w:t>
            </w:r>
          </w:p>
        </w:tc>
        <w:tc>
          <w:tcPr>
            <w:tcBorders>
              <w:top w:val="nil"/>
              <w:left w:val="nil"/>
              <w:bottom w:val="single" w:color="000000" w:sz="4" w:space="0"/>
              <w:right w:val="single" w:color="000000" w:sz="4" w:space="0"/>
            </w:tcBorders>
            <w:shd w:val="clear" w:color="auto" w:fill="auto"/>
            <w:vAlign w:val="bottom"/>
          </w:tcPr>
          <w:p w14:paraId="00000098">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0.571720302</w:t>
            </w:r>
          </w:p>
        </w:tc>
        <w:tc>
          <w:tcPr>
            <w:tcBorders>
              <w:top w:val="nil"/>
              <w:left w:val="nil"/>
              <w:bottom w:val="single" w:color="000000" w:sz="4" w:space="0"/>
              <w:right w:val="single" w:color="000000" w:sz="4" w:space="0"/>
            </w:tcBorders>
            <w:shd w:val="clear" w:color="auto" w:fill="auto"/>
            <w:vAlign w:val="bottom"/>
          </w:tcPr>
          <w:p w14:paraId="00000099">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Standard Error</w:t>
            </w:r>
          </w:p>
        </w:tc>
        <w:tc>
          <w:tcPr>
            <w:tcBorders>
              <w:top w:val="nil"/>
              <w:left w:val="nil"/>
              <w:bottom w:val="single" w:color="000000" w:sz="4" w:space="0"/>
              <w:right w:val="single" w:color="000000" w:sz="4" w:space="0"/>
            </w:tcBorders>
            <w:shd w:val="clear" w:color="auto" w:fill="auto"/>
            <w:vAlign w:val="bottom"/>
          </w:tcPr>
          <w:p w14:paraId="0000009A">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2.347298205</w:t>
            </w:r>
          </w:p>
        </w:tc>
        <w:tc>
          <w:tcPr>
            <w:tcBorders>
              <w:top w:val="nil"/>
              <w:left w:val="nil"/>
              <w:bottom w:val="single" w:color="000000" w:sz="4" w:space="0"/>
              <w:right w:val="single" w:color="000000" w:sz="4" w:space="0"/>
            </w:tcBorders>
            <w:shd w:val="clear" w:color="auto" w:fill="auto"/>
            <w:vAlign w:val="bottom"/>
          </w:tcPr>
          <w:p w14:paraId="0000009B">
            <w:pPr>
              <w:spacing w:line="240" w:lineRule="auto"/>
              <w:rPr>
                <w:color w:val="000000"/>
                <w:sz w:val="18"/>
                <w:szCs w:val="18"/>
              </w:rPr>
            </w:pPr>
            <w:r>
              <w:rPr>
                <w:color w:val="000000"/>
                <w:sz w:val="18"/>
                <w:szCs w:val="18"/>
                <w:rtl w:val="0"/>
              </w:rPr>
              <w:t>Standard Error</w:t>
            </w:r>
          </w:p>
        </w:tc>
        <w:tc>
          <w:tcPr>
            <w:tcBorders>
              <w:top w:val="nil"/>
              <w:left w:val="nil"/>
              <w:bottom w:val="single" w:color="000000" w:sz="4" w:space="0"/>
              <w:right w:val="single" w:color="000000" w:sz="4" w:space="0"/>
            </w:tcBorders>
            <w:shd w:val="clear" w:color="auto" w:fill="auto"/>
            <w:vAlign w:val="bottom"/>
          </w:tcPr>
          <w:p w14:paraId="0000009C">
            <w:pPr>
              <w:spacing w:line="240" w:lineRule="auto"/>
              <w:jc w:val="right"/>
              <w:rPr>
                <w:color w:val="000000"/>
                <w:sz w:val="18"/>
                <w:szCs w:val="18"/>
              </w:rPr>
            </w:pPr>
            <w:r>
              <w:rPr>
                <w:color w:val="000000"/>
                <w:sz w:val="18"/>
                <w:szCs w:val="18"/>
                <w:rtl w:val="0"/>
              </w:rPr>
              <w:t>36.8469863</w:t>
            </w:r>
          </w:p>
        </w:tc>
        <w:tc>
          <w:tcPr>
            <w:tcBorders>
              <w:top w:val="nil"/>
              <w:left w:val="nil"/>
              <w:bottom w:val="single" w:color="000000" w:sz="4" w:space="0"/>
              <w:right w:val="single" w:color="000000" w:sz="4" w:space="0"/>
            </w:tcBorders>
            <w:shd w:val="clear" w:color="auto" w:fill="auto"/>
            <w:vAlign w:val="bottom"/>
          </w:tcPr>
          <w:p w14:paraId="0000009D">
            <w:pPr>
              <w:spacing w:line="240" w:lineRule="auto"/>
              <w:rPr>
                <w:color w:val="000000"/>
                <w:sz w:val="18"/>
                <w:szCs w:val="18"/>
              </w:rPr>
            </w:pPr>
            <w:r>
              <w:rPr>
                <w:color w:val="000000"/>
                <w:sz w:val="18"/>
                <w:szCs w:val="18"/>
                <w:rtl w:val="0"/>
              </w:rPr>
              <w:t>Standard Error</w:t>
            </w:r>
          </w:p>
        </w:tc>
        <w:tc>
          <w:tcPr>
            <w:tcBorders>
              <w:top w:val="nil"/>
              <w:left w:val="nil"/>
              <w:bottom w:val="single" w:color="000000" w:sz="4" w:space="0"/>
              <w:right w:val="single" w:color="000000" w:sz="4" w:space="0"/>
            </w:tcBorders>
            <w:shd w:val="clear" w:color="auto" w:fill="auto"/>
            <w:vAlign w:val="bottom"/>
          </w:tcPr>
          <w:p w14:paraId="0000009E">
            <w:pPr>
              <w:spacing w:line="240" w:lineRule="auto"/>
              <w:jc w:val="right"/>
              <w:rPr>
                <w:color w:val="000000"/>
                <w:sz w:val="18"/>
                <w:szCs w:val="18"/>
              </w:rPr>
            </w:pPr>
            <w:r>
              <w:rPr>
                <w:color w:val="000000"/>
                <w:sz w:val="18"/>
                <w:szCs w:val="18"/>
                <w:rtl w:val="0"/>
              </w:rPr>
              <w:t>2334.020615</w:t>
            </w:r>
          </w:p>
        </w:tc>
      </w:tr>
      <w:tr w14:paraId="19899A56">
        <w:tblPrEx>
          <w:tblCellMar>
            <w:top w:w="0" w:type="dxa"/>
            <w:left w:w="115" w:type="dxa"/>
            <w:bottom w:w="0" w:type="dxa"/>
            <w:right w:w="115" w:type="dxa"/>
          </w:tblCellMar>
        </w:tblPrEx>
        <w:trPr>
          <w:trHeight w:val="276" w:hRule="atLeast"/>
        </w:trPr>
        <w:tc>
          <w:tcPr>
            <w:tcBorders>
              <w:top w:val="nil"/>
              <w:left w:val="single" w:color="000000" w:sz="4" w:space="0"/>
              <w:bottom w:val="single" w:color="000000" w:sz="4" w:space="0"/>
              <w:right w:val="single" w:color="000000" w:sz="4" w:space="0"/>
            </w:tcBorders>
            <w:shd w:val="clear" w:color="auto" w:fill="auto"/>
            <w:vAlign w:val="bottom"/>
          </w:tcPr>
          <w:p w14:paraId="0000009F">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Median</w:t>
            </w:r>
          </w:p>
        </w:tc>
        <w:tc>
          <w:tcPr>
            <w:tcBorders>
              <w:top w:val="nil"/>
              <w:left w:val="nil"/>
              <w:bottom w:val="single" w:color="000000" w:sz="4" w:space="0"/>
              <w:right w:val="single" w:color="000000" w:sz="4" w:space="0"/>
            </w:tcBorders>
            <w:shd w:val="clear" w:color="auto" w:fill="auto"/>
            <w:vAlign w:val="bottom"/>
          </w:tcPr>
          <w:p w14:paraId="000000A0">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35</w:t>
            </w:r>
          </w:p>
        </w:tc>
        <w:tc>
          <w:tcPr>
            <w:tcBorders>
              <w:top w:val="nil"/>
              <w:left w:val="nil"/>
              <w:bottom w:val="single" w:color="000000" w:sz="4" w:space="0"/>
              <w:right w:val="single" w:color="000000" w:sz="4" w:space="0"/>
            </w:tcBorders>
            <w:shd w:val="clear" w:color="auto" w:fill="auto"/>
            <w:vAlign w:val="bottom"/>
          </w:tcPr>
          <w:p w14:paraId="000000A1">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Median</w:t>
            </w:r>
          </w:p>
        </w:tc>
        <w:tc>
          <w:tcPr>
            <w:tcBorders>
              <w:top w:val="nil"/>
              <w:left w:val="nil"/>
              <w:bottom w:val="single" w:color="000000" w:sz="4" w:space="0"/>
              <w:right w:val="single" w:color="000000" w:sz="4" w:space="0"/>
            </w:tcBorders>
            <w:shd w:val="clear" w:color="auto" w:fill="auto"/>
            <w:vAlign w:val="bottom"/>
          </w:tcPr>
          <w:p w14:paraId="000000A2">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15</w:t>
            </w:r>
          </w:p>
        </w:tc>
        <w:tc>
          <w:tcPr>
            <w:tcBorders>
              <w:top w:val="nil"/>
              <w:left w:val="nil"/>
              <w:bottom w:val="single" w:color="000000" w:sz="4" w:space="0"/>
              <w:right w:val="single" w:color="000000" w:sz="4" w:space="0"/>
            </w:tcBorders>
            <w:shd w:val="clear" w:color="auto" w:fill="auto"/>
            <w:vAlign w:val="bottom"/>
          </w:tcPr>
          <w:p w14:paraId="000000A3">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Median</w:t>
            </w:r>
          </w:p>
        </w:tc>
        <w:tc>
          <w:tcPr>
            <w:tcBorders>
              <w:top w:val="nil"/>
              <w:left w:val="nil"/>
              <w:bottom w:val="single" w:color="000000" w:sz="4" w:space="0"/>
              <w:right w:val="single" w:color="000000" w:sz="4" w:space="0"/>
            </w:tcBorders>
            <w:shd w:val="clear" w:color="auto" w:fill="auto"/>
            <w:vAlign w:val="bottom"/>
          </w:tcPr>
          <w:p w14:paraId="000000A4">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6</w:t>
            </w:r>
          </w:p>
        </w:tc>
        <w:tc>
          <w:tcPr>
            <w:tcBorders>
              <w:top w:val="nil"/>
              <w:left w:val="nil"/>
              <w:bottom w:val="single" w:color="000000" w:sz="4" w:space="0"/>
              <w:right w:val="single" w:color="000000" w:sz="4" w:space="0"/>
            </w:tcBorders>
            <w:shd w:val="clear" w:color="auto" w:fill="auto"/>
            <w:vAlign w:val="bottom"/>
          </w:tcPr>
          <w:p w14:paraId="000000A5">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Median</w:t>
            </w:r>
          </w:p>
        </w:tc>
        <w:tc>
          <w:tcPr>
            <w:tcBorders>
              <w:top w:val="nil"/>
              <w:left w:val="nil"/>
              <w:bottom w:val="single" w:color="000000" w:sz="4" w:space="0"/>
              <w:right w:val="single" w:color="000000" w:sz="4" w:space="0"/>
            </w:tcBorders>
            <w:shd w:val="clear" w:color="auto" w:fill="auto"/>
            <w:vAlign w:val="bottom"/>
          </w:tcPr>
          <w:p w14:paraId="000000A6">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41</w:t>
            </w:r>
          </w:p>
        </w:tc>
        <w:tc>
          <w:tcPr>
            <w:tcBorders>
              <w:top w:val="nil"/>
              <w:left w:val="nil"/>
              <w:bottom w:val="single" w:color="000000" w:sz="4" w:space="0"/>
              <w:right w:val="single" w:color="000000" w:sz="4" w:space="0"/>
            </w:tcBorders>
            <w:shd w:val="clear" w:color="auto" w:fill="auto"/>
            <w:vAlign w:val="bottom"/>
          </w:tcPr>
          <w:p w14:paraId="000000A7">
            <w:pPr>
              <w:spacing w:line="240" w:lineRule="auto"/>
              <w:rPr>
                <w:color w:val="000000"/>
                <w:sz w:val="18"/>
                <w:szCs w:val="18"/>
              </w:rPr>
            </w:pPr>
            <w:r>
              <w:rPr>
                <w:color w:val="000000"/>
                <w:sz w:val="18"/>
                <w:szCs w:val="18"/>
                <w:rtl w:val="0"/>
              </w:rPr>
              <w:t>Median</w:t>
            </w:r>
          </w:p>
        </w:tc>
        <w:tc>
          <w:tcPr>
            <w:tcBorders>
              <w:top w:val="nil"/>
              <w:left w:val="nil"/>
              <w:bottom w:val="single" w:color="000000" w:sz="4" w:space="0"/>
              <w:right w:val="single" w:color="000000" w:sz="4" w:space="0"/>
            </w:tcBorders>
            <w:shd w:val="clear" w:color="auto" w:fill="auto"/>
            <w:vAlign w:val="bottom"/>
          </w:tcPr>
          <w:p w14:paraId="000000A8">
            <w:pPr>
              <w:spacing w:line="240" w:lineRule="auto"/>
              <w:jc w:val="right"/>
              <w:rPr>
                <w:color w:val="000000"/>
                <w:sz w:val="18"/>
                <w:szCs w:val="18"/>
              </w:rPr>
            </w:pPr>
            <w:r>
              <w:rPr>
                <w:color w:val="000000"/>
                <w:sz w:val="18"/>
                <w:szCs w:val="18"/>
                <w:rtl w:val="0"/>
              </w:rPr>
              <w:t>60</w:t>
            </w:r>
          </w:p>
        </w:tc>
        <w:tc>
          <w:tcPr>
            <w:tcBorders>
              <w:top w:val="nil"/>
              <w:left w:val="nil"/>
              <w:bottom w:val="single" w:color="000000" w:sz="4" w:space="0"/>
              <w:right w:val="single" w:color="000000" w:sz="4" w:space="0"/>
            </w:tcBorders>
            <w:shd w:val="clear" w:color="auto" w:fill="auto"/>
            <w:vAlign w:val="bottom"/>
          </w:tcPr>
          <w:p w14:paraId="000000A9">
            <w:pPr>
              <w:spacing w:line="240" w:lineRule="auto"/>
              <w:rPr>
                <w:color w:val="000000"/>
                <w:sz w:val="18"/>
                <w:szCs w:val="18"/>
              </w:rPr>
            </w:pPr>
            <w:r>
              <w:rPr>
                <w:color w:val="000000"/>
                <w:sz w:val="18"/>
                <w:szCs w:val="18"/>
                <w:rtl w:val="0"/>
              </w:rPr>
              <w:t>Median</w:t>
            </w:r>
          </w:p>
        </w:tc>
        <w:tc>
          <w:tcPr>
            <w:tcBorders>
              <w:top w:val="nil"/>
              <w:left w:val="nil"/>
              <w:bottom w:val="single" w:color="000000" w:sz="4" w:space="0"/>
              <w:right w:val="single" w:color="000000" w:sz="4" w:space="0"/>
            </w:tcBorders>
            <w:shd w:val="clear" w:color="auto" w:fill="auto"/>
            <w:vAlign w:val="bottom"/>
          </w:tcPr>
          <w:p w14:paraId="000000AA">
            <w:pPr>
              <w:spacing w:line="240" w:lineRule="auto"/>
              <w:jc w:val="right"/>
              <w:rPr>
                <w:color w:val="000000"/>
                <w:sz w:val="18"/>
                <w:szCs w:val="18"/>
              </w:rPr>
            </w:pPr>
            <w:r>
              <w:rPr>
                <w:color w:val="000000"/>
                <w:sz w:val="18"/>
                <w:szCs w:val="18"/>
                <w:rtl w:val="0"/>
              </w:rPr>
              <w:t>3000</w:t>
            </w:r>
          </w:p>
        </w:tc>
      </w:tr>
      <w:tr w14:paraId="35D94CEF">
        <w:tblPrEx>
          <w:tblCellMar>
            <w:top w:w="0" w:type="dxa"/>
            <w:left w:w="115" w:type="dxa"/>
            <w:bottom w:w="0" w:type="dxa"/>
            <w:right w:w="115" w:type="dxa"/>
          </w:tblCellMar>
        </w:tblPrEx>
        <w:trPr>
          <w:trHeight w:val="276" w:hRule="atLeast"/>
        </w:trPr>
        <w:tc>
          <w:tcPr>
            <w:tcBorders>
              <w:top w:val="nil"/>
              <w:left w:val="single" w:color="000000" w:sz="4" w:space="0"/>
              <w:bottom w:val="single" w:color="000000" w:sz="4" w:space="0"/>
              <w:right w:val="single" w:color="000000" w:sz="4" w:space="0"/>
            </w:tcBorders>
            <w:shd w:val="clear" w:color="auto" w:fill="auto"/>
            <w:vAlign w:val="bottom"/>
          </w:tcPr>
          <w:p w14:paraId="000000AB">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Mode</w:t>
            </w:r>
          </w:p>
        </w:tc>
        <w:tc>
          <w:tcPr>
            <w:tcBorders>
              <w:top w:val="nil"/>
              <w:left w:val="nil"/>
              <w:bottom w:val="single" w:color="000000" w:sz="4" w:space="0"/>
              <w:right w:val="single" w:color="000000" w:sz="4" w:space="0"/>
            </w:tcBorders>
            <w:shd w:val="clear" w:color="auto" w:fill="auto"/>
            <w:vAlign w:val="bottom"/>
          </w:tcPr>
          <w:p w14:paraId="000000AC">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40</w:t>
            </w:r>
          </w:p>
        </w:tc>
        <w:tc>
          <w:tcPr>
            <w:tcBorders>
              <w:top w:val="nil"/>
              <w:left w:val="nil"/>
              <w:bottom w:val="single" w:color="000000" w:sz="4" w:space="0"/>
              <w:right w:val="single" w:color="000000" w:sz="4" w:space="0"/>
            </w:tcBorders>
            <w:shd w:val="clear" w:color="auto" w:fill="auto"/>
            <w:vAlign w:val="bottom"/>
          </w:tcPr>
          <w:p w14:paraId="000000AD">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Mode</w:t>
            </w:r>
          </w:p>
        </w:tc>
        <w:tc>
          <w:tcPr>
            <w:tcBorders>
              <w:top w:val="nil"/>
              <w:left w:val="nil"/>
              <w:bottom w:val="single" w:color="000000" w:sz="4" w:space="0"/>
              <w:right w:val="single" w:color="000000" w:sz="4" w:space="0"/>
            </w:tcBorders>
            <w:shd w:val="clear" w:color="auto" w:fill="auto"/>
            <w:vAlign w:val="bottom"/>
          </w:tcPr>
          <w:p w14:paraId="000000AE">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15</w:t>
            </w:r>
          </w:p>
        </w:tc>
        <w:tc>
          <w:tcPr>
            <w:tcBorders>
              <w:top w:val="nil"/>
              <w:left w:val="nil"/>
              <w:bottom w:val="single" w:color="000000" w:sz="4" w:space="0"/>
              <w:right w:val="single" w:color="000000" w:sz="4" w:space="0"/>
            </w:tcBorders>
            <w:shd w:val="clear" w:color="auto" w:fill="auto"/>
            <w:vAlign w:val="bottom"/>
          </w:tcPr>
          <w:p w14:paraId="000000AF">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Mode</w:t>
            </w:r>
          </w:p>
        </w:tc>
        <w:tc>
          <w:tcPr>
            <w:tcBorders>
              <w:top w:val="nil"/>
              <w:left w:val="nil"/>
              <w:bottom w:val="single" w:color="000000" w:sz="4" w:space="0"/>
              <w:right w:val="single" w:color="000000" w:sz="4" w:space="0"/>
            </w:tcBorders>
            <w:shd w:val="clear" w:color="auto" w:fill="auto"/>
            <w:vAlign w:val="bottom"/>
          </w:tcPr>
          <w:p w14:paraId="000000B0">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3</w:t>
            </w:r>
          </w:p>
        </w:tc>
        <w:tc>
          <w:tcPr>
            <w:tcBorders>
              <w:top w:val="nil"/>
              <w:left w:val="nil"/>
              <w:bottom w:val="single" w:color="000000" w:sz="4" w:space="0"/>
              <w:right w:val="single" w:color="000000" w:sz="4" w:space="0"/>
            </w:tcBorders>
            <w:shd w:val="clear" w:color="auto" w:fill="auto"/>
            <w:vAlign w:val="bottom"/>
          </w:tcPr>
          <w:p w14:paraId="000000B1">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Mode</w:t>
            </w:r>
          </w:p>
        </w:tc>
        <w:tc>
          <w:tcPr>
            <w:tcBorders>
              <w:top w:val="nil"/>
              <w:left w:val="nil"/>
              <w:bottom w:val="single" w:color="000000" w:sz="4" w:space="0"/>
              <w:right w:val="single" w:color="000000" w:sz="4" w:space="0"/>
            </w:tcBorders>
            <w:shd w:val="clear" w:color="auto" w:fill="auto"/>
            <w:vAlign w:val="bottom"/>
          </w:tcPr>
          <w:p w14:paraId="000000B2">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50</w:t>
            </w:r>
          </w:p>
        </w:tc>
        <w:tc>
          <w:tcPr>
            <w:tcBorders>
              <w:top w:val="nil"/>
              <w:left w:val="nil"/>
              <w:bottom w:val="single" w:color="000000" w:sz="4" w:space="0"/>
              <w:right w:val="single" w:color="000000" w:sz="4" w:space="0"/>
            </w:tcBorders>
            <w:shd w:val="clear" w:color="auto" w:fill="auto"/>
            <w:vAlign w:val="bottom"/>
          </w:tcPr>
          <w:p w14:paraId="000000B3">
            <w:pPr>
              <w:spacing w:line="240" w:lineRule="auto"/>
              <w:rPr>
                <w:color w:val="000000"/>
                <w:sz w:val="18"/>
                <w:szCs w:val="18"/>
              </w:rPr>
            </w:pPr>
            <w:r>
              <w:rPr>
                <w:color w:val="000000"/>
                <w:sz w:val="18"/>
                <w:szCs w:val="18"/>
                <w:rtl w:val="0"/>
              </w:rPr>
              <w:t>Mode</w:t>
            </w:r>
          </w:p>
        </w:tc>
        <w:tc>
          <w:tcPr>
            <w:tcBorders>
              <w:top w:val="nil"/>
              <w:left w:val="nil"/>
              <w:bottom w:val="single" w:color="000000" w:sz="4" w:space="0"/>
              <w:right w:val="single" w:color="000000" w:sz="4" w:space="0"/>
            </w:tcBorders>
            <w:shd w:val="clear" w:color="auto" w:fill="auto"/>
            <w:vAlign w:val="bottom"/>
          </w:tcPr>
          <w:p w14:paraId="000000B4">
            <w:pPr>
              <w:spacing w:line="240" w:lineRule="auto"/>
              <w:jc w:val="right"/>
              <w:rPr>
                <w:color w:val="000000"/>
                <w:sz w:val="18"/>
                <w:szCs w:val="18"/>
              </w:rPr>
            </w:pPr>
            <w:r>
              <w:rPr>
                <w:color w:val="000000"/>
                <w:sz w:val="18"/>
                <w:szCs w:val="18"/>
                <w:rtl w:val="0"/>
              </w:rPr>
              <w:t>80</w:t>
            </w:r>
          </w:p>
        </w:tc>
        <w:tc>
          <w:tcPr>
            <w:tcBorders>
              <w:top w:val="nil"/>
              <w:left w:val="nil"/>
              <w:bottom w:val="single" w:color="000000" w:sz="4" w:space="0"/>
              <w:right w:val="single" w:color="000000" w:sz="4" w:space="0"/>
            </w:tcBorders>
            <w:shd w:val="clear" w:color="auto" w:fill="auto"/>
            <w:vAlign w:val="bottom"/>
          </w:tcPr>
          <w:p w14:paraId="000000B5">
            <w:pPr>
              <w:spacing w:line="240" w:lineRule="auto"/>
              <w:rPr>
                <w:color w:val="000000"/>
                <w:sz w:val="18"/>
                <w:szCs w:val="18"/>
              </w:rPr>
            </w:pPr>
            <w:r>
              <w:rPr>
                <w:color w:val="000000"/>
                <w:sz w:val="18"/>
                <w:szCs w:val="18"/>
                <w:rtl w:val="0"/>
              </w:rPr>
              <w:t>Mode</w:t>
            </w:r>
          </w:p>
        </w:tc>
        <w:tc>
          <w:tcPr>
            <w:tcBorders>
              <w:top w:val="nil"/>
              <w:left w:val="nil"/>
              <w:bottom w:val="single" w:color="000000" w:sz="4" w:space="0"/>
              <w:right w:val="single" w:color="000000" w:sz="4" w:space="0"/>
            </w:tcBorders>
            <w:shd w:val="clear" w:color="auto" w:fill="auto"/>
            <w:vAlign w:val="bottom"/>
          </w:tcPr>
          <w:p w14:paraId="000000B6">
            <w:pPr>
              <w:spacing w:line="240" w:lineRule="auto"/>
              <w:jc w:val="right"/>
              <w:rPr>
                <w:color w:val="000000"/>
                <w:sz w:val="18"/>
                <w:szCs w:val="18"/>
              </w:rPr>
            </w:pPr>
            <w:r>
              <w:rPr>
                <w:color w:val="000000"/>
                <w:sz w:val="18"/>
                <w:szCs w:val="18"/>
                <w:rtl w:val="0"/>
              </w:rPr>
              <w:t>72000</w:t>
            </w:r>
          </w:p>
        </w:tc>
      </w:tr>
      <w:tr w14:paraId="5402B7A7">
        <w:tblPrEx>
          <w:tblCellMar>
            <w:top w:w="0" w:type="dxa"/>
            <w:left w:w="115" w:type="dxa"/>
            <w:bottom w:w="0" w:type="dxa"/>
            <w:right w:w="115" w:type="dxa"/>
          </w:tblCellMar>
        </w:tblPrEx>
        <w:trPr>
          <w:trHeight w:val="276" w:hRule="atLeast"/>
        </w:trPr>
        <w:tc>
          <w:tcPr>
            <w:tcBorders>
              <w:top w:val="nil"/>
              <w:left w:val="single" w:color="000000" w:sz="4" w:space="0"/>
              <w:bottom w:val="single" w:color="000000" w:sz="4" w:space="0"/>
              <w:right w:val="single" w:color="000000" w:sz="4" w:space="0"/>
            </w:tcBorders>
            <w:shd w:val="clear" w:color="auto" w:fill="auto"/>
            <w:vAlign w:val="bottom"/>
          </w:tcPr>
          <w:p w14:paraId="000000B7">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Standard Deviation</w:t>
            </w:r>
          </w:p>
        </w:tc>
        <w:tc>
          <w:tcPr>
            <w:tcBorders>
              <w:top w:val="nil"/>
              <w:left w:val="nil"/>
              <w:bottom w:val="single" w:color="000000" w:sz="4" w:space="0"/>
              <w:right w:val="single" w:color="000000" w:sz="4" w:space="0"/>
            </w:tcBorders>
            <w:shd w:val="clear" w:color="auto" w:fill="auto"/>
            <w:vAlign w:val="bottom"/>
          </w:tcPr>
          <w:p w14:paraId="000000B8">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13.0647773</w:t>
            </w:r>
          </w:p>
        </w:tc>
        <w:tc>
          <w:tcPr>
            <w:tcBorders>
              <w:top w:val="nil"/>
              <w:left w:val="nil"/>
              <w:bottom w:val="single" w:color="000000" w:sz="4" w:space="0"/>
              <w:right w:val="single" w:color="000000" w:sz="4" w:space="0"/>
            </w:tcBorders>
            <w:shd w:val="clear" w:color="auto" w:fill="auto"/>
            <w:vAlign w:val="bottom"/>
          </w:tcPr>
          <w:p w14:paraId="000000B9">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Standard Deviation</w:t>
            </w:r>
          </w:p>
        </w:tc>
        <w:tc>
          <w:tcPr>
            <w:tcBorders>
              <w:top w:val="nil"/>
              <w:left w:val="nil"/>
              <w:bottom w:val="single" w:color="000000" w:sz="4" w:space="0"/>
              <w:right w:val="single" w:color="000000" w:sz="4" w:space="0"/>
            </w:tcBorders>
            <w:shd w:val="clear" w:color="auto" w:fill="auto"/>
            <w:vAlign w:val="bottom"/>
          </w:tcPr>
          <w:p w14:paraId="000000BA">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6.023504685</w:t>
            </w:r>
          </w:p>
        </w:tc>
        <w:tc>
          <w:tcPr>
            <w:tcBorders>
              <w:top w:val="nil"/>
              <w:left w:val="nil"/>
              <w:bottom w:val="single" w:color="000000" w:sz="4" w:space="0"/>
              <w:right w:val="single" w:color="000000" w:sz="4" w:space="0"/>
            </w:tcBorders>
            <w:shd w:val="clear" w:color="auto" w:fill="auto"/>
            <w:vAlign w:val="bottom"/>
          </w:tcPr>
          <w:p w14:paraId="000000BB">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Standard Deviation</w:t>
            </w:r>
          </w:p>
        </w:tc>
        <w:tc>
          <w:tcPr>
            <w:tcBorders>
              <w:top w:val="nil"/>
              <w:left w:val="nil"/>
              <w:bottom w:val="single" w:color="000000" w:sz="4" w:space="0"/>
              <w:right w:val="single" w:color="000000" w:sz="4" w:space="0"/>
            </w:tcBorders>
            <w:shd w:val="clear" w:color="auto" w:fill="auto"/>
            <w:vAlign w:val="bottom"/>
          </w:tcPr>
          <w:p w14:paraId="000000BC">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3.877595749</w:t>
            </w:r>
          </w:p>
        </w:tc>
        <w:tc>
          <w:tcPr>
            <w:tcBorders>
              <w:top w:val="nil"/>
              <w:left w:val="nil"/>
              <w:bottom w:val="single" w:color="000000" w:sz="4" w:space="0"/>
              <w:right w:val="single" w:color="000000" w:sz="4" w:space="0"/>
            </w:tcBorders>
            <w:shd w:val="clear" w:color="auto" w:fill="auto"/>
            <w:vAlign w:val="bottom"/>
          </w:tcPr>
          <w:p w14:paraId="000000BD">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Standard Deviation</w:t>
            </w:r>
          </w:p>
        </w:tc>
        <w:tc>
          <w:tcPr>
            <w:tcBorders>
              <w:top w:val="nil"/>
              <w:left w:val="nil"/>
              <w:bottom w:val="single" w:color="000000" w:sz="4" w:space="0"/>
              <w:right w:val="single" w:color="000000" w:sz="4" w:space="0"/>
            </w:tcBorders>
            <w:shd w:val="clear" w:color="auto" w:fill="auto"/>
            <w:vAlign w:val="bottom"/>
          </w:tcPr>
          <w:p w14:paraId="000000BE">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15.920151</w:t>
            </w:r>
          </w:p>
        </w:tc>
        <w:tc>
          <w:tcPr>
            <w:tcBorders>
              <w:top w:val="nil"/>
              <w:left w:val="nil"/>
              <w:bottom w:val="single" w:color="000000" w:sz="4" w:space="0"/>
              <w:right w:val="single" w:color="000000" w:sz="4" w:space="0"/>
            </w:tcBorders>
            <w:shd w:val="clear" w:color="auto" w:fill="auto"/>
            <w:vAlign w:val="bottom"/>
          </w:tcPr>
          <w:p w14:paraId="000000BF">
            <w:pPr>
              <w:spacing w:line="240" w:lineRule="auto"/>
              <w:rPr>
                <w:color w:val="000000"/>
                <w:sz w:val="18"/>
                <w:szCs w:val="18"/>
              </w:rPr>
            </w:pPr>
            <w:r>
              <w:rPr>
                <w:color w:val="000000"/>
                <w:sz w:val="18"/>
                <w:szCs w:val="18"/>
                <w:rtl w:val="0"/>
              </w:rPr>
              <w:t>Standard Deviation</w:t>
            </w:r>
          </w:p>
        </w:tc>
        <w:tc>
          <w:tcPr>
            <w:tcBorders>
              <w:top w:val="nil"/>
              <w:left w:val="nil"/>
              <w:bottom w:val="single" w:color="000000" w:sz="4" w:space="0"/>
              <w:right w:val="single" w:color="000000" w:sz="4" w:space="0"/>
            </w:tcBorders>
            <w:shd w:val="clear" w:color="auto" w:fill="auto"/>
            <w:vAlign w:val="bottom"/>
          </w:tcPr>
          <w:p w14:paraId="000000C0">
            <w:pPr>
              <w:spacing w:line="240" w:lineRule="auto"/>
              <w:jc w:val="right"/>
              <w:rPr>
                <w:color w:val="000000"/>
                <w:sz w:val="18"/>
                <w:szCs w:val="18"/>
              </w:rPr>
            </w:pPr>
            <w:r>
              <w:rPr>
                <w:color w:val="000000"/>
                <w:sz w:val="18"/>
                <w:szCs w:val="18"/>
                <w:rtl w:val="0"/>
              </w:rPr>
              <w:t>249.9084199</w:t>
            </w:r>
          </w:p>
        </w:tc>
        <w:tc>
          <w:tcPr>
            <w:tcBorders>
              <w:top w:val="nil"/>
              <w:left w:val="nil"/>
              <w:bottom w:val="single" w:color="000000" w:sz="4" w:space="0"/>
              <w:right w:val="single" w:color="000000" w:sz="4" w:space="0"/>
            </w:tcBorders>
            <w:shd w:val="clear" w:color="auto" w:fill="auto"/>
            <w:vAlign w:val="bottom"/>
          </w:tcPr>
          <w:p w14:paraId="000000C1">
            <w:pPr>
              <w:spacing w:line="240" w:lineRule="auto"/>
              <w:rPr>
                <w:color w:val="000000"/>
                <w:sz w:val="18"/>
                <w:szCs w:val="18"/>
              </w:rPr>
            </w:pPr>
            <w:r>
              <w:rPr>
                <w:color w:val="000000"/>
                <w:sz w:val="18"/>
                <w:szCs w:val="18"/>
                <w:rtl w:val="0"/>
              </w:rPr>
              <w:t>Standard Deviation</w:t>
            </w:r>
          </w:p>
        </w:tc>
        <w:tc>
          <w:tcPr>
            <w:tcBorders>
              <w:top w:val="nil"/>
              <w:left w:val="nil"/>
              <w:bottom w:val="single" w:color="000000" w:sz="4" w:space="0"/>
              <w:right w:val="single" w:color="000000" w:sz="4" w:space="0"/>
            </w:tcBorders>
            <w:shd w:val="clear" w:color="auto" w:fill="auto"/>
            <w:vAlign w:val="bottom"/>
          </w:tcPr>
          <w:p w14:paraId="000000C2">
            <w:pPr>
              <w:spacing w:line="240" w:lineRule="auto"/>
              <w:jc w:val="right"/>
              <w:rPr>
                <w:color w:val="000000"/>
                <w:sz w:val="18"/>
                <w:szCs w:val="18"/>
              </w:rPr>
            </w:pPr>
            <w:r>
              <w:rPr>
                <w:color w:val="000000"/>
                <w:sz w:val="18"/>
                <w:szCs w:val="18"/>
                <w:rtl w:val="0"/>
              </w:rPr>
              <w:t>15830.098</w:t>
            </w:r>
          </w:p>
        </w:tc>
      </w:tr>
      <w:tr w14:paraId="0B7ED5C0">
        <w:tblPrEx>
          <w:tblCellMar>
            <w:top w:w="0" w:type="dxa"/>
            <w:left w:w="115" w:type="dxa"/>
            <w:bottom w:w="0" w:type="dxa"/>
            <w:right w:w="115" w:type="dxa"/>
          </w:tblCellMar>
        </w:tblPrEx>
        <w:trPr>
          <w:trHeight w:val="276" w:hRule="atLeast"/>
        </w:trPr>
        <w:tc>
          <w:tcPr>
            <w:tcBorders>
              <w:top w:val="nil"/>
              <w:left w:val="single" w:color="000000" w:sz="4" w:space="0"/>
              <w:bottom w:val="single" w:color="000000" w:sz="4" w:space="0"/>
              <w:right w:val="single" w:color="000000" w:sz="4" w:space="0"/>
            </w:tcBorders>
            <w:shd w:val="clear" w:color="auto" w:fill="auto"/>
            <w:vAlign w:val="bottom"/>
          </w:tcPr>
          <w:p w14:paraId="000000C3">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Sample Variance</w:t>
            </w:r>
          </w:p>
        </w:tc>
        <w:tc>
          <w:tcPr>
            <w:tcBorders>
              <w:top w:val="nil"/>
              <w:left w:val="nil"/>
              <w:bottom w:val="single" w:color="000000" w:sz="4" w:space="0"/>
              <w:right w:val="single" w:color="000000" w:sz="4" w:space="0"/>
            </w:tcBorders>
            <w:shd w:val="clear" w:color="auto" w:fill="auto"/>
            <w:vAlign w:val="bottom"/>
          </w:tcPr>
          <w:p w14:paraId="000000C4">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170.6884058</w:t>
            </w:r>
          </w:p>
        </w:tc>
        <w:tc>
          <w:tcPr>
            <w:tcBorders>
              <w:top w:val="nil"/>
              <w:left w:val="nil"/>
              <w:bottom w:val="single" w:color="000000" w:sz="4" w:space="0"/>
              <w:right w:val="single" w:color="000000" w:sz="4" w:space="0"/>
            </w:tcBorders>
            <w:shd w:val="clear" w:color="auto" w:fill="auto"/>
            <w:vAlign w:val="bottom"/>
          </w:tcPr>
          <w:p w14:paraId="000000C5">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Sample Variance</w:t>
            </w:r>
          </w:p>
        </w:tc>
        <w:tc>
          <w:tcPr>
            <w:tcBorders>
              <w:top w:val="nil"/>
              <w:left w:val="nil"/>
              <w:bottom w:val="single" w:color="000000" w:sz="4" w:space="0"/>
              <w:right w:val="single" w:color="000000" w:sz="4" w:space="0"/>
            </w:tcBorders>
            <w:shd w:val="clear" w:color="auto" w:fill="auto"/>
            <w:vAlign w:val="bottom"/>
          </w:tcPr>
          <w:p w14:paraId="000000C6">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36.2826087</w:t>
            </w:r>
          </w:p>
        </w:tc>
        <w:tc>
          <w:tcPr>
            <w:tcBorders>
              <w:top w:val="nil"/>
              <w:left w:val="nil"/>
              <w:bottom w:val="single" w:color="000000" w:sz="4" w:space="0"/>
              <w:right w:val="single" w:color="000000" w:sz="4" w:space="0"/>
            </w:tcBorders>
            <w:shd w:val="clear" w:color="auto" w:fill="auto"/>
            <w:vAlign w:val="bottom"/>
          </w:tcPr>
          <w:p w14:paraId="000000C7">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Sample Variance</w:t>
            </w:r>
          </w:p>
        </w:tc>
        <w:tc>
          <w:tcPr>
            <w:tcBorders>
              <w:top w:val="nil"/>
              <w:left w:val="nil"/>
              <w:bottom w:val="single" w:color="000000" w:sz="4" w:space="0"/>
              <w:right w:val="single" w:color="000000" w:sz="4" w:space="0"/>
            </w:tcBorders>
            <w:shd w:val="clear" w:color="auto" w:fill="auto"/>
            <w:vAlign w:val="bottom"/>
          </w:tcPr>
          <w:p w14:paraId="000000C8">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15.03574879</w:t>
            </w:r>
          </w:p>
        </w:tc>
        <w:tc>
          <w:tcPr>
            <w:tcBorders>
              <w:top w:val="nil"/>
              <w:left w:val="nil"/>
              <w:bottom w:val="single" w:color="000000" w:sz="4" w:space="0"/>
              <w:right w:val="single" w:color="000000" w:sz="4" w:space="0"/>
            </w:tcBorders>
            <w:shd w:val="clear" w:color="auto" w:fill="auto"/>
            <w:vAlign w:val="bottom"/>
          </w:tcPr>
          <w:p w14:paraId="000000C9">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Sample Variance</w:t>
            </w:r>
          </w:p>
        </w:tc>
        <w:tc>
          <w:tcPr>
            <w:tcBorders>
              <w:top w:val="nil"/>
              <w:left w:val="nil"/>
              <w:bottom w:val="single" w:color="000000" w:sz="4" w:space="0"/>
              <w:right w:val="single" w:color="000000" w:sz="4" w:space="0"/>
            </w:tcBorders>
            <w:shd w:val="clear" w:color="auto" w:fill="auto"/>
            <w:vAlign w:val="bottom"/>
          </w:tcPr>
          <w:p w14:paraId="000000CA">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253.4512077</w:t>
            </w:r>
          </w:p>
        </w:tc>
        <w:tc>
          <w:tcPr>
            <w:tcBorders>
              <w:top w:val="nil"/>
              <w:left w:val="nil"/>
              <w:bottom w:val="single" w:color="000000" w:sz="4" w:space="0"/>
              <w:right w:val="single" w:color="000000" w:sz="4" w:space="0"/>
            </w:tcBorders>
            <w:shd w:val="clear" w:color="auto" w:fill="auto"/>
            <w:vAlign w:val="bottom"/>
          </w:tcPr>
          <w:p w14:paraId="000000CB">
            <w:pPr>
              <w:spacing w:line="240" w:lineRule="auto"/>
              <w:rPr>
                <w:color w:val="000000"/>
                <w:sz w:val="18"/>
                <w:szCs w:val="18"/>
              </w:rPr>
            </w:pPr>
            <w:r>
              <w:rPr>
                <w:color w:val="000000"/>
                <w:sz w:val="18"/>
                <w:szCs w:val="18"/>
                <w:rtl w:val="0"/>
              </w:rPr>
              <w:t>Sample Variance</w:t>
            </w:r>
          </w:p>
        </w:tc>
        <w:tc>
          <w:tcPr>
            <w:tcBorders>
              <w:top w:val="nil"/>
              <w:left w:val="nil"/>
              <w:bottom w:val="single" w:color="000000" w:sz="4" w:space="0"/>
              <w:right w:val="single" w:color="000000" w:sz="4" w:space="0"/>
            </w:tcBorders>
            <w:shd w:val="clear" w:color="auto" w:fill="auto"/>
            <w:vAlign w:val="bottom"/>
          </w:tcPr>
          <w:p w14:paraId="000000CC">
            <w:pPr>
              <w:spacing w:line="240" w:lineRule="auto"/>
              <w:jc w:val="right"/>
              <w:rPr>
                <w:color w:val="000000"/>
                <w:sz w:val="18"/>
                <w:szCs w:val="18"/>
              </w:rPr>
            </w:pPr>
            <w:r>
              <w:rPr>
                <w:color w:val="000000"/>
                <w:sz w:val="18"/>
                <w:szCs w:val="18"/>
                <w:rtl w:val="0"/>
              </w:rPr>
              <w:t>62454.21836</w:t>
            </w:r>
          </w:p>
        </w:tc>
        <w:tc>
          <w:tcPr>
            <w:tcBorders>
              <w:top w:val="nil"/>
              <w:left w:val="nil"/>
              <w:bottom w:val="single" w:color="000000" w:sz="4" w:space="0"/>
              <w:right w:val="single" w:color="000000" w:sz="4" w:space="0"/>
            </w:tcBorders>
            <w:shd w:val="clear" w:color="auto" w:fill="auto"/>
            <w:vAlign w:val="bottom"/>
          </w:tcPr>
          <w:p w14:paraId="000000CD">
            <w:pPr>
              <w:spacing w:line="240" w:lineRule="auto"/>
              <w:rPr>
                <w:color w:val="000000"/>
                <w:sz w:val="18"/>
                <w:szCs w:val="18"/>
              </w:rPr>
            </w:pPr>
            <w:r>
              <w:rPr>
                <w:color w:val="000000"/>
                <w:sz w:val="18"/>
                <w:szCs w:val="18"/>
                <w:rtl w:val="0"/>
              </w:rPr>
              <w:t>Sample Variance</w:t>
            </w:r>
          </w:p>
        </w:tc>
        <w:tc>
          <w:tcPr>
            <w:tcBorders>
              <w:top w:val="nil"/>
              <w:left w:val="nil"/>
              <w:bottom w:val="single" w:color="000000" w:sz="4" w:space="0"/>
              <w:right w:val="single" w:color="000000" w:sz="4" w:space="0"/>
            </w:tcBorders>
            <w:shd w:val="clear" w:color="auto" w:fill="auto"/>
            <w:vAlign w:val="bottom"/>
          </w:tcPr>
          <w:p w14:paraId="000000CE">
            <w:pPr>
              <w:spacing w:line="240" w:lineRule="auto"/>
              <w:jc w:val="right"/>
              <w:rPr>
                <w:color w:val="000000"/>
                <w:sz w:val="18"/>
                <w:szCs w:val="18"/>
              </w:rPr>
            </w:pPr>
            <w:r>
              <w:rPr>
                <w:color w:val="000000"/>
                <w:sz w:val="18"/>
                <w:szCs w:val="18"/>
                <w:rtl w:val="0"/>
              </w:rPr>
              <w:t>250592002.7</w:t>
            </w:r>
          </w:p>
        </w:tc>
      </w:tr>
      <w:tr w14:paraId="51E597F8">
        <w:tblPrEx>
          <w:tblCellMar>
            <w:top w:w="0" w:type="dxa"/>
            <w:left w:w="115" w:type="dxa"/>
            <w:bottom w:w="0" w:type="dxa"/>
            <w:right w:w="115" w:type="dxa"/>
          </w:tblCellMar>
        </w:tblPrEx>
        <w:trPr>
          <w:trHeight w:val="276" w:hRule="atLeast"/>
        </w:trPr>
        <w:tc>
          <w:tcPr>
            <w:tcBorders>
              <w:top w:val="nil"/>
              <w:left w:val="single" w:color="000000" w:sz="4" w:space="0"/>
              <w:bottom w:val="single" w:color="000000" w:sz="4" w:space="0"/>
              <w:right w:val="single" w:color="000000" w:sz="4" w:space="0"/>
            </w:tcBorders>
            <w:shd w:val="clear" w:color="auto" w:fill="auto"/>
            <w:vAlign w:val="bottom"/>
          </w:tcPr>
          <w:p w14:paraId="000000CF">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Kurtosis</w:t>
            </w:r>
          </w:p>
        </w:tc>
        <w:tc>
          <w:tcPr>
            <w:tcBorders>
              <w:top w:val="nil"/>
              <w:left w:val="nil"/>
              <w:bottom w:val="single" w:color="000000" w:sz="4" w:space="0"/>
              <w:right w:val="single" w:color="000000" w:sz="4" w:space="0"/>
            </w:tcBorders>
            <w:shd w:val="clear" w:color="auto" w:fill="auto"/>
            <w:vAlign w:val="bottom"/>
          </w:tcPr>
          <w:p w14:paraId="000000D0">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-0.201505809</w:t>
            </w:r>
          </w:p>
        </w:tc>
        <w:tc>
          <w:tcPr>
            <w:tcBorders>
              <w:top w:val="nil"/>
              <w:left w:val="nil"/>
              <w:bottom w:val="single" w:color="000000" w:sz="4" w:space="0"/>
              <w:right w:val="single" w:color="000000" w:sz="4" w:space="0"/>
            </w:tcBorders>
            <w:shd w:val="clear" w:color="auto" w:fill="auto"/>
            <w:vAlign w:val="bottom"/>
          </w:tcPr>
          <w:p w14:paraId="000000D1">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Kurtosis</w:t>
            </w:r>
          </w:p>
        </w:tc>
        <w:tc>
          <w:tcPr>
            <w:tcBorders>
              <w:top w:val="nil"/>
              <w:left w:val="nil"/>
              <w:bottom w:val="single" w:color="000000" w:sz="4" w:space="0"/>
              <w:right w:val="single" w:color="000000" w:sz="4" w:space="0"/>
            </w:tcBorders>
            <w:shd w:val="clear" w:color="auto" w:fill="auto"/>
            <w:vAlign w:val="bottom"/>
          </w:tcPr>
          <w:p w14:paraId="000000D2">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-0.158556525</w:t>
            </w:r>
          </w:p>
        </w:tc>
        <w:tc>
          <w:tcPr>
            <w:tcBorders>
              <w:top w:val="nil"/>
              <w:left w:val="nil"/>
              <w:bottom w:val="single" w:color="000000" w:sz="4" w:space="0"/>
              <w:right w:val="single" w:color="000000" w:sz="4" w:space="0"/>
            </w:tcBorders>
            <w:shd w:val="clear" w:color="auto" w:fill="auto"/>
            <w:vAlign w:val="bottom"/>
          </w:tcPr>
          <w:p w14:paraId="000000D3">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Kurtosis</w:t>
            </w:r>
          </w:p>
        </w:tc>
        <w:tc>
          <w:tcPr>
            <w:tcBorders>
              <w:top w:val="nil"/>
              <w:left w:val="nil"/>
              <w:bottom w:val="single" w:color="000000" w:sz="4" w:space="0"/>
              <w:right w:val="single" w:color="000000" w:sz="4" w:space="0"/>
            </w:tcBorders>
            <w:shd w:val="clear" w:color="auto" w:fill="auto"/>
            <w:vAlign w:val="bottom"/>
          </w:tcPr>
          <w:p w14:paraId="000000D4">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1.832574362</w:t>
            </w:r>
          </w:p>
        </w:tc>
        <w:tc>
          <w:tcPr>
            <w:tcBorders>
              <w:top w:val="nil"/>
              <w:left w:val="nil"/>
              <w:bottom w:val="single" w:color="000000" w:sz="4" w:space="0"/>
              <w:right w:val="single" w:color="000000" w:sz="4" w:space="0"/>
            </w:tcBorders>
            <w:shd w:val="clear" w:color="auto" w:fill="auto"/>
            <w:vAlign w:val="bottom"/>
          </w:tcPr>
          <w:p w14:paraId="000000D5">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Kurtosis</w:t>
            </w:r>
          </w:p>
        </w:tc>
        <w:tc>
          <w:tcPr>
            <w:tcBorders>
              <w:top w:val="nil"/>
              <w:left w:val="nil"/>
              <w:bottom w:val="single" w:color="000000" w:sz="4" w:space="0"/>
              <w:right w:val="single" w:color="000000" w:sz="4" w:space="0"/>
            </w:tcBorders>
            <w:shd w:val="clear" w:color="auto" w:fill="auto"/>
            <w:vAlign w:val="bottom"/>
          </w:tcPr>
          <w:p w14:paraId="000000D6">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-0.64095206</w:t>
            </w:r>
          </w:p>
        </w:tc>
        <w:tc>
          <w:tcPr>
            <w:tcBorders>
              <w:top w:val="nil"/>
              <w:left w:val="nil"/>
              <w:bottom w:val="single" w:color="000000" w:sz="4" w:space="0"/>
              <w:right w:val="single" w:color="000000" w:sz="4" w:space="0"/>
            </w:tcBorders>
            <w:shd w:val="clear" w:color="auto" w:fill="auto"/>
            <w:vAlign w:val="bottom"/>
          </w:tcPr>
          <w:p w14:paraId="000000D7">
            <w:pPr>
              <w:spacing w:line="240" w:lineRule="auto"/>
              <w:rPr>
                <w:color w:val="000000"/>
                <w:sz w:val="18"/>
                <w:szCs w:val="18"/>
              </w:rPr>
            </w:pPr>
            <w:r>
              <w:rPr>
                <w:color w:val="000000"/>
                <w:sz w:val="18"/>
                <w:szCs w:val="18"/>
                <w:rtl w:val="0"/>
              </w:rPr>
              <w:t>Kurtosis</w:t>
            </w:r>
          </w:p>
        </w:tc>
        <w:tc>
          <w:tcPr>
            <w:tcBorders>
              <w:top w:val="nil"/>
              <w:left w:val="nil"/>
              <w:bottom w:val="single" w:color="000000" w:sz="4" w:space="0"/>
              <w:right w:val="single" w:color="000000" w:sz="4" w:space="0"/>
            </w:tcBorders>
            <w:shd w:val="clear" w:color="auto" w:fill="auto"/>
            <w:vAlign w:val="bottom"/>
          </w:tcPr>
          <w:p w14:paraId="000000D8">
            <w:pPr>
              <w:spacing w:line="240" w:lineRule="auto"/>
              <w:jc w:val="right"/>
              <w:rPr>
                <w:color w:val="000000"/>
                <w:sz w:val="18"/>
                <w:szCs w:val="18"/>
              </w:rPr>
            </w:pPr>
            <w:r>
              <w:rPr>
                <w:color w:val="000000"/>
                <w:sz w:val="18"/>
                <w:szCs w:val="18"/>
                <w:rtl w:val="0"/>
              </w:rPr>
              <w:t>7.525903499</w:t>
            </w:r>
          </w:p>
        </w:tc>
        <w:tc>
          <w:tcPr>
            <w:tcBorders>
              <w:top w:val="nil"/>
              <w:left w:val="nil"/>
              <w:bottom w:val="single" w:color="000000" w:sz="4" w:space="0"/>
              <w:right w:val="single" w:color="000000" w:sz="4" w:space="0"/>
            </w:tcBorders>
            <w:shd w:val="clear" w:color="auto" w:fill="auto"/>
            <w:vAlign w:val="bottom"/>
          </w:tcPr>
          <w:p w14:paraId="000000D9">
            <w:pPr>
              <w:spacing w:line="240" w:lineRule="auto"/>
              <w:rPr>
                <w:color w:val="000000"/>
                <w:sz w:val="18"/>
                <w:szCs w:val="18"/>
              </w:rPr>
            </w:pPr>
            <w:r>
              <w:rPr>
                <w:color w:val="000000"/>
                <w:sz w:val="18"/>
                <w:szCs w:val="18"/>
                <w:rtl w:val="0"/>
              </w:rPr>
              <w:t>Kurtosis</w:t>
            </w:r>
          </w:p>
        </w:tc>
        <w:tc>
          <w:tcPr>
            <w:tcBorders>
              <w:top w:val="nil"/>
              <w:left w:val="nil"/>
              <w:bottom w:val="single" w:color="000000" w:sz="4" w:space="0"/>
              <w:right w:val="single" w:color="000000" w:sz="4" w:space="0"/>
            </w:tcBorders>
            <w:shd w:val="clear" w:color="auto" w:fill="auto"/>
            <w:vAlign w:val="bottom"/>
          </w:tcPr>
          <w:p w14:paraId="000000DA">
            <w:pPr>
              <w:spacing w:line="240" w:lineRule="auto"/>
              <w:jc w:val="right"/>
              <w:rPr>
                <w:color w:val="000000"/>
                <w:sz w:val="18"/>
                <w:szCs w:val="18"/>
              </w:rPr>
            </w:pPr>
            <w:r>
              <w:rPr>
                <w:color w:val="000000"/>
                <w:sz w:val="18"/>
                <w:szCs w:val="18"/>
                <w:rtl w:val="0"/>
              </w:rPr>
              <w:t>11.01502173</w:t>
            </w:r>
          </w:p>
        </w:tc>
      </w:tr>
      <w:tr w14:paraId="48B95F96">
        <w:tblPrEx>
          <w:tblCellMar>
            <w:top w:w="0" w:type="dxa"/>
            <w:left w:w="115" w:type="dxa"/>
            <w:bottom w:w="0" w:type="dxa"/>
            <w:right w:w="115" w:type="dxa"/>
          </w:tblCellMar>
        </w:tblPrEx>
        <w:trPr>
          <w:trHeight w:val="276" w:hRule="atLeast"/>
        </w:trPr>
        <w:tc>
          <w:tcPr>
            <w:tcBorders>
              <w:top w:val="nil"/>
              <w:left w:val="single" w:color="000000" w:sz="4" w:space="0"/>
              <w:bottom w:val="single" w:color="000000" w:sz="4" w:space="0"/>
              <w:right w:val="single" w:color="000000" w:sz="4" w:space="0"/>
            </w:tcBorders>
            <w:shd w:val="clear" w:color="auto" w:fill="auto"/>
            <w:vAlign w:val="bottom"/>
          </w:tcPr>
          <w:p w14:paraId="000000DB">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Skewness</w:t>
            </w:r>
          </w:p>
        </w:tc>
        <w:tc>
          <w:tcPr>
            <w:tcBorders>
              <w:top w:val="nil"/>
              <w:left w:val="nil"/>
              <w:bottom w:val="single" w:color="000000" w:sz="4" w:space="0"/>
              <w:right w:val="single" w:color="000000" w:sz="4" w:space="0"/>
            </w:tcBorders>
            <w:shd w:val="clear" w:color="auto" w:fill="auto"/>
            <w:vAlign w:val="bottom"/>
          </w:tcPr>
          <w:p w14:paraId="000000DC">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0.589036089</w:t>
            </w:r>
          </w:p>
        </w:tc>
        <w:tc>
          <w:tcPr>
            <w:tcBorders>
              <w:top w:val="nil"/>
              <w:left w:val="nil"/>
              <w:bottom w:val="single" w:color="000000" w:sz="4" w:space="0"/>
              <w:right w:val="single" w:color="000000" w:sz="4" w:space="0"/>
            </w:tcBorders>
            <w:shd w:val="clear" w:color="auto" w:fill="auto"/>
            <w:vAlign w:val="bottom"/>
          </w:tcPr>
          <w:p w14:paraId="000000DD">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Skewness</w:t>
            </w:r>
          </w:p>
        </w:tc>
        <w:tc>
          <w:tcPr>
            <w:tcBorders>
              <w:top w:val="nil"/>
              <w:left w:val="nil"/>
              <w:bottom w:val="single" w:color="000000" w:sz="4" w:space="0"/>
              <w:right w:val="single" w:color="000000" w:sz="4" w:space="0"/>
            </w:tcBorders>
            <w:shd w:val="clear" w:color="auto" w:fill="auto"/>
            <w:vAlign w:val="bottom"/>
          </w:tcPr>
          <w:p w14:paraId="000000DE">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0.596836414</w:t>
            </w:r>
          </w:p>
        </w:tc>
        <w:tc>
          <w:tcPr>
            <w:tcBorders>
              <w:top w:val="nil"/>
              <w:left w:val="nil"/>
              <w:bottom w:val="single" w:color="000000" w:sz="4" w:space="0"/>
              <w:right w:val="single" w:color="000000" w:sz="4" w:space="0"/>
            </w:tcBorders>
            <w:shd w:val="clear" w:color="auto" w:fill="auto"/>
            <w:vAlign w:val="bottom"/>
          </w:tcPr>
          <w:p w14:paraId="000000DF">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Skewness</w:t>
            </w:r>
          </w:p>
        </w:tc>
        <w:tc>
          <w:tcPr>
            <w:tcBorders>
              <w:top w:val="nil"/>
              <w:left w:val="nil"/>
              <w:bottom w:val="single" w:color="000000" w:sz="4" w:space="0"/>
              <w:right w:val="single" w:color="000000" w:sz="4" w:space="0"/>
            </w:tcBorders>
            <w:shd w:val="clear" w:color="auto" w:fill="auto"/>
            <w:vAlign w:val="bottom"/>
          </w:tcPr>
          <w:p w14:paraId="000000E0">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1.261286596</w:t>
            </w:r>
          </w:p>
        </w:tc>
        <w:tc>
          <w:tcPr>
            <w:tcBorders>
              <w:top w:val="nil"/>
              <w:left w:val="nil"/>
              <w:bottom w:val="single" w:color="000000" w:sz="4" w:space="0"/>
              <w:right w:val="single" w:color="000000" w:sz="4" w:space="0"/>
            </w:tcBorders>
            <w:shd w:val="clear" w:color="auto" w:fill="auto"/>
            <w:vAlign w:val="bottom"/>
          </w:tcPr>
          <w:p w14:paraId="000000E1">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Skewness</w:t>
            </w:r>
          </w:p>
        </w:tc>
        <w:tc>
          <w:tcPr>
            <w:tcBorders>
              <w:top w:val="nil"/>
              <w:left w:val="nil"/>
              <w:bottom w:val="single" w:color="000000" w:sz="4" w:space="0"/>
              <w:right w:val="single" w:color="000000" w:sz="4" w:space="0"/>
            </w:tcBorders>
            <w:shd w:val="clear" w:color="auto" w:fill="auto"/>
            <w:vAlign w:val="bottom"/>
          </w:tcPr>
          <w:p w14:paraId="000000E2">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0.429263127</w:t>
            </w:r>
          </w:p>
        </w:tc>
        <w:tc>
          <w:tcPr>
            <w:tcBorders>
              <w:top w:val="nil"/>
              <w:left w:val="nil"/>
              <w:bottom w:val="single" w:color="000000" w:sz="4" w:space="0"/>
              <w:right w:val="single" w:color="000000" w:sz="4" w:space="0"/>
            </w:tcBorders>
            <w:shd w:val="clear" w:color="auto" w:fill="auto"/>
            <w:vAlign w:val="bottom"/>
          </w:tcPr>
          <w:p w14:paraId="000000E3">
            <w:pPr>
              <w:spacing w:line="240" w:lineRule="auto"/>
              <w:rPr>
                <w:color w:val="000000"/>
                <w:sz w:val="18"/>
                <w:szCs w:val="18"/>
              </w:rPr>
            </w:pPr>
            <w:r>
              <w:rPr>
                <w:color w:val="000000"/>
                <w:sz w:val="18"/>
                <w:szCs w:val="18"/>
                <w:rtl w:val="0"/>
              </w:rPr>
              <w:t>Skewness</w:t>
            </w:r>
          </w:p>
        </w:tc>
        <w:tc>
          <w:tcPr>
            <w:tcBorders>
              <w:top w:val="nil"/>
              <w:left w:val="nil"/>
              <w:bottom w:val="single" w:color="000000" w:sz="4" w:space="0"/>
              <w:right w:val="single" w:color="000000" w:sz="4" w:space="0"/>
            </w:tcBorders>
            <w:shd w:val="clear" w:color="auto" w:fill="auto"/>
            <w:vAlign w:val="bottom"/>
          </w:tcPr>
          <w:p w14:paraId="000000E4">
            <w:pPr>
              <w:spacing w:line="240" w:lineRule="auto"/>
              <w:jc w:val="right"/>
              <w:rPr>
                <w:color w:val="000000"/>
                <w:sz w:val="18"/>
                <w:szCs w:val="18"/>
              </w:rPr>
            </w:pPr>
            <w:r>
              <w:rPr>
                <w:color w:val="000000"/>
                <w:sz w:val="18"/>
                <w:szCs w:val="18"/>
                <w:rtl w:val="0"/>
              </w:rPr>
              <w:t>2.685497711</w:t>
            </w:r>
          </w:p>
        </w:tc>
        <w:tc>
          <w:tcPr>
            <w:tcBorders>
              <w:top w:val="nil"/>
              <w:left w:val="nil"/>
              <w:bottom w:val="single" w:color="000000" w:sz="4" w:space="0"/>
              <w:right w:val="single" w:color="000000" w:sz="4" w:space="0"/>
            </w:tcBorders>
            <w:shd w:val="clear" w:color="auto" w:fill="auto"/>
            <w:vAlign w:val="bottom"/>
          </w:tcPr>
          <w:p w14:paraId="000000E5">
            <w:pPr>
              <w:spacing w:line="240" w:lineRule="auto"/>
              <w:rPr>
                <w:color w:val="000000"/>
                <w:sz w:val="18"/>
                <w:szCs w:val="18"/>
              </w:rPr>
            </w:pPr>
            <w:r>
              <w:rPr>
                <w:color w:val="000000"/>
                <w:sz w:val="18"/>
                <w:szCs w:val="18"/>
                <w:rtl w:val="0"/>
              </w:rPr>
              <w:t>Skewness</w:t>
            </w:r>
          </w:p>
        </w:tc>
        <w:tc>
          <w:tcPr>
            <w:tcBorders>
              <w:top w:val="nil"/>
              <w:left w:val="nil"/>
              <w:bottom w:val="single" w:color="000000" w:sz="4" w:space="0"/>
              <w:right w:val="single" w:color="000000" w:sz="4" w:space="0"/>
            </w:tcBorders>
            <w:shd w:val="clear" w:color="auto" w:fill="auto"/>
            <w:vAlign w:val="bottom"/>
          </w:tcPr>
          <w:p w14:paraId="000000E6">
            <w:pPr>
              <w:spacing w:line="240" w:lineRule="auto"/>
              <w:jc w:val="right"/>
              <w:rPr>
                <w:color w:val="000000"/>
                <w:sz w:val="18"/>
                <w:szCs w:val="18"/>
              </w:rPr>
            </w:pPr>
            <w:r>
              <w:rPr>
                <w:color w:val="000000"/>
                <w:sz w:val="18"/>
                <w:szCs w:val="18"/>
                <w:rtl w:val="0"/>
              </w:rPr>
              <w:t>3.305978963</w:t>
            </w:r>
          </w:p>
        </w:tc>
      </w:tr>
      <w:tr w14:paraId="4F3C88BD">
        <w:tblPrEx>
          <w:tblCellMar>
            <w:top w:w="0" w:type="dxa"/>
            <w:left w:w="115" w:type="dxa"/>
            <w:bottom w:w="0" w:type="dxa"/>
            <w:right w:w="115" w:type="dxa"/>
          </w:tblCellMar>
        </w:tblPrEx>
        <w:trPr>
          <w:trHeight w:val="276" w:hRule="atLeast"/>
        </w:trPr>
        <w:tc>
          <w:tcPr>
            <w:tcBorders>
              <w:top w:val="nil"/>
              <w:left w:val="single" w:color="000000" w:sz="4" w:space="0"/>
              <w:bottom w:val="single" w:color="000000" w:sz="4" w:space="0"/>
              <w:right w:val="single" w:color="000000" w:sz="4" w:space="0"/>
            </w:tcBorders>
            <w:shd w:val="clear" w:color="auto" w:fill="auto"/>
            <w:vAlign w:val="bottom"/>
          </w:tcPr>
          <w:p w14:paraId="000000E7">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Range</w:t>
            </w:r>
          </w:p>
        </w:tc>
        <w:tc>
          <w:tcPr>
            <w:tcBorders>
              <w:top w:val="nil"/>
              <w:left w:val="nil"/>
              <w:bottom w:val="single" w:color="000000" w:sz="4" w:space="0"/>
              <w:right w:val="single" w:color="000000" w:sz="4" w:space="0"/>
            </w:tcBorders>
            <w:shd w:val="clear" w:color="auto" w:fill="auto"/>
            <w:vAlign w:val="bottom"/>
          </w:tcPr>
          <w:p w14:paraId="000000E8">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55</w:t>
            </w:r>
          </w:p>
        </w:tc>
        <w:tc>
          <w:tcPr>
            <w:tcBorders>
              <w:top w:val="nil"/>
              <w:left w:val="nil"/>
              <w:bottom w:val="single" w:color="000000" w:sz="4" w:space="0"/>
              <w:right w:val="single" w:color="000000" w:sz="4" w:space="0"/>
            </w:tcBorders>
            <w:shd w:val="clear" w:color="auto" w:fill="auto"/>
            <w:vAlign w:val="bottom"/>
          </w:tcPr>
          <w:p w14:paraId="000000E9">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Range</w:t>
            </w:r>
          </w:p>
        </w:tc>
        <w:tc>
          <w:tcPr>
            <w:tcBorders>
              <w:top w:val="nil"/>
              <w:left w:val="nil"/>
              <w:bottom w:val="single" w:color="000000" w:sz="4" w:space="0"/>
              <w:right w:val="single" w:color="000000" w:sz="4" w:space="0"/>
            </w:tcBorders>
            <w:shd w:val="clear" w:color="auto" w:fill="auto"/>
            <w:vAlign w:val="bottom"/>
          </w:tcPr>
          <w:p w14:paraId="000000EA">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24</w:t>
            </w:r>
          </w:p>
        </w:tc>
        <w:tc>
          <w:tcPr>
            <w:tcBorders>
              <w:top w:val="nil"/>
              <w:left w:val="nil"/>
              <w:bottom w:val="single" w:color="000000" w:sz="4" w:space="0"/>
              <w:right w:val="single" w:color="000000" w:sz="4" w:space="0"/>
            </w:tcBorders>
            <w:shd w:val="clear" w:color="auto" w:fill="auto"/>
            <w:vAlign w:val="bottom"/>
          </w:tcPr>
          <w:p w14:paraId="000000EB">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Range</w:t>
            </w:r>
          </w:p>
        </w:tc>
        <w:tc>
          <w:tcPr>
            <w:tcBorders>
              <w:top w:val="nil"/>
              <w:left w:val="nil"/>
              <w:bottom w:val="single" w:color="000000" w:sz="4" w:space="0"/>
              <w:right w:val="single" w:color="000000" w:sz="4" w:space="0"/>
            </w:tcBorders>
            <w:shd w:val="clear" w:color="auto" w:fill="auto"/>
            <w:vAlign w:val="bottom"/>
          </w:tcPr>
          <w:p w14:paraId="000000EC">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18</w:t>
            </w:r>
          </w:p>
        </w:tc>
        <w:tc>
          <w:tcPr>
            <w:tcBorders>
              <w:top w:val="nil"/>
              <w:left w:val="nil"/>
              <w:bottom w:val="single" w:color="000000" w:sz="4" w:space="0"/>
              <w:right w:val="single" w:color="000000" w:sz="4" w:space="0"/>
            </w:tcBorders>
            <w:shd w:val="clear" w:color="auto" w:fill="auto"/>
            <w:vAlign w:val="bottom"/>
          </w:tcPr>
          <w:p w14:paraId="000000ED">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Range</w:t>
            </w:r>
          </w:p>
        </w:tc>
        <w:tc>
          <w:tcPr>
            <w:tcBorders>
              <w:top w:val="nil"/>
              <w:left w:val="nil"/>
              <w:bottom w:val="single" w:color="000000" w:sz="4" w:space="0"/>
              <w:right w:val="single" w:color="000000" w:sz="4" w:space="0"/>
            </w:tcBorders>
            <w:shd w:val="clear" w:color="auto" w:fill="auto"/>
            <w:vAlign w:val="bottom"/>
          </w:tcPr>
          <w:p w14:paraId="000000EE">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63</w:t>
            </w:r>
          </w:p>
        </w:tc>
        <w:tc>
          <w:tcPr>
            <w:tcBorders>
              <w:top w:val="nil"/>
              <w:left w:val="nil"/>
              <w:bottom w:val="single" w:color="000000" w:sz="4" w:space="0"/>
              <w:right w:val="single" w:color="000000" w:sz="4" w:space="0"/>
            </w:tcBorders>
            <w:shd w:val="clear" w:color="auto" w:fill="auto"/>
            <w:vAlign w:val="bottom"/>
          </w:tcPr>
          <w:p w14:paraId="000000EF">
            <w:pPr>
              <w:spacing w:line="240" w:lineRule="auto"/>
              <w:rPr>
                <w:color w:val="000000"/>
                <w:sz w:val="18"/>
                <w:szCs w:val="18"/>
              </w:rPr>
            </w:pPr>
            <w:r>
              <w:rPr>
                <w:color w:val="000000"/>
                <w:sz w:val="18"/>
                <w:szCs w:val="18"/>
                <w:rtl w:val="0"/>
              </w:rPr>
              <w:t>Range</w:t>
            </w:r>
          </w:p>
        </w:tc>
        <w:tc>
          <w:tcPr>
            <w:tcBorders>
              <w:top w:val="nil"/>
              <w:left w:val="nil"/>
              <w:bottom w:val="single" w:color="000000" w:sz="4" w:space="0"/>
              <w:right w:val="single" w:color="000000" w:sz="4" w:space="0"/>
            </w:tcBorders>
            <w:shd w:val="clear" w:color="auto" w:fill="auto"/>
            <w:vAlign w:val="bottom"/>
          </w:tcPr>
          <w:p w14:paraId="000000F0">
            <w:pPr>
              <w:spacing w:line="240" w:lineRule="auto"/>
              <w:jc w:val="right"/>
              <w:rPr>
                <w:color w:val="000000"/>
                <w:sz w:val="18"/>
                <w:szCs w:val="18"/>
              </w:rPr>
            </w:pPr>
            <w:r>
              <w:rPr>
                <w:color w:val="000000"/>
                <w:sz w:val="18"/>
                <w:szCs w:val="18"/>
                <w:rtl w:val="0"/>
              </w:rPr>
              <w:t>1195</w:t>
            </w:r>
          </w:p>
        </w:tc>
        <w:tc>
          <w:tcPr>
            <w:tcBorders>
              <w:top w:val="nil"/>
              <w:left w:val="nil"/>
              <w:bottom w:val="single" w:color="000000" w:sz="4" w:space="0"/>
              <w:right w:val="single" w:color="000000" w:sz="4" w:space="0"/>
            </w:tcBorders>
            <w:shd w:val="clear" w:color="auto" w:fill="auto"/>
            <w:vAlign w:val="bottom"/>
          </w:tcPr>
          <w:p w14:paraId="000000F1">
            <w:pPr>
              <w:spacing w:line="240" w:lineRule="auto"/>
              <w:rPr>
                <w:color w:val="000000"/>
                <w:sz w:val="18"/>
                <w:szCs w:val="18"/>
              </w:rPr>
            </w:pPr>
            <w:r>
              <w:rPr>
                <w:color w:val="000000"/>
                <w:sz w:val="18"/>
                <w:szCs w:val="18"/>
                <w:rtl w:val="0"/>
              </w:rPr>
              <w:t>Range</w:t>
            </w:r>
          </w:p>
        </w:tc>
        <w:tc>
          <w:tcPr>
            <w:tcBorders>
              <w:top w:val="nil"/>
              <w:left w:val="nil"/>
              <w:bottom w:val="single" w:color="000000" w:sz="4" w:space="0"/>
              <w:right w:val="single" w:color="000000" w:sz="4" w:space="0"/>
            </w:tcBorders>
            <w:shd w:val="clear" w:color="auto" w:fill="auto"/>
            <w:vAlign w:val="bottom"/>
          </w:tcPr>
          <w:p w14:paraId="000000F2">
            <w:pPr>
              <w:spacing w:line="240" w:lineRule="auto"/>
              <w:jc w:val="right"/>
              <w:rPr>
                <w:color w:val="000000"/>
                <w:sz w:val="18"/>
                <w:szCs w:val="18"/>
              </w:rPr>
            </w:pPr>
            <w:r>
              <w:rPr>
                <w:color w:val="000000"/>
                <w:sz w:val="18"/>
                <w:szCs w:val="18"/>
                <w:rtl w:val="0"/>
              </w:rPr>
              <w:t>71855</w:t>
            </w:r>
          </w:p>
        </w:tc>
      </w:tr>
      <w:tr w14:paraId="2D31DAC2">
        <w:tblPrEx>
          <w:tblCellMar>
            <w:top w:w="0" w:type="dxa"/>
            <w:left w:w="115" w:type="dxa"/>
            <w:bottom w:w="0" w:type="dxa"/>
            <w:right w:w="115" w:type="dxa"/>
          </w:tblCellMar>
        </w:tblPrEx>
        <w:trPr>
          <w:trHeight w:val="276" w:hRule="atLeast"/>
        </w:trPr>
        <w:tc>
          <w:tcPr>
            <w:tcBorders>
              <w:top w:val="nil"/>
              <w:left w:val="single" w:color="000000" w:sz="4" w:space="0"/>
              <w:bottom w:val="single" w:color="000000" w:sz="4" w:space="0"/>
              <w:right w:val="single" w:color="000000" w:sz="4" w:space="0"/>
            </w:tcBorders>
            <w:shd w:val="clear" w:color="auto" w:fill="auto"/>
            <w:vAlign w:val="bottom"/>
          </w:tcPr>
          <w:p w14:paraId="000000F3">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Minimum</w:t>
            </w:r>
          </w:p>
        </w:tc>
        <w:tc>
          <w:tcPr>
            <w:tcBorders>
              <w:top w:val="nil"/>
              <w:left w:val="nil"/>
              <w:bottom w:val="single" w:color="000000" w:sz="4" w:space="0"/>
              <w:right w:val="single" w:color="000000" w:sz="4" w:space="0"/>
            </w:tcBorders>
            <w:shd w:val="clear" w:color="auto" w:fill="auto"/>
            <w:vAlign w:val="bottom"/>
          </w:tcPr>
          <w:p w14:paraId="000000F4">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15</w:t>
            </w:r>
          </w:p>
        </w:tc>
        <w:tc>
          <w:tcPr>
            <w:tcBorders>
              <w:top w:val="nil"/>
              <w:left w:val="nil"/>
              <w:bottom w:val="single" w:color="000000" w:sz="4" w:space="0"/>
              <w:right w:val="single" w:color="000000" w:sz="4" w:space="0"/>
            </w:tcBorders>
            <w:shd w:val="clear" w:color="auto" w:fill="auto"/>
            <w:vAlign w:val="bottom"/>
          </w:tcPr>
          <w:p w14:paraId="000000F5">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Minimum</w:t>
            </w:r>
          </w:p>
        </w:tc>
        <w:tc>
          <w:tcPr>
            <w:tcBorders>
              <w:top w:val="nil"/>
              <w:left w:val="nil"/>
              <w:bottom w:val="single" w:color="000000" w:sz="4" w:space="0"/>
              <w:right w:val="single" w:color="000000" w:sz="4" w:space="0"/>
            </w:tcBorders>
            <w:shd w:val="clear" w:color="auto" w:fill="auto"/>
            <w:vAlign w:val="bottom"/>
          </w:tcPr>
          <w:p w14:paraId="000000F6">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6</w:t>
            </w:r>
          </w:p>
        </w:tc>
        <w:tc>
          <w:tcPr>
            <w:tcBorders>
              <w:top w:val="nil"/>
              <w:left w:val="nil"/>
              <w:bottom w:val="single" w:color="000000" w:sz="4" w:space="0"/>
              <w:right w:val="single" w:color="000000" w:sz="4" w:space="0"/>
            </w:tcBorders>
            <w:shd w:val="clear" w:color="auto" w:fill="auto"/>
            <w:vAlign w:val="bottom"/>
          </w:tcPr>
          <w:p w14:paraId="000000F7">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Minimum</w:t>
            </w:r>
          </w:p>
        </w:tc>
        <w:tc>
          <w:tcPr>
            <w:tcBorders>
              <w:top w:val="nil"/>
              <w:left w:val="nil"/>
              <w:bottom w:val="single" w:color="000000" w:sz="4" w:space="0"/>
              <w:right w:val="single" w:color="000000" w:sz="4" w:space="0"/>
            </w:tcBorders>
            <w:shd w:val="clear" w:color="auto" w:fill="auto"/>
            <w:vAlign w:val="bottom"/>
          </w:tcPr>
          <w:p w14:paraId="000000F8">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2</w:t>
            </w:r>
          </w:p>
        </w:tc>
        <w:tc>
          <w:tcPr>
            <w:tcBorders>
              <w:top w:val="nil"/>
              <w:left w:val="nil"/>
              <w:bottom w:val="single" w:color="000000" w:sz="4" w:space="0"/>
              <w:right w:val="single" w:color="000000" w:sz="4" w:space="0"/>
            </w:tcBorders>
            <w:shd w:val="clear" w:color="auto" w:fill="auto"/>
            <w:vAlign w:val="bottom"/>
          </w:tcPr>
          <w:p w14:paraId="000000F9">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Minimum</w:t>
            </w:r>
          </w:p>
        </w:tc>
        <w:tc>
          <w:tcPr>
            <w:tcBorders>
              <w:top w:val="nil"/>
              <w:left w:val="nil"/>
              <w:bottom w:val="single" w:color="000000" w:sz="4" w:space="0"/>
              <w:right w:val="single" w:color="000000" w:sz="4" w:space="0"/>
            </w:tcBorders>
            <w:shd w:val="clear" w:color="auto" w:fill="auto"/>
            <w:vAlign w:val="bottom"/>
          </w:tcPr>
          <w:p w14:paraId="000000FA">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17</w:t>
            </w:r>
          </w:p>
        </w:tc>
        <w:tc>
          <w:tcPr>
            <w:tcBorders>
              <w:top w:val="nil"/>
              <w:left w:val="nil"/>
              <w:bottom w:val="single" w:color="000000" w:sz="4" w:space="0"/>
              <w:right w:val="single" w:color="000000" w:sz="4" w:space="0"/>
            </w:tcBorders>
            <w:shd w:val="clear" w:color="auto" w:fill="auto"/>
            <w:vAlign w:val="bottom"/>
          </w:tcPr>
          <w:p w14:paraId="000000FB">
            <w:pPr>
              <w:spacing w:line="240" w:lineRule="auto"/>
              <w:rPr>
                <w:color w:val="000000"/>
                <w:sz w:val="18"/>
                <w:szCs w:val="18"/>
              </w:rPr>
            </w:pPr>
            <w:r>
              <w:rPr>
                <w:color w:val="000000"/>
                <w:sz w:val="18"/>
                <w:szCs w:val="18"/>
                <w:rtl w:val="0"/>
              </w:rPr>
              <w:t>Minimum</w:t>
            </w:r>
          </w:p>
        </w:tc>
        <w:tc>
          <w:tcPr>
            <w:tcBorders>
              <w:top w:val="nil"/>
              <w:left w:val="nil"/>
              <w:bottom w:val="single" w:color="000000" w:sz="4" w:space="0"/>
              <w:right w:val="single" w:color="000000" w:sz="4" w:space="0"/>
            </w:tcBorders>
            <w:shd w:val="clear" w:color="auto" w:fill="auto"/>
            <w:vAlign w:val="bottom"/>
          </w:tcPr>
          <w:p w14:paraId="000000FC">
            <w:pPr>
              <w:spacing w:line="240" w:lineRule="auto"/>
              <w:jc w:val="right"/>
              <w:rPr>
                <w:color w:val="000000"/>
                <w:sz w:val="18"/>
                <w:szCs w:val="18"/>
              </w:rPr>
            </w:pPr>
            <w:r>
              <w:rPr>
                <w:color w:val="000000"/>
                <w:sz w:val="18"/>
                <w:szCs w:val="18"/>
                <w:rtl w:val="0"/>
              </w:rPr>
              <w:t>5</w:t>
            </w:r>
          </w:p>
        </w:tc>
        <w:tc>
          <w:tcPr>
            <w:tcBorders>
              <w:top w:val="nil"/>
              <w:left w:val="nil"/>
              <w:bottom w:val="single" w:color="000000" w:sz="4" w:space="0"/>
              <w:right w:val="single" w:color="000000" w:sz="4" w:space="0"/>
            </w:tcBorders>
            <w:shd w:val="clear" w:color="auto" w:fill="auto"/>
            <w:vAlign w:val="bottom"/>
          </w:tcPr>
          <w:p w14:paraId="000000FD">
            <w:pPr>
              <w:spacing w:line="240" w:lineRule="auto"/>
              <w:rPr>
                <w:color w:val="000000"/>
                <w:sz w:val="18"/>
                <w:szCs w:val="18"/>
              </w:rPr>
            </w:pPr>
            <w:r>
              <w:rPr>
                <w:color w:val="000000"/>
                <w:sz w:val="18"/>
                <w:szCs w:val="18"/>
                <w:rtl w:val="0"/>
              </w:rPr>
              <w:t>Minimum</w:t>
            </w:r>
          </w:p>
        </w:tc>
        <w:tc>
          <w:tcPr>
            <w:tcBorders>
              <w:top w:val="nil"/>
              <w:left w:val="nil"/>
              <w:bottom w:val="single" w:color="000000" w:sz="4" w:space="0"/>
              <w:right w:val="single" w:color="000000" w:sz="4" w:space="0"/>
            </w:tcBorders>
            <w:shd w:val="clear" w:color="auto" w:fill="auto"/>
            <w:vAlign w:val="bottom"/>
          </w:tcPr>
          <w:p w14:paraId="000000FE">
            <w:pPr>
              <w:spacing w:line="240" w:lineRule="auto"/>
              <w:jc w:val="right"/>
              <w:rPr>
                <w:color w:val="000000"/>
                <w:sz w:val="18"/>
                <w:szCs w:val="18"/>
              </w:rPr>
            </w:pPr>
            <w:r>
              <w:rPr>
                <w:color w:val="000000"/>
                <w:sz w:val="18"/>
                <w:szCs w:val="18"/>
                <w:rtl w:val="0"/>
              </w:rPr>
              <w:t>145</w:t>
            </w:r>
          </w:p>
        </w:tc>
      </w:tr>
      <w:tr w14:paraId="180B2665">
        <w:tblPrEx>
          <w:tblCellMar>
            <w:top w:w="0" w:type="dxa"/>
            <w:left w:w="115" w:type="dxa"/>
            <w:bottom w:w="0" w:type="dxa"/>
            <w:right w:w="115" w:type="dxa"/>
          </w:tblCellMar>
        </w:tblPrEx>
        <w:trPr>
          <w:trHeight w:val="276" w:hRule="atLeast"/>
        </w:trPr>
        <w:tc>
          <w:tcPr>
            <w:tcBorders>
              <w:top w:val="nil"/>
              <w:left w:val="single" w:color="000000" w:sz="4" w:space="0"/>
              <w:bottom w:val="single" w:color="000000" w:sz="4" w:space="0"/>
              <w:right w:val="single" w:color="000000" w:sz="4" w:space="0"/>
            </w:tcBorders>
            <w:shd w:val="clear" w:color="auto" w:fill="auto"/>
            <w:vAlign w:val="bottom"/>
          </w:tcPr>
          <w:p w14:paraId="000000FF">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Maximum</w:t>
            </w:r>
          </w:p>
        </w:tc>
        <w:tc>
          <w:tcPr>
            <w:tcBorders>
              <w:top w:val="nil"/>
              <w:left w:val="nil"/>
              <w:bottom w:val="single" w:color="000000" w:sz="4" w:space="0"/>
              <w:right w:val="single" w:color="000000" w:sz="4" w:space="0"/>
            </w:tcBorders>
            <w:shd w:val="clear" w:color="auto" w:fill="auto"/>
            <w:vAlign w:val="bottom"/>
          </w:tcPr>
          <w:p w14:paraId="00000100">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70</w:t>
            </w:r>
          </w:p>
        </w:tc>
        <w:tc>
          <w:tcPr>
            <w:tcBorders>
              <w:top w:val="nil"/>
              <w:left w:val="nil"/>
              <w:bottom w:val="single" w:color="000000" w:sz="4" w:space="0"/>
              <w:right w:val="single" w:color="000000" w:sz="4" w:space="0"/>
            </w:tcBorders>
            <w:shd w:val="clear" w:color="auto" w:fill="auto"/>
            <w:vAlign w:val="bottom"/>
          </w:tcPr>
          <w:p w14:paraId="00000101">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Maximum</w:t>
            </w:r>
          </w:p>
        </w:tc>
        <w:tc>
          <w:tcPr>
            <w:tcBorders>
              <w:top w:val="nil"/>
              <w:left w:val="nil"/>
              <w:bottom w:val="single" w:color="000000" w:sz="4" w:space="0"/>
              <w:right w:val="single" w:color="000000" w:sz="4" w:space="0"/>
            </w:tcBorders>
            <w:shd w:val="clear" w:color="auto" w:fill="auto"/>
            <w:vAlign w:val="bottom"/>
          </w:tcPr>
          <w:p w14:paraId="00000102">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30</w:t>
            </w:r>
          </w:p>
        </w:tc>
        <w:tc>
          <w:tcPr>
            <w:tcBorders>
              <w:top w:val="nil"/>
              <w:left w:val="nil"/>
              <w:bottom w:val="single" w:color="000000" w:sz="4" w:space="0"/>
              <w:right w:val="single" w:color="000000" w:sz="4" w:space="0"/>
            </w:tcBorders>
            <w:shd w:val="clear" w:color="auto" w:fill="auto"/>
            <w:vAlign w:val="bottom"/>
          </w:tcPr>
          <w:p w14:paraId="00000103">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Maximum</w:t>
            </w:r>
          </w:p>
        </w:tc>
        <w:tc>
          <w:tcPr>
            <w:tcBorders>
              <w:top w:val="nil"/>
              <w:left w:val="nil"/>
              <w:bottom w:val="single" w:color="000000" w:sz="4" w:space="0"/>
              <w:right w:val="single" w:color="000000" w:sz="4" w:space="0"/>
            </w:tcBorders>
            <w:shd w:val="clear" w:color="auto" w:fill="auto"/>
            <w:vAlign w:val="bottom"/>
          </w:tcPr>
          <w:p w14:paraId="00000104">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20</w:t>
            </w:r>
          </w:p>
        </w:tc>
        <w:tc>
          <w:tcPr>
            <w:tcBorders>
              <w:top w:val="nil"/>
              <w:left w:val="nil"/>
              <w:bottom w:val="single" w:color="000000" w:sz="4" w:space="0"/>
              <w:right w:val="single" w:color="000000" w:sz="4" w:space="0"/>
            </w:tcBorders>
            <w:shd w:val="clear" w:color="auto" w:fill="auto"/>
            <w:vAlign w:val="bottom"/>
          </w:tcPr>
          <w:p w14:paraId="00000105">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Maximum</w:t>
            </w:r>
          </w:p>
        </w:tc>
        <w:tc>
          <w:tcPr>
            <w:tcBorders>
              <w:top w:val="nil"/>
              <w:left w:val="nil"/>
              <w:bottom w:val="single" w:color="000000" w:sz="4" w:space="0"/>
              <w:right w:val="single" w:color="000000" w:sz="4" w:space="0"/>
            </w:tcBorders>
            <w:shd w:val="clear" w:color="auto" w:fill="auto"/>
            <w:vAlign w:val="bottom"/>
          </w:tcPr>
          <w:p w14:paraId="00000106">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80</w:t>
            </w:r>
          </w:p>
        </w:tc>
        <w:tc>
          <w:tcPr>
            <w:tcBorders>
              <w:top w:val="nil"/>
              <w:left w:val="nil"/>
              <w:bottom w:val="single" w:color="000000" w:sz="4" w:space="0"/>
              <w:right w:val="single" w:color="000000" w:sz="4" w:space="0"/>
            </w:tcBorders>
            <w:shd w:val="clear" w:color="auto" w:fill="auto"/>
            <w:vAlign w:val="bottom"/>
          </w:tcPr>
          <w:p w14:paraId="00000107">
            <w:pPr>
              <w:spacing w:line="240" w:lineRule="auto"/>
              <w:rPr>
                <w:color w:val="000000"/>
                <w:sz w:val="18"/>
                <w:szCs w:val="18"/>
              </w:rPr>
            </w:pPr>
            <w:r>
              <w:rPr>
                <w:color w:val="000000"/>
                <w:sz w:val="18"/>
                <w:szCs w:val="18"/>
                <w:rtl w:val="0"/>
              </w:rPr>
              <w:t>Maximum</w:t>
            </w:r>
          </w:p>
        </w:tc>
        <w:tc>
          <w:tcPr>
            <w:tcBorders>
              <w:top w:val="nil"/>
              <w:left w:val="nil"/>
              <w:bottom w:val="single" w:color="000000" w:sz="4" w:space="0"/>
              <w:right w:val="single" w:color="000000" w:sz="4" w:space="0"/>
            </w:tcBorders>
            <w:shd w:val="clear" w:color="auto" w:fill="auto"/>
            <w:vAlign w:val="bottom"/>
          </w:tcPr>
          <w:p w14:paraId="00000108">
            <w:pPr>
              <w:spacing w:line="240" w:lineRule="auto"/>
              <w:jc w:val="right"/>
              <w:rPr>
                <w:color w:val="000000"/>
                <w:sz w:val="18"/>
                <w:szCs w:val="18"/>
              </w:rPr>
            </w:pPr>
            <w:r>
              <w:rPr>
                <w:color w:val="000000"/>
                <w:sz w:val="18"/>
                <w:szCs w:val="18"/>
                <w:rtl w:val="0"/>
              </w:rPr>
              <w:t>1200</w:t>
            </w:r>
          </w:p>
        </w:tc>
        <w:tc>
          <w:tcPr>
            <w:tcBorders>
              <w:top w:val="nil"/>
              <w:left w:val="nil"/>
              <w:bottom w:val="single" w:color="000000" w:sz="4" w:space="0"/>
              <w:right w:val="single" w:color="000000" w:sz="4" w:space="0"/>
            </w:tcBorders>
            <w:shd w:val="clear" w:color="auto" w:fill="auto"/>
            <w:vAlign w:val="bottom"/>
          </w:tcPr>
          <w:p w14:paraId="00000109">
            <w:pPr>
              <w:spacing w:line="240" w:lineRule="auto"/>
              <w:rPr>
                <w:color w:val="000000"/>
                <w:sz w:val="18"/>
                <w:szCs w:val="18"/>
              </w:rPr>
            </w:pPr>
            <w:r>
              <w:rPr>
                <w:color w:val="000000"/>
                <w:sz w:val="18"/>
                <w:szCs w:val="18"/>
                <w:rtl w:val="0"/>
              </w:rPr>
              <w:t>Maximum</w:t>
            </w:r>
          </w:p>
        </w:tc>
        <w:tc>
          <w:tcPr>
            <w:tcBorders>
              <w:top w:val="nil"/>
              <w:left w:val="nil"/>
              <w:bottom w:val="single" w:color="000000" w:sz="4" w:space="0"/>
              <w:right w:val="single" w:color="000000" w:sz="4" w:space="0"/>
            </w:tcBorders>
            <w:shd w:val="clear" w:color="auto" w:fill="auto"/>
            <w:vAlign w:val="bottom"/>
          </w:tcPr>
          <w:p w14:paraId="0000010A">
            <w:pPr>
              <w:spacing w:line="240" w:lineRule="auto"/>
              <w:jc w:val="right"/>
              <w:rPr>
                <w:color w:val="000000"/>
                <w:sz w:val="18"/>
                <w:szCs w:val="18"/>
              </w:rPr>
            </w:pPr>
            <w:r>
              <w:rPr>
                <w:color w:val="000000"/>
                <w:sz w:val="18"/>
                <w:szCs w:val="18"/>
                <w:rtl w:val="0"/>
              </w:rPr>
              <w:t>72000</w:t>
            </w:r>
          </w:p>
        </w:tc>
      </w:tr>
      <w:tr w14:paraId="585F3E85">
        <w:tblPrEx>
          <w:tblCellMar>
            <w:top w:w="0" w:type="dxa"/>
            <w:left w:w="115" w:type="dxa"/>
            <w:bottom w:w="0" w:type="dxa"/>
            <w:right w:w="115" w:type="dxa"/>
          </w:tblCellMar>
        </w:tblPrEx>
        <w:trPr>
          <w:trHeight w:val="276" w:hRule="atLeast"/>
        </w:trPr>
        <w:tc>
          <w:tcPr>
            <w:tcBorders>
              <w:top w:val="nil"/>
              <w:left w:val="single" w:color="000000" w:sz="4" w:space="0"/>
              <w:bottom w:val="single" w:color="000000" w:sz="4" w:space="0"/>
              <w:right w:val="single" w:color="000000" w:sz="4" w:space="0"/>
            </w:tcBorders>
            <w:shd w:val="clear" w:color="auto" w:fill="auto"/>
            <w:vAlign w:val="bottom"/>
          </w:tcPr>
          <w:p w14:paraId="0000010B">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Sum</w:t>
            </w:r>
          </w:p>
        </w:tc>
        <w:tc>
          <w:tcPr>
            <w:tcBorders>
              <w:top w:val="nil"/>
              <w:left w:val="nil"/>
              <w:bottom w:val="single" w:color="000000" w:sz="4" w:space="0"/>
              <w:right w:val="single" w:color="000000" w:sz="4" w:space="0"/>
            </w:tcBorders>
            <w:shd w:val="clear" w:color="auto" w:fill="auto"/>
            <w:vAlign w:val="bottom"/>
          </w:tcPr>
          <w:p w14:paraId="0000010C">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1655</w:t>
            </w:r>
          </w:p>
        </w:tc>
        <w:tc>
          <w:tcPr>
            <w:tcBorders>
              <w:top w:val="nil"/>
              <w:left w:val="nil"/>
              <w:bottom w:val="single" w:color="000000" w:sz="4" w:space="0"/>
              <w:right w:val="single" w:color="000000" w:sz="4" w:space="0"/>
            </w:tcBorders>
            <w:shd w:val="clear" w:color="auto" w:fill="auto"/>
            <w:vAlign w:val="bottom"/>
          </w:tcPr>
          <w:p w14:paraId="0000010D">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Sum</w:t>
            </w:r>
          </w:p>
        </w:tc>
        <w:tc>
          <w:tcPr>
            <w:tcBorders>
              <w:top w:val="nil"/>
              <w:left w:val="nil"/>
              <w:bottom w:val="single" w:color="000000" w:sz="4" w:space="0"/>
              <w:right w:val="single" w:color="000000" w:sz="4" w:space="0"/>
            </w:tcBorders>
            <w:shd w:val="clear" w:color="auto" w:fill="auto"/>
            <w:vAlign w:val="bottom"/>
          </w:tcPr>
          <w:p w14:paraId="0000010E">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707</w:t>
            </w:r>
          </w:p>
        </w:tc>
        <w:tc>
          <w:tcPr>
            <w:tcBorders>
              <w:top w:val="nil"/>
              <w:left w:val="nil"/>
              <w:bottom w:val="single" w:color="000000" w:sz="4" w:space="0"/>
              <w:right w:val="single" w:color="000000" w:sz="4" w:space="0"/>
            </w:tcBorders>
            <w:shd w:val="clear" w:color="auto" w:fill="auto"/>
            <w:vAlign w:val="bottom"/>
          </w:tcPr>
          <w:p w14:paraId="0000010F">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Sum</w:t>
            </w:r>
          </w:p>
        </w:tc>
        <w:tc>
          <w:tcPr>
            <w:tcBorders>
              <w:top w:val="nil"/>
              <w:left w:val="nil"/>
              <w:bottom w:val="single" w:color="000000" w:sz="4" w:space="0"/>
              <w:right w:val="single" w:color="000000" w:sz="4" w:space="0"/>
            </w:tcBorders>
            <w:shd w:val="clear" w:color="auto" w:fill="auto"/>
            <w:vAlign w:val="bottom"/>
          </w:tcPr>
          <w:p w14:paraId="00000110">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314</w:t>
            </w:r>
          </w:p>
        </w:tc>
        <w:tc>
          <w:tcPr>
            <w:tcBorders>
              <w:top w:val="nil"/>
              <w:left w:val="nil"/>
              <w:bottom w:val="single" w:color="000000" w:sz="4" w:space="0"/>
              <w:right w:val="single" w:color="000000" w:sz="4" w:space="0"/>
            </w:tcBorders>
            <w:shd w:val="clear" w:color="auto" w:fill="auto"/>
            <w:vAlign w:val="bottom"/>
          </w:tcPr>
          <w:p w14:paraId="00000111">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Sum</w:t>
            </w:r>
          </w:p>
        </w:tc>
        <w:tc>
          <w:tcPr>
            <w:tcBorders>
              <w:top w:val="nil"/>
              <w:left w:val="nil"/>
              <w:bottom w:val="single" w:color="000000" w:sz="4" w:space="0"/>
              <w:right w:val="single" w:color="000000" w:sz="4" w:space="0"/>
            </w:tcBorders>
            <w:shd w:val="clear" w:color="auto" w:fill="auto"/>
            <w:vAlign w:val="bottom"/>
          </w:tcPr>
          <w:p w14:paraId="00000112">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2004</w:t>
            </w:r>
          </w:p>
        </w:tc>
        <w:tc>
          <w:tcPr>
            <w:tcBorders>
              <w:top w:val="nil"/>
              <w:left w:val="nil"/>
              <w:bottom w:val="single" w:color="000000" w:sz="4" w:space="0"/>
              <w:right w:val="single" w:color="000000" w:sz="4" w:space="0"/>
            </w:tcBorders>
            <w:shd w:val="clear" w:color="auto" w:fill="auto"/>
            <w:vAlign w:val="bottom"/>
          </w:tcPr>
          <w:p w14:paraId="00000113">
            <w:pPr>
              <w:spacing w:line="240" w:lineRule="auto"/>
              <w:rPr>
                <w:color w:val="000000"/>
                <w:sz w:val="18"/>
                <w:szCs w:val="18"/>
              </w:rPr>
            </w:pPr>
            <w:r>
              <w:rPr>
                <w:color w:val="000000"/>
                <w:sz w:val="18"/>
                <w:szCs w:val="18"/>
                <w:rtl w:val="0"/>
              </w:rPr>
              <w:t>Sum</w:t>
            </w:r>
          </w:p>
        </w:tc>
        <w:tc>
          <w:tcPr>
            <w:tcBorders>
              <w:top w:val="nil"/>
              <w:left w:val="nil"/>
              <w:bottom w:val="single" w:color="000000" w:sz="4" w:space="0"/>
              <w:right w:val="single" w:color="000000" w:sz="4" w:space="0"/>
            </w:tcBorders>
            <w:shd w:val="clear" w:color="auto" w:fill="auto"/>
            <w:vAlign w:val="bottom"/>
          </w:tcPr>
          <w:p w14:paraId="00000114">
            <w:pPr>
              <w:spacing w:line="240" w:lineRule="auto"/>
              <w:jc w:val="right"/>
              <w:rPr>
                <w:color w:val="000000"/>
                <w:sz w:val="18"/>
                <w:szCs w:val="18"/>
              </w:rPr>
            </w:pPr>
            <w:r>
              <w:rPr>
                <w:color w:val="000000"/>
                <w:sz w:val="18"/>
                <w:szCs w:val="18"/>
                <w:rtl w:val="0"/>
              </w:rPr>
              <w:t>7166</w:t>
            </w:r>
          </w:p>
        </w:tc>
        <w:tc>
          <w:tcPr>
            <w:tcBorders>
              <w:top w:val="nil"/>
              <w:left w:val="nil"/>
              <w:bottom w:val="single" w:color="000000" w:sz="4" w:space="0"/>
              <w:right w:val="single" w:color="000000" w:sz="4" w:space="0"/>
            </w:tcBorders>
            <w:shd w:val="clear" w:color="auto" w:fill="auto"/>
            <w:vAlign w:val="bottom"/>
          </w:tcPr>
          <w:p w14:paraId="00000115">
            <w:pPr>
              <w:spacing w:line="240" w:lineRule="auto"/>
              <w:rPr>
                <w:color w:val="000000"/>
                <w:sz w:val="18"/>
                <w:szCs w:val="18"/>
              </w:rPr>
            </w:pPr>
            <w:r>
              <w:rPr>
                <w:color w:val="000000"/>
                <w:sz w:val="18"/>
                <w:szCs w:val="18"/>
                <w:rtl w:val="0"/>
              </w:rPr>
              <w:t>Sum</w:t>
            </w:r>
          </w:p>
        </w:tc>
        <w:tc>
          <w:tcPr>
            <w:tcBorders>
              <w:top w:val="nil"/>
              <w:left w:val="nil"/>
              <w:bottom w:val="single" w:color="000000" w:sz="4" w:space="0"/>
              <w:right w:val="single" w:color="000000" w:sz="4" w:space="0"/>
            </w:tcBorders>
            <w:shd w:val="clear" w:color="auto" w:fill="auto"/>
            <w:vAlign w:val="bottom"/>
          </w:tcPr>
          <w:p w14:paraId="00000116">
            <w:pPr>
              <w:spacing w:line="240" w:lineRule="auto"/>
              <w:jc w:val="right"/>
              <w:rPr>
                <w:color w:val="000000"/>
                <w:sz w:val="18"/>
                <w:szCs w:val="18"/>
              </w:rPr>
            </w:pPr>
            <w:r>
              <w:rPr>
                <w:color w:val="000000"/>
                <w:sz w:val="18"/>
                <w:szCs w:val="18"/>
                <w:rtl w:val="0"/>
              </w:rPr>
              <w:t>359760</w:t>
            </w:r>
          </w:p>
        </w:tc>
      </w:tr>
      <w:tr w14:paraId="5FE3FAFE">
        <w:tblPrEx>
          <w:tblCellMar>
            <w:top w:w="0" w:type="dxa"/>
            <w:left w:w="115" w:type="dxa"/>
            <w:bottom w:w="0" w:type="dxa"/>
            <w:right w:w="115" w:type="dxa"/>
          </w:tblCellMar>
        </w:tblPrEx>
        <w:trPr>
          <w:trHeight w:val="276" w:hRule="atLeast"/>
        </w:trPr>
        <w:tc>
          <w:tcPr>
            <w:tcBorders>
              <w:top w:val="nil"/>
              <w:left w:val="single" w:color="000000" w:sz="4" w:space="0"/>
              <w:bottom w:val="single" w:color="000000" w:sz="4" w:space="0"/>
              <w:right w:val="single" w:color="000000" w:sz="4" w:space="0"/>
            </w:tcBorders>
            <w:shd w:val="clear" w:color="auto" w:fill="auto"/>
            <w:vAlign w:val="bottom"/>
          </w:tcPr>
          <w:p w14:paraId="00000117">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Count</w:t>
            </w:r>
          </w:p>
        </w:tc>
        <w:tc>
          <w:tcPr>
            <w:tcBorders>
              <w:top w:val="nil"/>
              <w:left w:val="nil"/>
              <w:bottom w:val="single" w:color="000000" w:sz="4" w:space="0"/>
              <w:right w:val="single" w:color="000000" w:sz="4" w:space="0"/>
            </w:tcBorders>
            <w:shd w:val="clear" w:color="auto" w:fill="auto"/>
            <w:vAlign w:val="bottom"/>
          </w:tcPr>
          <w:p w14:paraId="00000118">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46</w:t>
            </w:r>
          </w:p>
        </w:tc>
        <w:tc>
          <w:tcPr>
            <w:tcBorders>
              <w:top w:val="nil"/>
              <w:left w:val="nil"/>
              <w:bottom w:val="single" w:color="000000" w:sz="4" w:space="0"/>
              <w:right w:val="single" w:color="000000" w:sz="4" w:space="0"/>
            </w:tcBorders>
            <w:shd w:val="clear" w:color="auto" w:fill="auto"/>
            <w:vAlign w:val="bottom"/>
          </w:tcPr>
          <w:p w14:paraId="00000119">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Count</w:t>
            </w:r>
          </w:p>
        </w:tc>
        <w:tc>
          <w:tcPr>
            <w:tcBorders>
              <w:top w:val="nil"/>
              <w:left w:val="nil"/>
              <w:bottom w:val="single" w:color="000000" w:sz="4" w:space="0"/>
              <w:right w:val="single" w:color="000000" w:sz="4" w:space="0"/>
            </w:tcBorders>
            <w:shd w:val="clear" w:color="auto" w:fill="auto"/>
            <w:vAlign w:val="bottom"/>
          </w:tcPr>
          <w:p w14:paraId="0000011A">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46</w:t>
            </w:r>
          </w:p>
        </w:tc>
        <w:tc>
          <w:tcPr>
            <w:tcBorders>
              <w:top w:val="nil"/>
              <w:left w:val="nil"/>
              <w:bottom w:val="single" w:color="000000" w:sz="4" w:space="0"/>
              <w:right w:val="single" w:color="000000" w:sz="4" w:space="0"/>
            </w:tcBorders>
            <w:shd w:val="clear" w:color="auto" w:fill="auto"/>
            <w:vAlign w:val="bottom"/>
          </w:tcPr>
          <w:p w14:paraId="0000011B">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Count</w:t>
            </w:r>
          </w:p>
        </w:tc>
        <w:tc>
          <w:tcPr>
            <w:tcBorders>
              <w:top w:val="nil"/>
              <w:left w:val="nil"/>
              <w:bottom w:val="single" w:color="000000" w:sz="4" w:space="0"/>
              <w:right w:val="single" w:color="000000" w:sz="4" w:space="0"/>
            </w:tcBorders>
            <w:shd w:val="clear" w:color="auto" w:fill="auto"/>
            <w:vAlign w:val="bottom"/>
          </w:tcPr>
          <w:p w14:paraId="0000011C">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46</w:t>
            </w:r>
          </w:p>
        </w:tc>
        <w:tc>
          <w:tcPr>
            <w:tcBorders>
              <w:top w:val="nil"/>
              <w:left w:val="nil"/>
              <w:bottom w:val="single" w:color="000000" w:sz="4" w:space="0"/>
              <w:right w:val="single" w:color="000000" w:sz="4" w:space="0"/>
            </w:tcBorders>
            <w:shd w:val="clear" w:color="auto" w:fill="auto"/>
            <w:vAlign w:val="bottom"/>
          </w:tcPr>
          <w:p w14:paraId="0000011D">
            <w:pPr>
              <w:spacing w:line="240" w:lineRule="auto"/>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Count</w:t>
            </w:r>
          </w:p>
        </w:tc>
        <w:tc>
          <w:tcPr>
            <w:tcBorders>
              <w:top w:val="nil"/>
              <w:left w:val="nil"/>
              <w:bottom w:val="single" w:color="000000" w:sz="4" w:space="0"/>
              <w:right w:val="single" w:color="000000" w:sz="4" w:space="0"/>
            </w:tcBorders>
            <w:shd w:val="clear" w:color="auto" w:fill="auto"/>
            <w:vAlign w:val="bottom"/>
          </w:tcPr>
          <w:p w14:paraId="0000011E">
            <w:pPr>
              <w:spacing w:line="240" w:lineRule="auto"/>
              <w:jc w:val="righ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tl w:val="0"/>
              </w:rPr>
              <w:t>46</w:t>
            </w:r>
          </w:p>
        </w:tc>
        <w:tc>
          <w:tcPr>
            <w:tcBorders>
              <w:top w:val="nil"/>
              <w:left w:val="nil"/>
              <w:bottom w:val="single" w:color="000000" w:sz="4" w:space="0"/>
              <w:right w:val="single" w:color="000000" w:sz="4" w:space="0"/>
            </w:tcBorders>
            <w:shd w:val="clear" w:color="auto" w:fill="auto"/>
            <w:vAlign w:val="bottom"/>
          </w:tcPr>
          <w:p w14:paraId="0000011F">
            <w:pPr>
              <w:spacing w:line="240" w:lineRule="auto"/>
              <w:rPr>
                <w:color w:val="000000"/>
                <w:sz w:val="18"/>
                <w:szCs w:val="18"/>
              </w:rPr>
            </w:pPr>
            <w:r>
              <w:rPr>
                <w:color w:val="000000"/>
                <w:sz w:val="18"/>
                <w:szCs w:val="18"/>
                <w:rtl w:val="0"/>
              </w:rPr>
              <w:t>Count</w:t>
            </w:r>
          </w:p>
        </w:tc>
        <w:tc>
          <w:tcPr>
            <w:tcBorders>
              <w:top w:val="nil"/>
              <w:left w:val="nil"/>
              <w:bottom w:val="single" w:color="000000" w:sz="4" w:space="0"/>
              <w:right w:val="single" w:color="000000" w:sz="4" w:space="0"/>
            </w:tcBorders>
            <w:shd w:val="clear" w:color="auto" w:fill="auto"/>
            <w:vAlign w:val="bottom"/>
          </w:tcPr>
          <w:p w14:paraId="00000120">
            <w:pPr>
              <w:spacing w:line="240" w:lineRule="auto"/>
              <w:jc w:val="right"/>
              <w:rPr>
                <w:color w:val="000000"/>
                <w:sz w:val="18"/>
                <w:szCs w:val="18"/>
              </w:rPr>
            </w:pPr>
            <w:r>
              <w:rPr>
                <w:color w:val="000000"/>
                <w:sz w:val="18"/>
                <w:szCs w:val="18"/>
                <w:rtl w:val="0"/>
              </w:rPr>
              <w:t>46</w:t>
            </w:r>
          </w:p>
        </w:tc>
        <w:tc>
          <w:tcPr>
            <w:tcBorders>
              <w:top w:val="nil"/>
              <w:left w:val="nil"/>
              <w:bottom w:val="single" w:color="000000" w:sz="4" w:space="0"/>
              <w:right w:val="single" w:color="000000" w:sz="4" w:space="0"/>
            </w:tcBorders>
            <w:shd w:val="clear" w:color="auto" w:fill="auto"/>
            <w:vAlign w:val="bottom"/>
          </w:tcPr>
          <w:p w14:paraId="00000121">
            <w:pPr>
              <w:spacing w:line="240" w:lineRule="auto"/>
              <w:rPr>
                <w:color w:val="000000"/>
                <w:sz w:val="18"/>
                <w:szCs w:val="18"/>
              </w:rPr>
            </w:pPr>
            <w:r>
              <w:rPr>
                <w:color w:val="000000"/>
                <w:sz w:val="18"/>
                <w:szCs w:val="18"/>
                <w:rtl w:val="0"/>
              </w:rPr>
              <w:t>Count</w:t>
            </w:r>
          </w:p>
        </w:tc>
        <w:tc>
          <w:tcPr>
            <w:tcBorders>
              <w:top w:val="nil"/>
              <w:left w:val="nil"/>
              <w:bottom w:val="single" w:color="000000" w:sz="4" w:space="0"/>
              <w:right w:val="single" w:color="000000" w:sz="4" w:space="0"/>
            </w:tcBorders>
            <w:shd w:val="clear" w:color="auto" w:fill="auto"/>
            <w:vAlign w:val="bottom"/>
          </w:tcPr>
          <w:p w14:paraId="00000122">
            <w:pPr>
              <w:spacing w:line="240" w:lineRule="auto"/>
              <w:jc w:val="right"/>
              <w:rPr>
                <w:color w:val="000000"/>
                <w:sz w:val="18"/>
                <w:szCs w:val="18"/>
              </w:rPr>
            </w:pPr>
            <w:r>
              <w:rPr>
                <w:color w:val="000000"/>
                <w:sz w:val="18"/>
                <w:szCs w:val="18"/>
                <w:rtl w:val="0"/>
              </w:rPr>
              <w:t>46</w:t>
            </w:r>
          </w:p>
        </w:tc>
      </w:tr>
    </w:tbl>
    <w:p w14:paraId="00000123">
      <w:pPr>
        <w:spacing w:before="280" w:after="28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Opening Stock</w:t>
      </w:r>
    </w:p>
    <w:p w14:paraId="00000124">
      <w:pPr>
        <w:numPr>
          <w:ilvl w:val="0"/>
          <w:numId w:val="4"/>
        </w:numPr>
        <w:spacing w:before="280" w:after="0" w:line="360" w:lineRule="auto"/>
        <w:ind w:left="720" w:hanging="360"/>
        <w:jc w:val="both"/>
      </w:pPr>
      <w:r>
        <w:rPr>
          <w:rFonts w:ascii="Times New Roman" w:hAnsi="Times New Roman" w:eastAsia="Times New Roman" w:cs="Times New Roman"/>
          <w:b/>
          <w:sz w:val="24"/>
          <w:szCs w:val="24"/>
          <w:rtl w:val="0"/>
        </w:rPr>
        <w:t>Mean</w:t>
      </w:r>
      <w:r>
        <w:rPr>
          <w:rFonts w:ascii="Times New Roman" w:hAnsi="Times New Roman" w:eastAsia="Times New Roman" w:cs="Times New Roman"/>
          <w:sz w:val="24"/>
          <w:szCs w:val="24"/>
          <w:rtl w:val="0"/>
        </w:rPr>
        <w:t>: 35.98, indicating an average opening stock of 36 units.</w:t>
      </w:r>
    </w:p>
    <w:p w14:paraId="00000125">
      <w:pPr>
        <w:numPr>
          <w:ilvl w:val="0"/>
          <w:numId w:val="4"/>
        </w:numPr>
        <w:spacing w:before="0" w:after="0" w:line="360" w:lineRule="auto"/>
        <w:ind w:left="720" w:hanging="360"/>
        <w:jc w:val="both"/>
      </w:pPr>
      <w:r>
        <w:rPr>
          <w:rFonts w:ascii="Times New Roman" w:hAnsi="Times New Roman" w:eastAsia="Times New Roman" w:cs="Times New Roman"/>
          <w:b/>
          <w:sz w:val="24"/>
          <w:szCs w:val="24"/>
          <w:rtl w:val="0"/>
        </w:rPr>
        <w:t>Median</w:t>
      </w:r>
      <w:r>
        <w:rPr>
          <w:rFonts w:ascii="Times New Roman" w:hAnsi="Times New Roman" w:eastAsia="Times New Roman" w:cs="Times New Roman"/>
          <w:sz w:val="24"/>
          <w:szCs w:val="24"/>
          <w:rtl w:val="0"/>
        </w:rPr>
        <w:t>: 35, which is close to the mean, suggesting a fairly symmetrical distribution.</w:t>
      </w:r>
    </w:p>
    <w:p w14:paraId="00000126">
      <w:pPr>
        <w:numPr>
          <w:ilvl w:val="0"/>
          <w:numId w:val="4"/>
        </w:numPr>
        <w:spacing w:before="0" w:after="0" w:line="360" w:lineRule="auto"/>
        <w:ind w:left="720" w:hanging="360"/>
        <w:jc w:val="both"/>
      </w:pPr>
      <w:r>
        <w:rPr>
          <w:rFonts w:ascii="Times New Roman" w:hAnsi="Times New Roman" w:eastAsia="Times New Roman" w:cs="Times New Roman"/>
          <w:b/>
          <w:sz w:val="24"/>
          <w:szCs w:val="24"/>
          <w:rtl w:val="0"/>
        </w:rPr>
        <w:t>Mode</w:t>
      </w:r>
      <w:r>
        <w:rPr>
          <w:rFonts w:ascii="Times New Roman" w:hAnsi="Times New Roman" w:eastAsia="Times New Roman" w:cs="Times New Roman"/>
          <w:sz w:val="24"/>
          <w:szCs w:val="24"/>
          <w:rtl w:val="0"/>
        </w:rPr>
        <w:t>: 40, indicating 40 units was the most frequent opening stock.</w:t>
      </w:r>
    </w:p>
    <w:p w14:paraId="00000127">
      <w:pPr>
        <w:numPr>
          <w:ilvl w:val="0"/>
          <w:numId w:val="4"/>
        </w:numPr>
        <w:spacing w:before="0" w:after="0" w:line="360" w:lineRule="auto"/>
        <w:ind w:left="720" w:hanging="360"/>
        <w:jc w:val="both"/>
      </w:pPr>
      <w:r>
        <w:rPr>
          <w:rFonts w:ascii="Times New Roman" w:hAnsi="Times New Roman" w:eastAsia="Times New Roman" w:cs="Times New Roman"/>
          <w:b/>
          <w:sz w:val="24"/>
          <w:szCs w:val="24"/>
          <w:rtl w:val="0"/>
        </w:rPr>
        <w:t>Range</w:t>
      </w:r>
      <w:r>
        <w:rPr>
          <w:rFonts w:ascii="Times New Roman" w:hAnsi="Times New Roman" w:eastAsia="Times New Roman" w:cs="Times New Roman"/>
          <w:sz w:val="24"/>
          <w:szCs w:val="24"/>
          <w:rtl w:val="0"/>
        </w:rPr>
        <w:t>: 55, with a minimum of 15 and maximum of 70.</w:t>
      </w:r>
    </w:p>
    <w:p w14:paraId="00000128">
      <w:pPr>
        <w:numPr>
          <w:ilvl w:val="0"/>
          <w:numId w:val="4"/>
        </w:numPr>
        <w:spacing w:before="0" w:after="0" w:line="360" w:lineRule="auto"/>
        <w:ind w:left="720" w:hanging="360"/>
        <w:jc w:val="both"/>
      </w:pPr>
      <w:r>
        <w:rPr>
          <w:rFonts w:ascii="Times New Roman" w:hAnsi="Times New Roman" w:eastAsia="Times New Roman" w:cs="Times New Roman"/>
          <w:b/>
          <w:sz w:val="24"/>
          <w:szCs w:val="24"/>
          <w:rtl w:val="0"/>
        </w:rPr>
        <w:t>Skewness</w:t>
      </w:r>
      <w:r>
        <w:rPr>
          <w:rFonts w:ascii="Times New Roman" w:hAnsi="Times New Roman" w:eastAsia="Times New Roman" w:cs="Times New Roman"/>
          <w:sz w:val="24"/>
          <w:szCs w:val="24"/>
          <w:rtl w:val="0"/>
        </w:rPr>
        <w:t>: 0.59, showing a slight positive skew, meaning most values are clustered below the mean with a few higher values.</w:t>
      </w:r>
    </w:p>
    <w:p w14:paraId="00000129">
      <w:pPr>
        <w:numPr>
          <w:ilvl w:val="0"/>
          <w:numId w:val="4"/>
        </w:numPr>
        <w:spacing w:before="0" w:after="280" w:line="360" w:lineRule="auto"/>
        <w:ind w:left="720" w:hanging="360"/>
        <w:jc w:val="both"/>
      </w:pPr>
      <w:r>
        <w:rPr>
          <w:rFonts w:ascii="Times New Roman" w:hAnsi="Times New Roman" w:eastAsia="Times New Roman" w:cs="Times New Roman"/>
          <w:b/>
          <w:sz w:val="24"/>
          <w:szCs w:val="24"/>
          <w:rtl w:val="0"/>
        </w:rPr>
        <w:t>Interpretation</w:t>
      </w:r>
      <w:r>
        <w:rPr>
          <w:rFonts w:ascii="Times New Roman" w:hAnsi="Times New Roman" w:eastAsia="Times New Roman" w:cs="Times New Roman"/>
          <w:sz w:val="24"/>
          <w:szCs w:val="24"/>
          <w:rtl w:val="0"/>
        </w:rPr>
        <w:t>: The opening stock distribution is relatively symmetrical, with a moderate concentration around 36 units. The slight positive skew suggests occasional higher stock values, but these are not overly extreme.</w:t>
      </w:r>
    </w:p>
    <w:p w14:paraId="0000012A">
      <w:pPr>
        <w:spacing w:before="280" w:after="28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Purchases / Stock In</w:t>
      </w:r>
    </w:p>
    <w:p w14:paraId="0000012B">
      <w:pPr>
        <w:numPr>
          <w:ilvl w:val="0"/>
          <w:numId w:val="5"/>
        </w:numPr>
        <w:spacing w:before="280" w:after="0" w:line="360" w:lineRule="auto"/>
        <w:ind w:left="720" w:hanging="360"/>
        <w:jc w:val="both"/>
      </w:pPr>
      <w:r>
        <w:rPr>
          <w:rFonts w:ascii="Times New Roman" w:hAnsi="Times New Roman" w:eastAsia="Times New Roman" w:cs="Times New Roman"/>
          <w:b/>
          <w:sz w:val="24"/>
          <w:szCs w:val="24"/>
          <w:rtl w:val="0"/>
        </w:rPr>
        <w:t>Mean</w:t>
      </w:r>
      <w:r>
        <w:rPr>
          <w:rFonts w:ascii="Times New Roman" w:hAnsi="Times New Roman" w:eastAsia="Times New Roman" w:cs="Times New Roman"/>
          <w:sz w:val="24"/>
          <w:szCs w:val="24"/>
          <w:rtl w:val="0"/>
        </w:rPr>
        <w:t>: 15.37, representing the average number of units purchased.</w:t>
      </w:r>
    </w:p>
    <w:p w14:paraId="0000012C">
      <w:pPr>
        <w:numPr>
          <w:ilvl w:val="0"/>
          <w:numId w:val="5"/>
        </w:numPr>
        <w:spacing w:before="0" w:after="0" w:line="360" w:lineRule="auto"/>
        <w:ind w:left="720" w:hanging="360"/>
        <w:jc w:val="both"/>
      </w:pPr>
      <w:r>
        <w:rPr>
          <w:rFonts w:ascii="Times New Roman" w:hAnsi="Times New Roman" w:eastAsia="Times New Roman" w:cs="Times New Roman"/>
          <w:b/>
          <w:sz w:val="24"/>
          <w:szCs w:val="24"/>
          <w:rtl w:val="0"/>
        </w:rPr>
        <w:t>Median</w:t>
      </w:r>
      <w:r>
        <w:rPr>
          <w:rFonts w:ascii="Times New Roman" w:hAnsi="Times New Roman" w:eastAsia="Times New Roman" w:cs="Times New Roman"/>
          <w:sz w:val="24"/>
          <w:szCs w:val="24"/>
          <w:rtl w:val="0"/>
        </w:rPr>
        <w:t>: 15, indicating a balanced distribution around the mean.</w:t>
      </w:r>
    </w:p>
    <w:p w14:paraId="0000012D">
      <w:pPr>
        <w:numPr>
          <w:ilvl w:val="0"/>
          <w:numId w:val="5"/>
        </w:numPr>
        <w:spacing w:before="0" w:after="0" w:line="360" w:lineRule="auto"/>
        <w:ind w:left="720" w:hanging="360"/>
        <w:jc w:val="both"/>
      </w:pPr>
      <w:r>
        <w:rPr>
          <w:rFonts w:ascii="Times New Roman" w:hAnsi="Times New Roman" w:eastAsia="Times New Roman" w:cs="Times New Roman"/>
          <w:b/>
          <w:sz w:val="24"/>
          <w:szCs w:val="24"/>
          <w:rtl w:val="0"/>
        </w:rPr>
        <w:t>Mode</w:t>
      </w:r>
      <w:r>
        <w:rPr>
          <w:rFonts w:ascii="Times New Roman" w:hAnsi="Times New Roman" w:eastAsia="Times New Roman" w:cs="Times New Roman"/>
          <w:sz w:val="24"/>
          <w:szCs w:val="24"/>
          <w:rtl w:val="0"/>
        </w:rPr>
        <w:t>: 15, showing that 15 units is also the most common purchase quantity.</w:t>
      </w:r>
    </w:p>
    <w:p w14:paraId="0000012E">
      <w:pPr>
        <w:numPr>
          <w:ilvl w:val="0"/>
          <w:numId w:val="5"/>
        </w:numPr>
        <w:spacing w:before="0" w:after="0" w:line="360" w:lineRule="auto"/>
        <w:ind w:left="720" w:hanging="360"/>
        <w:jc w:val="both"/>
      </w:pPr>
      <w:r>
        <w:rPr>
          <w:rFonts w:ascii="Times New Roman" w:hAnsi="Times New Roman" w:eastAsia="Times New Roman" w:cs="Times New Roman"/>
          <w:b/>
          <w:sz w:val="24"/>
          <w:szCs w:val="24"/>
          <w:rtl w:val="0"/>
        </w:rPr>
        <w:t>Range</w:t>
      </w:r>
      <w:r>
        <w:rPr>
          <w:rFonts w:ascii="Times New Roman" w:hAnsi="Times New Roman" w:eastAsia="Times New Roman" w:cs="Times New Roman"/>
          <w:sz w:val="24"/>
          <w:szCs w:val="24"/>
          <w:rtl w:val="0"/>
        </w:rPr>
        <w:t>: 24, with values ranging from 6 to 30 units.</w:t>
      </w:r>
    </w:p>
    <w:p w14:paraId="0000012F">
      <w:pPr>
        <w:numPr>
          <w:ilvl w:val="0"/>
          <w:numId w:val="5"/>
        </w:numPr>
        <w:spacing w:before="0" w:after="0" w:line="360" w:lineRule="auto"/>
        <w:ind w:left="720" w:hanging="360"/>
        <w:jc w:val="both"/>
      </w:pPr>
      <w:r>
        <w:rPr>
          <w:rFonts w:ascii="Times New Roman" w:hAnsi="Times New Roman" w:eastAsia="Times New Roman" w:cs="Times New Roman"/>
          <w:b/>
          <w:sz w:val="24"/>
          <w:szCs w:val="24"/>
          <w:rtl w:val="0"/>
        </w:rPr>
        <w:t>Skewness</w:t>
      </w:r>
      <w:r>
        <w:rPr>
          <w:rFonts w:ascii="Times New Roman" w:hAnsi="Times New Roman" w:eastAsia="Times New Roman" w:cs="Times New Roman"/>
          <w:sz w:val="24"/>
          <w:szCs w:val="24"/>
          <w:rtl w:val="0"/>
        </w:rPr>
        <w:t>: 0.60, showing a moderate positive skew.</w:t>
      </w:r>
    </w:p>
    <w:p w14:paraId="00000130">
      <w:pPr>
        <w:numPr>
          <w:ilvl w:val="0"/>
          <w:numId w:val="5"/>
        </w:numPr>
        <w:spacing w:before="0" w:after="280" w:line="360" w:lineRule="auto"/>
        <w:ind w:left="720" w:hanging="360"/>
        <w:jc w:val="both"/>
      </w:pPr>
      <w:r>
        <w:rPr>
          <w:rFonts w:ascii="Times New Roman" w:hAnsi="Times New Roman" w:eastAsia="Times New Roman" w:cs="Times New Roman"/>
          <w:b/>
          <w:sz w:val="24"/>
          <w:szCs w:val="24"/>
          <w:rtl w:val="0"/>
        </w:rPr>
        <w:t>Interpretation</w:t>
      </w:r>
      <w:r>
        <w:rPr>
          <w:rFonts w:ascii="Times New Roman" w:hAnsi="Times New Roman" w:eastAsia="Times New Roman" w:cs="Times New Roman"/>
          <w:sz w:val="24"/>
          <w:szCs w:val="24"/>
          <w:rtl w:val="0"/>
        </w:rPr>
        <w:t>: Purchases are consistent, typically around 15 units, with some variation. The positive skew hints at occasional higher purchase quantities.</w:t>
      </w:r>
    </w:p>
    <w:p w14:paraId="00000131">
      <w:pPr>
        <w:spacing w:before="280" w:after="28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Number of Units Sold</w:t>
      </w:r>
    </w:p>
    <w:p w14:paraId="00000132">
      <w:pPr>
        <w:numPr>
          <w:ilvl w:val="0"/>
          <w:numId w:val="6"/>
        </w:numPr>
        <w:spacing w:before="280" w:after="0" w:line="360" w:lineRule="auto"/>
        <w:ind w:left="720" w:hanging="360"/>
        <w:jc w:val="both"/>
      </w:pPr>
      <w:r>
        <w:rPr>
          <w:rFonts w:ascii="Times New Roman" w:hAnsi="Times New Roman" w:eastAsia="Times New Roman" w:cs="Times New Roman"/>
          <w:b/>
          <w:sz w:val="24"/>
          <w:szCs w:val="24"/>
          <w:rtl w:val="0"/>
        </w:rPr>
        <w:t>Mean</w:t>
      </w:r>
      <w:r>
        <w:rPr>
          <w:rFonts w:ascii="Times New Roman" w:hAnsi="Times New Roman" w:eastAsia="Times New Roman" w:cs="Times New Roman"/>
          <w:sz w:val="24"/>
          <w:szCs w:val="24"/>
          <w:rtl w:val="0"/>
        </w:rPr>
        <w:t>: 6.83, which is relatively low compared to stock levels.</w:t>
      </w:r>
    </w:p>
    <w:p w14:paraId="00000133">
      <w:pPr>
        <w:numPr>
          <w:ilvl w:val="0"/>
          <w:numId w:val="6"/>
        </w:numPr>
        <w:spacing w:before="0" w:after="0" w:line="360" w:lineRule="auto"/>
        <w:ind w:left="720" w:hanging="360"/>
        <w:jc w:val="both"/>
      </w:pPr>
      <w:r>
        <w:rPr>
          <w:rFonts w:ascii="Times New Roman" w:hAnsi="Times New Roman" w:eastAsia="Times New Roman" w:cs="Times New Roman"/>
          <w:b/>
          <w:sz w:val="24"/>
          <w:szCs w:val="24"/>
          <w:rtl w:val="0"/>
        </w:rPr>
        <w:t>Median</w:t>
      </w:r>
      <w:r>
        <w:rPr>
          <w:rFonts w:ascii="Times New Roman" w:hAnsi="Times New Roman" w:eastAsia="Times New Roman" w:cs="Times New Roman"/>
          <w:sz w:val="24"/>
          <w:szCs w:val="24"/>
          <w:rtl w:val="0"/>
        </w:rPr>
        <w:t>: 6, closely matching the mean, suggesting symmetry.</w:t>
      </w:r>
    </w:p>
    <w:p w14:paraId="00000134">
      <w:pPr>
        <w:numPr>
          <w:ilvl w:val="0"/>
          <w:numId w:val="6"/>
        </w:numPr>
        <w:spacing w:before="0" w:after="0" w:line="360" w:lineRule="auto"/>
        <w:ind w:left="720" w:hanging="360"/>
        <w:jc w:val="both"/>
      </w:pPr>
      <w:r>
        <w:rPr>
          <w:rFonts w:ascii="Times New Roman" w:hAnsi="Times New Roman" w:eastAsia="Times New Roman" w:cs="Times New Roman"/>
          <w:b/>
          <w:sz w:val="24"/>
          <w:szCs w:val="24"/>
          <w:rtl w:val="0"/>
        </w:rPr>
        <w:t>Mode</w:t>
      </w:r>
      <w:r>
        <w:rPr>
          <w:rFonts w:ascii="Times New Roman" w:hAnsi="Times New Roman" w:eastAsia="Times New Roman" w:cs="Times New Roman"/>
          <w:sz w:val="24"/>
          <w:szCs w:val="24"/>
          <w:rtl w:val="0"/>
        </w:rPr>
        <w:t>: 3, indicating that selling three units is common.</w:t>
      </w:r>
    </w:p>
    <w:p w14:paraId="00000135">
      <w:pPr>
        <w:numPr>
          <w:ilvl w:val="0"/>
          <w:numId w:val="6"/>
        </w:numPr>
        <w:spacing w:before="0" w:after="0" w:line="360" w:lineRule="auto"/>
        <w:ind w:left="720" w:hanging="360"/>
        <w:jc w:val="both"/>
      </w:pPr>
      <w:r>
        <w:rPr>
          <w:rFonts w:ascii="Times New Roman" w:hAnsi="Times New Roman" w:eastAsia="Times New Roman" w:cs="Times New Roman"/>
          <w:b/>
          <w:sz w:val="24"/>
          <w:szCs w:val="24"/>
          <w:rtl w:val="0"/>
        </w:rPr>
        <w:t>Range</w:t>
      </w:r>
      <w:r>
        <w:rPr>
          <w:rFonts w:ascii="Times New Roman" w:hAnsi="Times New Roman" w:eastAsia="Times New Roman" w:cs="Times New Roman"/>
          <w:sz w:val="24"/>
          <w:szCs w:val="24"/>
          <w:rtl w:val="0"/>
        </w:rPr>
        <w:t>: 18, with a minimum of 2 and a maximum of 20.</w:t>
      </w:r>
    </w:p>
    <w:p w14:paraId="00000136">
      <w:pPr>
        <w:numPr>
          <w:ilvl w:val="0"/>
          <w:numId w:val="6"/>
        </w:numPr>
        <w:spacing w:before="0" w:after="0" w:line="360" w:lineRule="auto"/>
        <w:ind w:left="720" w:hanging="360"/>
        <w:jc w:val="both"/>
      </w:pPr>
      <w:r>
        <w:rPr>
          <w:rFonts w:ascii="Times New Roman" w:hAnsi="Times New Roman" w:eastAsia="Times New Roman" w:cs="Times New Roman"/>
          <w:b/>
          <w:sz w:val="24"/>
          <w:szCs w:val="24"/>
          <w:rtl w:val="0"/>
        </w:rPr>
        <w:t>Skewness</w:t>
      </w:r>
      <w:r>
        <w:rPr>
          <w:rFonts w:ascii="Times New Roman" w:hAnsi="Times New Roman" w:eastAsia="Times New Roman" w:cs="Times New Roman"/>
          <w:sz w:val="24"/>
          <w:szCs w:val="24"/>
          <w:rtl w:val="0"/>
        </w:rPr>
        <w:t>: 1.26, a higher positive skew, indicating a concentration of lower sales values.</w:t>
      </w:r>
    </w:p>
    <w:p w14:paraId="00000137">
      <w:pPr>
        <w:numPr>
          <w:ilvl w:val="0"/>
          <w:numId w:val="6"/>
        </w:numPr>
        <w:spacing w:before="0" w:after="280" w:line="360" w:lineRule="auto"/>
        <w:ind w:left="720" w:hanging="360"/>
        <w:jc w:val="both"/>
      </w:pPr>
      <w:r>
        <w:rPr>
          <w:rFonts w:ascii="Times New Roman" w:hAnsi="Times New Roman" w:eastAsia="Times New Roman" w:cs="Times New Roman"/>
          <w:b/>
          <w:sz w:val="24"/>
          <w:szCs w:val="24"/>
          <w:rtl w:val="0"/>
        </w:rPr>
        <w:t>Interpretation</w:t>
      </w:r>
      <w:r>
        <w:rPr>
          <w:rFonts w:ascii="Times New Roman" w:hAnsi="Times New Roman" w:eastAsia="Times New Roman" w:cs="Times New Roman"/>
          <w:sz w:val="24"/>
          <w:szCs w:val="24"/>
          <w:rtl w:val="0"/>
        </w:rPr>
        <w:t>: Most sales are for fewer units, as indicated by the low mean and median. The high skewness points to occasional larger sales, but these are rare.</w:t>
      </w:r>
    </w:p>
    <w:p w14:paraId="00000138">
      <w:pPr>
        <w:spacing w:before="280" w:after="28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Hand-In-Stock</w:t>
      </w:r>
    </w:p>
    <w:p w14:paraId="00000139">
      <w:pPr>
        <w:numPr>
          <w:ilvl w:val="0"/>
          <w:numId w:val="7"/>
        </w:numPr>
        <w:spacing w:before="280" w:after="0" w:line="360" w:lineRule="auto"/>
        <w:ind w:left="720" w:hanging="360"/>
        <w:jc w:val="both"/>
      </w:pPr>
      <w:r>
        <w:rPr>
          <w:rFonts w:ascii="Times New Roman" w:hAnsi="Times New Roman" w:eastAsia="Times New Roman" w:cs="Times New Roman"/>
          <w:b/>
          <w:sz w:val="24"/>
          <w:szCs w:val="24"/>
          <w:rtl w:val="0"/>
        </w:rPr>
        <w:t>Mean</w:t>
      </w:r>
      <w:r>
        <w:rPr>
          <w:rFonts w:ascii="Times New Roman" w:hAnsi="Times New Roman" w:eastAsia="Times New Roman" w:cs="Times New Roman"/>
          <w:sz w:val="24"/>
          <w:szCs w:val="24"/>
          <w:rtl w:val="0"/>
        </w:rPr>
        <w:t>: 43.57, suggesting that, on average, 44 units remain in stock.</w:t>
      </w:r>
    </w:p>
    <w:p w14:paraId="0000013A">
      <w:pPr>
        <w:numPr>
          <w:ilvl w:val="0"/>
          <w:numId w:val="7"/>
        </w:numPr>
        <w:spacing w:before="0" w:after="0" w:line="360" w:lineRule="auto"/>
        <w:ind w:left="720" w:hanging="360"/>
        <w:jc w:val="both"/>
      </w:pPr>
      <w:r>
        <w:rPr>
          <w:rFonts w:ascii="Times New Roman" w:hAnsi="Times New Roman" w:eastAsia="Times New Roman" w:cs="Times New Roman"/>
          <w:b/>
          <w:sz w:val="24"/>
          <w:szCs w:val="24"/>
          <w:rtl w:val="0"/>
        </w:rPr>
        <w:t>Median</w:t>
      </w:r>
      <w:r>
        <w:rPr>
          <w:rFonts w:ascii="Times New Roman" w:hAnsi="Times New Roman" w:eastAsia="Times New Roman" w:cs="Times New Roman"/>
          <w:sz w:val="24"/>
          <w:szCs w:val="24"/>
          <w:rtl w:val="0"/>
        </w:rPr>
        <w:t>: 41, close to the mean, indicating relative symmetry.</w:t>
      </w:r>
    </w:p>
    <w:p w14:paraId="0000013B">
      <w:pPr>
        <w:numPr>
          <w:ilvl w:val="0"/>
          <w:numId w:val="7"/>
        </w:numPr>
        <w:spacing w:before="0" w:after="0" w:line="360" w:lineRule="auto"/>
        <w:ind w:left="720" w:hanging="360"/>
        <w:jc w:val="both"/>
      </w:pPr>
      <w:r>
        <w:rPr>
          <w:rFonts w:ascii="Times New Roman" w:hAnsi="Times New Roman" w:eastAsia="Times New Roman" w:cs="Times New Roman"/>
          <w:b/>
          <w:sz w:val="24"/>
          <w:szCs w:val="24"/>
          <w:rtl w:val="0"/>
        </w:rPr>
        <w:t>Mode</w:t>
      </w:r>
      <w:r>
        <w:rPr>
          <w:rFonts w:ascii="Times New Roman" w:hAnsi="Times New Roman" w:eastAsia="Times New Roman" w:cs="Times New Roman"/>
          <w:sz w:val="24"/>
          <w:szCs w:val="24"/>
          <w:rtl w:val="0"/>
        </w:rPr>
        <w:t>: 50, the most common stock remaining.</w:t>
      </w:r>
    </w:p>
    <w:p w14:paraId="0000013C">
      <w:pPr>
        <w:numPr>
          <w:ilvl w:val="0"/>
          <w:numId w:val="7"/>
        </w:numPr>
        <w:spacing w:before="0" w:after="0" w:line="360" w:lineRule="auto"/>
        <w:ind w:left="720" w:hanging="360"/>
        <w:jc w:val="both"/>
      </w:pPr>
      <w:r>
        <w:rPr>
          <w:rFonts w:ascii="Times New Roman" w:hAnsi="Times New Roman" w:eastAsia="Times New Roman" w:cs="Times New Roman"/>
          <w:b/>
          <w:sz w:val="24"/>
          <w:szCs w:val="24"/>
          <w:rtl w:val="0"/>
        </w:rPr>
        <w:t>Range</w:t>
      </w:r>
      <w:r>
        <w:rPr>
          <w:rFonts w:ascii="Times New Roman" w:hAnsi="Times New Roman" w:eastAsia="Times New Roman" w:cs="Times New Roman"/>
          <w:sz w:val="24"/>
          <w:szCs w:val="24"/>
          <w:rtl w:val="0"/>
        </w:rPr>
        <w:t>: 63, with stock levels ranging from 17 to 80 units.</w:t>
      </w:r>
    </w:p>
    <w:p w14:paraId="0000013D">
      <w:pPr>
        <w:numPr>
          <w:ilvl w:val="0"/>
          <w:numId w:val="7"/>
        </w:numPr>
        <w:spacing w:before="0" w:after="0" w:line="360" w:lineRule="auto"/>
        <w:ind w:left="720" w:hanging="360"/>
        <w:jc w:val="both"/>
      </w:pPr>
      <w:r>
        <w:rPr>
          <w:rFonts w:ascii="Times New Roman" w:hAnsi="Times New Roman" w:eastAsia="Times New Roman" w:cs="Times New Roman"/>
          <w:b/>
          <w:sz w:val="24"/>
          <w:szCs w:val="24"/>
          <w:rtl w:val="0"/>
        </w:rPr>
        <w:t>Skewness</w:t>
      </w:r>
      <w:r>
        <w:rPr>
          <w:rFonts w:ascii="Times New Roman" w:hAnsi="Times New Roman" w:eastAsia="Times New Roman" w:cs="Times New Roman"/>
          <w:sz w:val="24"/>
          <w:szCs w:val="24"/>
          <w:rtl w:val="0"/>
        </w:rPr>
        <w:t>: 0.43, suggesting a slight positive skew.</w:t>
      </w:r>
    </w:p>
    <w:p w14:paraId="0000013E">
      <w:pPr>
        <w:numPr>
          <w:ilvl w:val="0"/>
          <w:numId w:val="7"/>
        </w:numPr>
        <w:spacing w:before="0" w:after="280" w:line="360" w:lineRule="auto"/>
        <w:ind w:left="720" w:hanging="360"/>
        <w:jc w:val="both"/>
      </w:pPr>
      <w:r>
        <w:rPr>
          <w:rFonts w:ascii="Times New Roman" w:hAnsi="Times New Roman" w:eastAsia="Times New Roman" w:cs="Times New Roman"/>
          <w:b/>
          <w:sz w:val="24"/>
          <w:szCs w:val="24"/>
          <w:rtl w:val="0"/>
        </w:rPr>
        <w:t>Interpretation</w:t>
      </w:r>
      <w:r>
        <w:rPr>
          <w:rFonts w:ascii="Times New Roman" w:hAnsi="Times New Roman" w:eastAsia="Times New Roman" w:cs="Times New Roman"/>
          <w:sz w:val="24"/>
          <w:szCs w:val="24"/>
          <w:rtl w:val="0"/>
        </w:rPr>
        <w:t>: Inventory levels are typically around 44 units. The slight skew suggests occasional higher stock levels, but most values are close to the mean.</w:t>
      </w:r>
    </w:p>
    <w:p w14:paraId="0000013F">
      <w:pPr>
        <w:spacing w:before="280" w:after="28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Cost Price Per Unit (USD)</w:t>
      </w:r>
    </w:p>
    <w:p w14:paraId="00000140">
      <w:pPr>
        <w:numPr>
          <w:ilvl w:val="0"/>
          <w:numId w:val="8"/>
        </w:numPr>
        <w:spacing w:before="280" w:after="0" w:line="360" w:lineRule="auto"/>
        <w:ind w:left="720" w:hanging="360"/>
        <w:jc w:val="both"/>
      </w:pPr>
      <w:r>
        <w:rPr>
          <w:rFonts w:ascii="Times New Roman" w:hAnsi="Times New Roman" w:eastAsia="Times New Roman" w:cs="Times New Roman"/>
          <w:b/>
          <w:sz w:val="24"/>
          <w:szCs w:val="24"/>
          <w:rtl w:val="0"/>
        </w:rPr>
        <w:t>Mean</w:t>
      </w:r>
      <w:r>
        <w:rPr>
          <w:rFonts w:ascii="Times New Roman" w:hAnsi="Times New Roman" w:eastAsia="Times New Roman" w:cs="Times New Roman"/>
          <w:sz w:val="24"/>
          <w:szCs w:val="24"/>
          <w:rtl w:val="0"/>
        </w:rPr>
        <w:t>: $155.78, indicating the average cost per unit.</w:t>
      </w:r>
    </w:p>
    <w:p w14:paraId="00000141">
      <w:pPr>
        <w:numPr>
          <w:ilvl w:val="0"/>
          <w:numId w:val="8"/>
        </w:numPr>
        <w:spacing w:before="0" w:after="0" w:line="360" w:lineRule="auto"/>
        <w:ind w:left="720" w:hanging="360"/>
        <w:jc w:val="both"/>
      </w:pPr>
      <w:r>
        <w:rPr>
          <w:rFonts w:ascii="Times New Roman" w:hAnsi="Times New Roman" w:eastAsia="Times New Roman" w:cs="Times New Roman"/>
          <w:b/>
          <w:sz w:val="24"/>
          <w:szCs w:val="24"/>
          <w:rtl w:val="0"/>
        </w:rPr>
        <w:t>Median</w:t>
      </w:r>
      <w:r>
        <w:rPr>
          <w:rFonts w:ascii="Times New Roman" w:hAnsi="Times New Roman" w:eastAsia="Times New Roman" w:cs="Times New Roman"/>
          <w:sz w:val="24"/>
          <w:szCs w:val="24"/>
          <w:rtl w:val="0"/>
        </w:rPr>
        <w:t>: $60, lower than the mean, suggesting a distribution skewed to higher values.</w:t>
      </w:r>
    </w:p>
    <w:p w14:paraId="00000142">
      <w:pPr>
        <w:numPr>
          <w:ilvl w:val="0"/>
          <w:numId w:val="8"/>
        </w:numPr>
        <w:spacing w:before="0" w:after="0" w:line="360" w:lineRule="auto"/>
        <w:ind w:left="720" w:hanging="360"/>
        <w:jc w:val="both"/>
      </w:pPr>
      <w:r>
        <w:rPr>
          <w:rFonts w:ascii="Times New Roman" w:hAnsi="Times New Roman" w:eastAsia="Times New Roman" w:cs="Times New Roman"/>
          <w:b/>
          <w:sz w:val="24"/>
          <w:szCs w:val="24"/>
          <w:rtl w:val="0"/>
        </w:rPr>
        <w:t>Mode</w:t>
      </w:r>
      <w:r>
        <w:rPr>
          <w:rFonts w:ascii="Times New Roman" w:hAnsi="Times New Roman" w:eastAsia="Times New Roman" w:cs="Times New Roman"/>
          <w:sz w:val="24"/>
          <w:szCs w:val="24"/>
          <w:rtl w:val="0"/>
        </w:rPr>
        <w:t>: $80, the most frequently observed cost.</w:t>
      </w:r>
    </w:p>
    <w:p w14:paraId="00000143">
      <w:pPr>
        <w:numPr>
          <w:ilvl w:val="0"/>
          <w:numId w:val="8"/>
        </w:numPr>
        <w:spacing w:before="0" w:after="0" w:line="360" w:lineRule="auto"/>
        <w:ind w:left="720" w:hanging="360"/>
        <w:jc w:val="both"/>
      </w:pPr>
      <w:r>
        <w:rPr>
          <w:rFonts w:ascii="Times New Roman" w:hAnsi="Times New Roman" w:eastAsia="Times New Roman" w:cs="Times New Roman"/>
          <w:b/>
          <w:sz w:val="24"/>
          <w:szCs w:val="24"/>
          <w:rtl w:val="0"/>
        </w:rPr>
        <w:t>Range</w:t>
      </w:r>
      <w:r>
        <w:rPr>
          <w:rFonts w:ascii="Times New Roman" w:hAnsi="Times New Roman" w:eastAsia="Times New Roman" w:cs="Times New Roman"/>
          <w:sz w:val="24"/>
          <w:szCs w:val="24"/>
          <w:rtl w:val="0"/>
        </w:rPr>
        <w:t>: 1195, with values between $5 and $1200.</w:t>
      </w:r>
    </w:p>
    <w:p w14:paraId="00000144">
      <w:pPr>
        <w:numPr>
          <w:ilvl w:val="0"/>
          <w:numId w:val="8"/>
        </w:numPr>
        <w:spacing w:before="0" w:after="0" w:line="360" w:lineRule="auto"/>
        <w:ind w:left="720" w:hanging="360"/>
        <w:jc w:val="both"/>
      </w:pPr>
      <w:r>
        <w:rPr>
          <w:rFonts w:ascii="Times New Roman" w:hAnsi="Times New Roman" w:eastAsia="Times New Roman" w:cs="Times New Roman"/>
          <w:b/>
          <w:sz w:val="24"/>
          <w:szCs w:val="24"/>
          <w:rtl w:val="0"/>
        </w:rPr>
        <w:t>Skewness</w:t>
      </w:r>
      <w:r>
        <w:rPr>
          <w:rFonts w:ascii="Times New Roman" w:hAnsi="Times New Roman" w:eastAsia="Times New Roman" w:cs="Times New Roman"/>
          <w:sz w:val="24"/>
          <w:szCs w:val="24"/>
          <w:rtl w:val="0"/>
        </w:rPr>
        <w:t>: 2.69, indicating a significant positive skew.</w:t>
      </w:r>
    </w:p>
    <w:p w14:paraId="00000145">
      <w:pPr>
        <w:numPr>
          <w:ilvl w:val="0"/>
          <w:numId w:val="8"/>
        </w:numPr>
        <w:spacing w:before="0" w:after="280" w:line="360" w:lineRule="auto"/>
        <w:ind w:left="720" w:hanging="360"/>
        <w:jc w:val="both"/>
      </w:pPr>
      <w:r>
        <w:rPr>
          <w:rFonts w:ascii="Times New Roman" w:hAnsi="Times New Roman" w:eastAsia="Times New Roman" w:cs="Times New Roman"/>
          <w:b/>
          <w:sz w:val="24"/>
          <w:szCs w:val="24"/>
          <w:rtl w:val="0"/>
        </w:rPr>
        <w:t>Interpretation</w:t>
      </w:r>
      <w:r>
        <w:rPr>
          <w:rFonts w:ascii="Times New Roman" w:hAnsi="Times New Roman" w:eastAsia="Times New Roman" w:cs="Times New Roman"/>
          <w:sz w:val="24"/>
          <w:szCs w:val="24"/>
          <w:rtl w:val="0"/>
        </w:rPr>
        <w:t>: There’s a wide range of unit costs, with the majority of values on the lower end but some extremely high outliers. This skew may affect total inventory costs.</w:t>
      </w:r>
    </w:p>
    <w:p w14:paraId="00000146">
      <w:pPr>
        <w:spacing w:before="280" w:after="28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Cost Price Total (USD)</w:t>
      </w:r>
    </w:p>
    <w:p w14:paraId="00000147">
      <w:pPr>
        <w:numPr>
          <w:ilvl w:val="0"/>
          <w:numId w:val="9"/>
        </w:numPr>
        <w:spacing w:before="280" w:after="0" w:line="360" w:lineRule="auto"/>
        <w:ind w:left="720" w:hanging="360"/>
        <w:jc w:val="both"/>
      </w:pPr>
      <w:r>
        <w:rPr>
          <w:rFonts w:ascii="Times New Roman" w:hAnsi="Times New Roman" w:eastAsia="Times New Roman" w:cs="Times New Roman"/>
          <w:b/>
          <w:sz w:val="24"/>
          <w:szCs w:val="24"/>
          <w:rtl w:val="0"/>
        </w:rPr>
        <w:t>Mean</w:t>
      </w:r>
      <w:r>
        <w:rPr>
          <w:rFonts w:ascii="Times New Roman" w:hAnsi="Times New Roman" w:eastAsia="Times New Roman" w:cs="Times New Roman"/>
          <w:sz w:val="24"/>
          <w:szCs w:val="24"/>
          <w:rtl w:val="0"/>
        </w:rPr>
        <w:t>: $7820.87, indicating the average total cost of inventory items.</w:t>
      </w:r>
    </w:p>
    <w:p w14:paraId="00000148">
      <w:pPr>
        <w:numPr>
          <w:ilvl w:val="0"/>
          <w:numId w:val="9"/>
        </w:numPr>
        <w:spacing w:before="0" w:after="0" w:line="360" w:lineRule="auto"/>
        <w:ind w:left="720" w:hanging="360"/>
        <w:jc w:val="both"/>
      </w:pPr>
      <w:r>
        <w:rPr>
          <w:rFonts w:ascii="Times New Roman" w:hAnsi="Times New Roman" w:eastAsia="Times New Roman" w:cs="Times New Roman"/>
          <w:b/>
          <w:sz w:val="24"/>
          <w:szCs w:val="24"/>
          <w:rtl w:val="0"/>
        </w:rPr>
        <w:t>Median</w:t>
      </w:r>
      <w:r>
        <w:rPr>
          <w:rFonts w:ascii="Times New Roman" w:hAnsi="Times New Roman" w:eastAsia="Times New Roman" w:cs="Times New Roman"/>
          <w:sz w:val="24"/>
          <w:szCs w:val="24"/>
          <w:rtl w:val="0"/>
        </w:rPr>
        <w:t>: $3000, which is much lower than the mean, highlighting the influence of outliers.</w:t>
      </w:r>
    </w:p>
    <w:p w14:paraId="00000149">
      <w:pPr>
        <w:numPr>
          <w:ilvl w:val="0"/>
          <w:numId w:val="9"/>
        </w:numPr>
        <w:spacing w:before="0" w:after="0" w:line="360" w:lineRule="auto"/>
        <w:ind w:left="720" w:hanging="360"/>
        <w:jc w:val="both"/>
      </w:pPr>
      <w:r>
        <w:rPr>
          <w:rFonts w:ascii="Times New Roman" w:hAnsi="Times New Roman" w:eastAsia="Times New Roman" w:cs="Times New Roman"/>
          <w:b/>
          <w:sz w:val="24"/>
          <w:szCs w:val="24"/>
          <w:rtl w:val="0"/>
        </w:rPr>
        <w:t>Mode</w:t>
      </w:r>
      <w:r>
        <w:rPr>
          <w:rFonts w:ascii="Times New Roman" w:hAnsi="Times New Roman" w:eastAsia="Times New Roman" w:cs="Times New Roman"/>
          <w:sz w:val="24"/>
          <w:szCs w:val="24"/>
          <w:rtl w:val="0"/>
        </w:rPr>
        <w:t>: $72,000, the highest frequency total cost.</w:t>
      </w:r>
    </w:p>
    <w:p w14:paraId="0000014A">
      <w:pPr>
        <w:numPr>
          <w:ilvl w:val="0"/>
          <w:numId w:val="9"/>
        </w:numPr>
        <w:spacing w:before="0" w:after="0" w:line="360" w:lineRule="auto"/>
        <w:ind w:left="720" w:hanging="360"/>
        <w:jc w:val="both"/>
      </w:pPr>
      <w:r>
        <w:rPr>
          <w:rFonts w:ascii="Times New Roman" w:hAnsi="Times New Roman" w:eastAsia="Times New Roman" w:cs="Times New Roman"/>
          <w:b/>
          <w:sz w:val="24"/>
          <w:szCs w:val="24"/>
          <w:rtl w:val="0"/>
        </w:rPr>
        <w:t>Range</w:t>
      </w:r>
      <w:r>
        <w:rPr>
          <w:rFonts w:ascii="Times New Roman" w:hAnsi="Times New Roman" w:eastAsia="Times New Roman" w:cs="Times New Roman"/>
          <w:sz w:val="24"/>
          <w:szCs w:val="24"/>
          <w:rtl w:val="0"/>
        </w:rPr>
        <w:t>: 71,855, with totals ranging from $145 to $72,000.</w:t>
      </w:r>
    </w:p>
    <w:p w14:paraId="0000014B">
      <w:pPr>
        <w:numPr>
          <w:ilvl w:val="0"/>
          <w:numId w:val="9"/>
        </w:numPr>
        <w:spacing w:before="0" w:after="0" w:line="360" w:lineRule="auto"/>
        <w:ind w:left="720" w:hanging="360"/>
        <w:jc w:val="both"/>
      </w:pPr>
      <w:r>
        <w:rPr>
          <w:rFonts w:ascii="Times New Roman" w:hAnsi="Times New Roman" w:eastAsia="Times New Roman" w:cs="Times New Roman"/>
          <w:b/>
          <w:sz w:val="24"/>
          <w:szCs w:val="24"/>
          <w:rtl w:val="0"/>
        </w:rPr>
        <w:t>Skewness</w:t>
      </w:r>
      <w:r>
        <w:rPr>
          <w:rFonts w:ascii="Times New Roman" w:hAnsi="Times New Roman" w:eastAsia="Times New Roman" w:cs="Times New Roman"/>
          <w:sz w:val="24"/>
          <w:szCs w:val="24"/>
          <w:rtl w:val="0"/>
        </w:rPr>
        <w:t>: 3.31, a high positive skew, meaning some items have a significantly higher total cost.</w:t>
      </w:r>
    </w:p>
    <w:p w14:paraId="0000014C">
      <w:pPr>
        <w:numPr>
          <w:ilvl w:val="0"/>
          <w:numId w:val="9"/>
        </w:numPr>
        <w:spacing w:before="0" w:after="280" w:line="360" w:lineRule="auto"/>
        <w:ind w:left="720" w:hanging="360"/>
        <w:jc w:val="both"/>
      </w:pPr>
      <w:r>
        <w:rPr>
          <w:rFonts w:ascii="Times New Roman" w:hAnsi="Times New Roman" w:eastAsia="Times New Roman" w:cs="Times New Roman"/>
          <w:b/>
          <w:sz w:val="24"/>
          <w:szCs w:val="24"/>
          <w:rtl w:val="0"/>
        </w:rPr>
        <w:t>Interpretation</w:t>
      </w:r>
      <w:r>
        <w:rPr>
          <w:rFonts w:ascii="Times New Roman" w:hAnsi="Times New Roman" w:eastAsia="Times New Roman" w:cs="Times New Roman"/>
          <w:sz w:val="24"/>
          <w:szCs w:val="24"/>
          <w:rtl w:val="0"/>
        </w:rPr>
        <w:t>: The extreme skew and high variance suggest a few items with very high costs are pulling up the average total cost, potentially influencing budgeting and purchasing decisions.</w:t>
      </w:r>
      <w:r>
        <w:br w:type="page"/>
      </w:r>
    </w:p>
    <w:p w14:paraId="0000014D">
      <w:pPr>
        <w:spacing w:line="360" w:lineRule="auto"/>
        <w:jc w:val="center"/>
        <w:rPr>
          <w:rFonts w:ascii="Times New Roman" w:hAnsi="Times New Roman" w:eastAsia="Times New Roman" w:cs="Times New Roman"/>
          <w:sz w:val="52"/>
          <w:szCs w:val="52"/>
        </w:rPr>
      </w:pPr>
      <w:r>
        <w:rPr>
          <w:rFonts w:ascii="Times New Roman" w:hAnsi="Times New Roman" w:eastAsia="Times New Roman" w:cs="Times New Roman"/>
          <w:b/>
          <w:sz w:val="52"/>
          <w:szCs w:val="52"/>
          <w:rtl w:val="0"/>
        </w:rPr>
        <w:t>Chapter Four: Conclusion and Recommendations</w:t>
      </w:r>
    </w:p>
    <w:p w14:paraId="0000014E">
      <w:pPr>
        <w:spacing w:line="360" w:lineRule="auto"/>
        <w:jc w:val="both"/>
        <w:rPr>
          <w:rFonts w:ascii="Times New Roman" w:hAnsi="Times New Roman" w:eastAsia="Times New Roman" w:cs="Times New Roman"/>
          <w:sz w:val="24"/>
          <w:szCs w:val="24"/>
        </w:rPr>
      </w:pPr>
    </w:p>
    <w:p w14:paraId="0000014F">
      <w:pPr>
        <w:numPr>
          <w:ilvl w:val="0"/>
          <w:numId w:val="10"/>
        </w:numPr>
        <w:spacing w:before="280" w:after="0" w:line="360" w:lineRule="auto"/>
        <w:ind w:left="720" w:hanging="360"/>
        <w:jc w:val="both"/>
      </w:pPr>
      <w:r>
        <w:rPr>
          <w:rFonts w:ascii="Times New Roman" w:hAnsi="Times New Roman" w:eastAsia="Times New Roman" w:cs="Times New Roman"/>
          <w:b/>
          <w:sz w:val="24"/>
          <w:szCs w:val="24"/>
          <w:rtl w:val="0"/>
        </w:rPr>
        <w:t>Stock Management</w:t>
      </w:r>
      <w:r>
        <w:rPr>
          <w:rFonts w:ascii="Times New Roman" w:hAnsi="Times New Roman" w:eastAsia="Times New Roman" w:cs="Times New Roman"/>
          <w:sz w:val="24"/>
          <w:szCs w:val="24"/>
          <w:rtl w:val="0"/>
        </w:rPr>
        <w:t>: The positive skew in the "Hand-In-Stock" data indicates occasional overstocking. We recommend adjusting purchase quantities to better match typical sales rates.</w:t>
      </w:r>
    </w:p>
    <w:p w14:paraId="00000150">
      <w:pPr>
        <w:numPr>
          <w:ilvl w:val="0"/>
          <w:numId w:val="10"/>
        </w:numPr>
        <w:spacing w:before="0" w:after="0" w:line="360" w:lineRule="auto"/>
        <w:ind w:left="720" w:hanging="360"/>
        <w:jc w:val="both"/>
      </w:pPr>
      <w:r>
        <w:rPr>
          <w:rFonts w:ascii="Times New Roman" w:hAnsi="Times New Roman" w:eastAsia="Times New Roman" w:cs="Times New Roman"/>
          <w:b/>
          <w:sz w:val="24"/>
          <w:szCs w:val="24"/>
          <w:rtl w:val="0"/>
        </w:rPr>
        <w:t>Cost Management</w:t>
      </w:r>
      <w:r>
        <w:rPr>
          <w:rFonts w:ascii="Times New Roman" w:hAnsi="Times New Roman" w:eastAsia="Times New Roman" w:cs="Times New Roman"/>
          <w:sz w:val="24"/>
          <w:szCs w:val="24"/>
          <w:rtl w:val="0"/>
        </w:rPr>
        <w:t>: The high skew in "Cost Price Per Unit" and "Cost Price Total" suggests that a few expensive items significantly impact overall costs. We recommend evaluating the necessity of high-cost items and exploring potential cost reduction for these items.</w:t>
      </w:r>
    </w:p>
    <w:p w14:paraId="00000151">
      <w:pPr>
        <w:numPr>
          <w:ilvl w:val="0"/>
          <w:numId w:val="10"/>
        </w:numPr>
        <w:spacing w:before="0" w:after="280" w:line="360" w:lineRule="auto"/>
        <w:ind w:left="720" w:hanging="360"/>
        <w:jc w:val="both"/>
      </w:pPr>
      <w:r>
        <w:rPr>
          <w:rFonts w:ascii="Times New Roman" w:hAnsi="Times New Roman" w:eastAsia="Times New Roman" w:cs="Times New Roman"/>
          <w:b/>
          <w:sz w:val="24"/>
          <w:szCs w:val="24"/>
          <w:rtl w:val="0"/>
        </w:rPr>
        <w:t>Sales Strategy</w:t>
      </w:r>
      <w:r>
        <w:rPr>
          <w:rFonts w:ascii="Times New Roman" w:hAnsi="Times New Roman" w:eastAsia="Times New Roman" w:cs="Times New Roman"/>
          <w:sz w:val="24"/>
          <w:szCs w:val="24"/>
          <w:rtl w:val="0"/>
        </w:rPr>
        <w:t>: Given the skew in "Number of Units Sold," most products sell in smaller quantities. Targeted sales efforts could encourage higher sales volumes, especially for underperforming products.</w:t>
      </w:r>
    </w:p>
    <w:p w14:paraId="0000015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This descriptive analysis highlights the need for balanced inventory management, cost control, and sales optimization to maintain efficiency and profitability. Further analysis could focus on monthly or seasonal trends to refine inventory and purchasing strategies.</w:t>
      </w:r>
    </w:p>
    <w:p w14:paraId="00000153">
      <w:pPr>
        <w:spacing w:line="360" w:lineRule="auto"/>
        <w:jc w:val="both"/>
        <w:rPr>
          <w:rFonts w:ascii="Times New Roman" w:hAnsi="Times New Roman" w:eastAsia="Times New Roman" w:cs="Times New Roman"/>
          <w:sz w:val="24"/>
          <w:szCs w:val="24"/>
        </w:rPr>
      </w:pPr>
    </w:p>
    <w:p w14:paraId="00000154">
      <w:pPr>
        <w:spacing w:line="360" w:lineRule="auto"/>
        <w:jc w:val="both"/>
        <w:rPr>
          <w:rFonts w:ascii="Times New Roman" w:hAnsi="Times New Roman" w:eastAsia="Times New Roman" w:cs="Times New Roman"/>
          <w:sz w:val="24"/>
          <w:szCs w:val="24"/>
        </w:rPr>
      </w:pPr>
    </w:p>
    <w:p w14:paraId="00000155">
      <w:pPr>
        <w:spacing w:line="360" w:lineRule="auto"/>
        <w:jc w:val="both"/>
        <w:rPr>
          <w:rFonts w:ascii="Times New Roman" w:hAnsi="Times New Roman" w:eastAsia="Times New Roman" w:cs="Times New Roman"/>
          <w:sz w:val="24"/>
          <w:szCs w:val="24"/>
        </w:rPr>
      </w:pPr>
    </w:p>
    <w:sectPr>
      <w:pgSz w:w="12240" w:h="15840"/>
      <w:pgMar w:top="720" w:right="720" w:bottom="720" w:left="216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Aptos Narro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
    <w:nsid w:val="B5E306ED"/>
    <w:multiLevelType w:val="multilevel"/>
    <w:tmpl w:val="B5E306ED"/>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nsid w:val="BF205925"/>
    <w:multiLevelType w:val="multilevel"/>
    <w:tmpl w:val="BF205925"/>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4">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0248C179"/>
    <w:multiLevelType w:val="multilevel"/>
    <w:tmpl w:val="0248C179"/>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6">
    <w:nsid w:val="03D62ECE"/>
    <w:multiLevelType w:val="multilevel"/>
    <w:tmpl w:val="03D62ECE"/>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7">
    <w:nsid w:val="25B654F3"/>
    <w:multiLevelType w:val="multilevel"/>
    <w:tmpl w:val="25B654F3"/>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8">
    <w:nsid w:val="59ADCABA"/>
    <w:multiLevelType w:val="multilevel"/>
    <w:tmpl w:val="59ADCABA"/>
    <w:lvl w:ilvl="0" w:tentative="0">
      <w:start w:val="1"/>
      <w:numFmt w:val="decimal"/>
      <w:lvlText w:val="%1."/>
      <w:lvlJc w:val="left"/>
      <w:pPr>
        <w:ind w:left="720" w:hanging="360"/>
      </w:p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9">
    <w:nsid w:val="72183CF9"/>
    <w:multiLevelType w:val="multilevel"/>
    <w:tmpl w:val="72183CF9"/>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num w:numId="1">
    <w:abstractNumId w:val="4"/>
  </w:num>
  <w:num w:numId="2">
    <w:abstractNumId w:val="3"/>
  </w:num>
  <w:num w:numId="3">
    <w:abstractNumId w:val="8"/>
  </w:num>
  <w:num w:numId="4">
    <w:abstractNumId w:val="2"/>
  </w:num>
  <w:num w:numId="5">
    <w:abstractNumId w:val="1"/>
  </w:num>
  <w:num w:numId="6">
    <w:abstractNumId w:val="6"/>
  </w:num>
  <w:num w:numId="7">
    <w:abstractNumId w:val="7"/>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0A07B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rPr>
  </w:style>
  <w:style w:type="paragraph" w:styleId="7">
    <w:name w:val="heading 6"/>
    <w:basedOn w:val="1"/>
    <w:next w:val="1"/>
    <w:uiPriority w:val="0"/>
    <w:pPr>
      <w:keepNext/>
      <w:keepLines/>
      <w:spacing w:before="240" w:after="80"/>
    </w:pPr>
    <w:rPr>
      <w:i/>
      <w:color w:val="666666"/>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spacing w:after="320"/>
    </w:pPr>
    <w:rPr>
      <w:color w:val="666666"/>
      <w:sz w:val="30"/>
      <w:szCs w:val="30"/>
    </w:rPr>
  </w:style>
  <w:style w:type="paragraph" w:styleId="11">
    <w:name w:val="Title"/>
    <w:basedOn w:val="1"/>
    <w:next w:val="1"/>
    <w:uiPriority w:val="0"/>
    <w:pPr>
      <w:keepNext/>
      <w:keepLines/>
      <w:spacing w:after="60"/>
    </w:pPr>
    <w:rPr>
      <w:sz w:val="52"/>
      <w:szCs w:val="52"/>
    </w:rPr>
  </w:style>
  <w:style w:type="table" w:customStyle="1" w:styleId="12">
    <w:name w:val="Table Normal1"/>
    <w:uiPriority w:val="0"/>
  </w:style>
  <w:style w:type="table" w:customStyle="1" w:styleId="13">
    <w:name w:val="_Style 10"/>
    <w:basedOn w:val="12"/>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10</Pages>
  <TotalTime>4</TotalTime>
  <ScaleCrop>false</ScaleCrop>
  <LinksUpToDate>false</LinksUpToDate>
  <Application>WPS Office_12.2.0.18638_F1E327BC-269C-435d-A152-05C5408002CA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2024-11-22T06:17:02Z</dcterms:created>
  <dc:creator>HP</dc:creator>
  <cp:lastModifiedBy>Shahriar3 Shariar</cp:lastModifiedBy>
  <dcterms:modified xsi:type="dcterms:W3CDTF">2024-11-22T06:21:16Z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D939BC1457E94DB79DA8C721212799B3_12</vt:lpwstr>
  </property>
</Properties>
</file>