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Charte informatique et de sécurité</w:t>
      </w:r>
    </w:p>
    <w:p>
      <w:pPr>
        <w:spacing w:after="120"/>
      </w:pPr>
      <w:r>
        <w:rPr>
          <w:sz w:val="22"/>
          <w:szCs w:val="22"/>
        </w:rPr>
        <w:t xml:space="preserve">Cette charte définit les règles d'utilisation des ressources informatiques de SOKATF SARL afin de garantir la sécurité, la confidentialité et la bonne gestion des systèmes.</w:t>
      </w:r>
    </w:p>
    <w:p>
      <w:pPr>
        <w:pStyle w:val="Heading2"/>
        <w:spacing w:after="80" w:before="200"/>
      </w:pPr>
      <w:r>
        <w:t xml:space="preserve">Utilisation des équipements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équipements et comptes sont réservés à un usage professionnel.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Chaque utilisateur est responsable de ses identifiants et mots de passe.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Interdiction d'installer des logiciels non autorisés.</w:t>
      </w:r>
    </w:p>
    <w:p>
      <w:pPr>
        <w:pStyle w:val="Heading2"/>
        <w:spacing w:after="80" w:before="200"/>
      </w:pPr>
      <w:r>
        <w:t xml:space="preserve">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Mots de passe robustes et renouvelés régulièrement.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Verrouillage des sessions en cas d'absence.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Vigilance face aux emails et liens suspects (hameçonnage).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Signalement immédiat de tout incident de sécurité.</w:t>
      </w:r>
    </w:p>
    <w:p>
      <w:pPr>
        <w:pStyle w:val="Heading2"/>
        <w:spacing w:after="80" w:before="200"/>
      </w:pPr>
      <w:r>
        <w:t xml:space="preserve">Données et sauvegardes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données professionnelles sont stockées sur les espaces prévus.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sauvegardes sont réalisées selon le plan de sauvegarde.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 divulgation de données confidentielles est strictement interdite.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Charte informatique et de sécurité</dc:title>
  <dc:creator>SOKATF SARL</dc:creator>
  <cp:lastModifiedBy>Un-named</cp:lastModifiedBy>
  <cp:revision>1</cp:revision>
  <dcterms:created xsi:type="dcterms:W3CDTF">2026-07-16T00:10:08.333Z</dcterms:created>
  <dcterms:modified xsi:type="dcterms:W3CDTF">2026-07-16T00:10:08.333Z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