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Tableau de bord — Indicateurs de performance (KPI)</w:t>
      </w:r>
    </w:p>
    <w:p>
      <w:pPr>
        <w:spacing w:after="120"/>
      </w:pPr>
      <w:r>
        <w:rPr>
          <w:sz w:val="22"/>
          <w:szCs w:val="22"/>
        </w:rPr>
        <w:t xml:space="preserve">Les indicateurs clés permettent de piloter la performance de l'entreprise.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Domaine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Indicateur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Cible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Chiffre d'affaires facturé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À définir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de conversion devis → facture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40 %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d'encaissement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90 %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Délai moyen de paiement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de satisfaction client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95 %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Nombre de clients actifs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En hausse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Opérations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Délai moyen de livraison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24–72 h (stock)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Ces KPI sont suivis dans le back-office (module Finances) et revus périodiquement.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bord — Indicateurs de performance (KPI)</dc:title>
  <dc:creator>SOKATF SARL</dc:creator>
  <cp:lastModifiedBy>Un-named</cp:lastModifiedBy>
  <cp:revision>1</cp:revision>
  <dcterms:created xsi:type="dcterms:W3CDTF">2026-07-16T00:10:08.727Z</dcterms:created>
  <dcterms:modified xsi:type="dcterms:W3CDTF">2026-07-16T00:10:08.727Z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