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Plan d'action annuel</w:t>
      </w:r>
    </w:p>
    <w:p>
      <w:pPr>
        <w:spacing w:after="120"/>
      </w:pPr>
      <w:r>
        <w:rPr>
          <w:sz w:val="22"/>
          <w:szCs w:val="22"/>
        </w:rPr>
        <w:t xml:space="preserve">Le plan d'action décline les objectifs annuels en actions concrètes, responsables et échéances.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Axe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Action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Responsable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Développer le portefeuille clients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DGA &amp; 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T1–T4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Approvisionnement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Sécuriser les fournisseurs clés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T1–T2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Finances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Mettre en place le suivi budgétaire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Admin. Financier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Formaliser les procédures et fiches de poste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Admin. RH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T1–T2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Digital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Renforcer la visibilité en ligne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T2–T3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Un suivi trimestriel permet d'évaluer l'avancement et d'ajuster les priorités.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d'action annuel</dc:title>
  <dc:creator>SOKATF SARL</dc:creator>
  <cp:lastModifiedBy>Un-named</cp:lastModifiedBy>
  <cp:revision>1</cp:revision>
  <dcterms:created xsi:type="dcterms:W3CDTF">2026-07-16T00:10:08.654Z</dcterms:created>
  <dcterms:modified xsi:type="dcterms:W3CDTF">2026-07-16T00:10:08.654Z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