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drawing>
          <wp:inline distT="0" distB="0" distL="0" distR="0">
            <wp:extent cx="1714500" cy="228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228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</w:pPr>
      <w:r>
        <w:rPr>
          <w:i/>
          <w:iCs/>
          <w:color w:val="64748B"/>
          <w:sz w:val="18"/>
          <w:szCs w:val="18"/>
        </w:rPr>
        <w:t xml:space="preserve">Commerce général multisectoriel au Mali</w:t>
      </w:r>
    </w:p>
    <w:p>
      <w:pPr>
        <w:pStyle w:val="Heading1"/>
        <w:spacing w:after="60" w:before="120"/>
      </w:pPr>
      <w:r>
        <w:t xml:space="preserve">Charte informatique et de sécurité</w:t>
      </w:r>
    </w:p>
    <w:p>
      <w:pPr>
        <w:spacing w:after="120"/>
      </w:pPr>
      <w:r>
        <w:rPr>
          <w:sz w:val="22"/>
          <w:szCs w:val="22"/>
        </w:rPr>
        <w:t xml:space="preserve">Cette charte définit les règles d'utilisation des ressources informatiques de SOKATF SARL afin de garantir la sécurité, la confidentialité et la bonne gestion des systèmes.</w:t>
      </w:r>
    </w:p>
    <w:p>
      <w:pPr>
        <w:pStyle w:val="Heading2"/>
        <w:spacing w:after="80" w:before="200"/>
      </w:pPr>
      <w:r>
        <w:t xml:space="preserve">Utilisation des équipements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Les équipements et comptes sont réservés à un usage professionnel.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Chaque utilisateur est responsable de ses identifiants et mots de passe.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Interdiction d'installer des logiciels non autorisés.</w:t>
      </w:r>
    </w:p>
    <w:p>
      <w:pPr>
        <w:pStyle w:val="Heading2"/>
        <w:spacing w:after="80" w:before="200"/>
      </w:pPr>
      <w:r>
        <w:t xml:space="preserve">Sécurité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Mots de passe robustes et renouvelés régulièrement.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Verrouillage des sessions en cas d'absence.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Vigilance face aux emails et liens suspects (hameçonnage).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Signalement immédiat de tout incident de sécurité.</w:t>
      </w:r>
    </w:p>
    <w:p>
      <w:pPr>
        <w:pStyle w:val="Heading2"/>
        <w:spacing w:after="80" w:before="200"/>
      </w:pPr>
      <w:r>
        <w:t xml:space="preserve">Données et sauvegardes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Les données professionnelles sont stockées sur les espaces prévus.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Les sauvegardes sont réalisées selon le plan de sauvegarde.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La divulgation de données confidentielles est strictement interdite.</w:t>
      </w:r>
    </w:p>
    <w:p>
      <w:pPr>
        <w:pBdr>
          <w:top w:val="single" w:color="E2E8F0" w:sz="4"/>
        </w:pBdr>
        <w:spacing w:before="400"/>
      </w:pPr>
      <w:r>
        <w:rPr>
          <w:color w:val="64748B"/>
          <w:sz w:val="16"/>
          <w:szCs w:val="16"/>
        </w:rPr>
        <w:t xml:space="preserve">SOKATF SARL — NIF : 084153962X · RCCM : MA.BKo-2026-B-1280</w:t>
      </w:r>
    </w:p>
    <w:p>
      <w:r>
        <w:rPr>
          <w:color w:val="64748B"/>
          <w:sz w:val="16"/>
          <w:szCs w:val="16"/>
        </w:rPr>
        <w:t xml:space="preserve">Quartier Hamdallaye ACI 2000, Immeuble Assan Thiero — Bamako, Mali · Tél : (+223) 66 77 32 75 / 70 04 02 13 · contact@sokatf.com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ce14149870dc26f3d4aa868bdfef9243a5752cfd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Charte informatique et de sécurité</dc:title>
  <dc:creator>SOKATF SARL</dc:creator>
  <cp:lastModifiedBy>Un-named</cp:lastModifiedBy>
  <cp:revision>1</cp:revision>
  <dcterms:created xsi:type="dcterms:W3CDTF">2026-07-16T14:24:42.442Z</dcterms:created>
  <dcterms:modified xsi:type="dcterms:W3CDTF">2026-07-16T14:24:42.442Z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