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Objectifs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Court, moyen et long terme</w:t>
      </w:r>
    </w:p>
    <w:p>
      <w:pPr>
        <w:pStyle w:val="Heading2"/>
        <w:spacing w:after="80" w:before="200"/>
      </w:pPr>
      <w:r>
        <w:t xml:space="preserve">Court terme (0 – 12 mois)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Structurer l'organisation interne (procédures, fiches de poste, outils).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Consolider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Mettre en place les outils de gestion (devis, factures, suivi financier).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Renforcer la visibilité (site web, présence commerciale).</w:t>
      </w:r>
    </w:p>
    <w:p>
      <w:pPr>
        <w:pStyle w:val="Heading2"/>
        <w:spacing w:after="80" w:before="200"/>
      </w:pPr>
      <w:r>
        <w:t xml:space="preserve">Moyen terme (1 – 3 ans)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Développer de nouveaux pôles d'activité et gammes de produits.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Élargir le réseau de distribution aux principales régions du Mali.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Nouer des partenariats stratégiques avec des fournisseurs internationaux.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Atteindre les objectifs de chiffre d'affaires et de rentabilité fixés.</w:t>
      </w:r>
    </w:p>
    <w:p>
      <w:pPr>
        <w:pStyle w:val="Heading2"/>
        <w:spacing w:after="80" w:before="200"/>
      </w:pPr>
      <w:r>
        <w:t xml:space="preserve">Long terme (3 – 5 ans et +)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S'imposer comme un leader régional du commerce général.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Étendre les activités à la sous-région (CEDEAO).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Investir dans la logistique, le stockage et la digitalisation.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Créer de l'emploi durable et renforcer l'impact social.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Objectifs de l'entreprise</dc:title>
  <dc:creator>SOKATF SARL</dc:creator>
  <cp:lastModifiedBy>Un-named</cp:lastModifiedBy>
  <cp:revision>1</cp:revision>
  <dcterms:created xsi:type="dcterms:W3CDTF">2026-07-16T14:24:42.019Z</dcterms:created>
  <dcterms:modified xsi:type="dcterms:W3CDTF">2026-07-16T14:24:42.019Z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