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Plan d'action annuel</w:t>
      </w:r>
    </w:p>
    <w:p>
      <w:pPr>
        <w:spacing w:after="120"/>
      </w:pPr>
      <w:r>
        <w:rPr>
          <w:sz w:val="22"/>
          <w:szCs w:val="22"/>
        </w:rPr>
        <w:t xml:space="preserve">Le plan d'action décline les objectifs annuels en actions concrètes, responsables et échéances.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Axe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Action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Responsable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Échéance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Commercial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Développer le portefeuille clients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DGA &amp; Commercial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T1–T4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Approvisionnement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Sécuriser les fournisseurs clés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T1–T2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Finances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Mettre en place le suivi budgétaire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Admin. Financier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T1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RH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Formaliser les procédures et fiches de poste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Admin. RH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T1–T2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Digital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Renforcer la visibilité en ligne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T2–T3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Un suivi trimestriel permet d'évaluer l'avancement et d'ajuster les priorités.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d'action annuel</dc:title>
  <dc:creator>SOKATF SARL</dc:creator>
  <cp:lastModifiedBy>Un-named</cp:lastModifiedBy>
  <cp:revision>1</cp:revision>
  <dcterms:created xsi:type="dcterms:W3CDTF">2026-07-16T14:24:43.129Z</dcterms:created>
  <dcterms:modified xsi:type="dcterms:W3CDTF">2026-07-16T14:24:43.129Z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