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de communication interne et externe</w:t>
      </w:r>
    </w:p>
    <w:p>
      <w:pPr>
        <w:pStyle w:val="Heading2"/>
        <w:spacing w:after="80" w:before="200"/>
      </w:pPr>
      <w:r>
        <w:t xml:space="preserve">Communication interne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Réunions d'équipe régulières et comptes rendus.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Canaux officiels (email, groupe interne) pour les informations importantes.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Diffusion des procédures et mises à jour organisationnelles.</w:t>
      </w:r>
    </w:p>
    <w:p>
      <w:pPr>
        <w:pStyle w:val="Heading2"/>
        <w:spacing w:after="80" w:before="200"/>
      </w:pPr>
      <w:r>
        <w:t xml:space="preserve">Communication externe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 web et présence en ligne (sokatf.com).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Relation client via email, téléphone et WhatsApp.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Supports commerciaux (présentation, catalogues, devis).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Relations partenaires et institutionnelles.</w:t>
      </w:r>
    </w:p>
    <w:p>
      <w:pPr>
        <w:pStyle w:val="Heading2"/>
        <w:spacing w:after="80" w:before="200"/>
      </w:pPr>
      <w:r>
        <w:t xml:space="preserve">Ligne éditoriale</w:t>
      </w:r>
    </w:p>
    <w:p>
      <w:pPr>
        <w:spacing w:after="120"/>
      </w:pPr>
      <w:r>
        <w:rPr>
          <w:sz w:val="22"/>
          <w:szCs w:val="22"/>
        </w:rPr>
        <w:t xml:space="preserve">Une communication professionnelle, fiable et cohérente, reflétant les valeurs de l'entreprise.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communication interne et externe</dc:title>
  <dc:creator>SOKATF SARL</dc:creator>
  <cp:lastModifiedBy>Un-named</cp:lastModifiedBy>
  <cp:revision>1</cp:revision>
  <dcterms:created xsi:type="dcterms:W3CDTF">2026-07-16T14:24:42.886Z</dcterms:created>
  <dcterms:modified xsi:type="dcterms:W3CDTF">2026-07-16T14:24:42.886Z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