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drawing>
          <wp:inline distT="0" distB="0" distL="0" distR="0">
            <wp:extent cx="1714500" cy="22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Plan de Formation du Personnel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Développement des compétences</w:t>
      </w:r>
    </w:p>
    <w:p>
      <w:pPr>
        <w:spacing w:after="120"/>
      </w:pPr>
      <w:r>
        <w:rPr>
          <w:sz w:val="22"/>
          <w:szCs w:val="22"/>
        </w:rPr>
        <w:t xml:space="preserve">Le plan de formation vise à développer les compétences des collaborateurs et à accompagner la croissance de l'entreprise.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Domaine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Public</w:t>
            </w:r>
          </w:p>
        </w:tc>
        <w:tc>
          <w:tcPr>
            <w:shd w:fill="F1F5F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64748B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Techniques commerciales &amp; négociation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Équipe commerciale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Annuelle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Gestion &amp; finances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Encadrement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Annuelle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Sécurité &amp; HSE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Personnel de terrain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Semestrielle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Outils informatiques &amp; back-office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Personnel administratif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293B"/>
                <w:sz w:val="20"/>
                <w:szCs w:val="20"/>
              </w:rPr>
              <w:t xml:space="preserve">Selon besoin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Suivi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Évaluation des acquis après chaque formation.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Mise à jour du plan selon les besoins et la performance.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e14149870dc26f3d4aa868bdfef9243a5752cf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Formation du Personnel</dc:title>
  <dc:creator>SOKATF SARL</dc:creator>
  <cp:lastModifiedBy>Un-named</cp:lastModifiedBy>
  <cp:revision>1</cp:revision>
  <dcterms:created xsi:type="dcterms:W3CDTF">2026-07-16T14:24:44.123Z</dcterms:created>
  <dcterms:modified xsi:type="dcterms:W3CDTF">2026-07-16T14:24:44.123Z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